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AA67B" w14:textId="77777777" w:rsidR="005E59D2" w:rsidRDefault="005E59D2" w:rsidP="00CA040B">
      <w:pPr>
        <w:spacing w:after="0" w:line="320" w:lineRule="exact"/>
        <w:rPr>
          <w:rFonts w:ascii="Segoe UI" w:hAnsi="Segoe UI" w:cs="Segoe UI"/>
          <w:sz w:val="26"/>
          <w:szCs w:val="26"/>
        </w:rPr>
      </w:pPr>
      <w:bookmarkStart w:id="0" w:name="_GoBack"/>
      <w:bookmarkEnd w:id="0"/>
    </w:p>
    <w:p w14:paraId="25EC737E" w14:textId="77777777" w:rsidR="005E59D2" w:rsidRDefault="005E59D2" w:rsidP="00CA040B">
      <w:pPr>
        <w:spacing w:after="0" w:line="320" w:lineRule="exact"/>
        <w:rPr>
          <w:rFonts w:ascii="Segoe UI" w:hAnsi="Segoe UI" w:cs="Segoe UI"/>
          <w:sz w:val="26"/>
          <w:szCs w:val="26"/>
        </w:rPr>
      </w:pPr>
    </w:p>
    <w:p w14:paraId="6978DA55" w14:textId="229CE7E6" w:rsidR="00CA040B" w:rsidRPr="00391E57" w:rsidRDefault="00CA040B" w:rsidP="00CA040B">
      <w:pPr>
        <w:spacing w:after="0" w:line="320" w:lineRule="exact"/>
        <w:rPr>
          <w:rFonts w:ascii="Segoe UI" w:hAnsi="Segoe UI" w:cs="Segoe UI"/>
          <w:sz w:val="26"/>
          <w:szCs w:val="26"/>
        </w:rPr>
      </w:pPr>
      <w:r w:rsidRPr="00391E57">
        <w:rPr>
          <w:rFonts w:ascii="Segoe UI" w:hAnsi="Segoe UI" w:cs="Segoe UI"/>
          <w:sz w:val="26"/>
          <w:szCs w:val="26"/>
        </w:rPr>
        <w:t xml:space="preserve">Microsoft Cloud </w:t>
      </w:r>
      <w:r w:rsidR="00F768FB" w:rsidRPr="00391E57">
        <w:rPr>
          <w:rFonts w:ascii="Segoe UI" w:hAnsi="Segoe UI" w:cs="Segoe UI"/>
          <w:sz w:val="26"/>
          <w:szCs w:val="26"/>
        </w:rPr>
        <w:t xml:space="preserve">Growth </w:t>
      </w:r>
      <w:r w:rsidRPr="00391E57">
        <w:rPr>
          <w:rFonts w:ascii="Segoe UI" w:hAnsi="Segoe UI" w:cs="Segoe UI"/>
          <w:sz w:val="26"/>
          <w:szCs w:val="26"/>
        </w:rPr>
        <w:t>Drive</w:t>
      </w:r>
      <w:r w:rsidR="00F768FB" w:rsidRPr="00391E57">
        <w:rPr>
          <w:rFonts w:ascii="Segoe UI" w:hAnsi="Segoe UI" w:cs="Segoe UI"/>
          <w:sz w:val="26"/>
          <w:szCs w:val="26"/>
        </w:rPr>
        <w:t>s</w:t>
      </w:r>
      <w:r w:rsidRPr="00391E57">
        <w:rPr>
          <w:rFonts w:ascii="Segoe UI" w:hAnsi="Segoe UI" w:cs="Segoe UI"/>
          <w:sz w:val="26"/>
          <w:szCs w:val="26"/>
        </w:rPr>
        <w:t xml:space="preserve"> Strong Fourth-Quarter Results</w:t>
      </w:r>
    </w:p>
    <w:p w14:paraId="5C5CD2E8" w14:textId="77777777" w:rsidR="00CA040B" w:rsidRPr="00391E57" w:rsidRDefault="00C074FB" w:rsidP="00CA040B">
      <w:pPr>
        <w:spacing w:after="0" w:line="320" w:lineRule="exact"/>
        <w:rPr>
          <w:rFonts w:ascii="Segoe UI" w:hAnsi="Segoe UI" w:cs="Segoe UI"/>
          <w:i/>
          <w:color w:val="666666"/>
          <w:sz w:val="18"/>
          <w:szCs w:val="18"/>
        </w:rPr>
      </w:pPr>
      <w:r w:rsidRPr="00391E57">
        <w:rPr>
          <w:rFonts w:ascii="Segoe UI" w:hAnsi="Segoe UI" w:cs="Segoe UI"/>
          <w:i/>
          <w:color w:val="666666"/>
          <w:sz w:val="18"/>
          <w:szCs w:val="18"/>
        </w:rPr>
        <w:t xml:space="preserve">Commercial </w:t>
      </w:r>
      <w:r w:rsidR="00096EF3" w:rsidRPr="00391E57">
        <w:rPr>
          <w:rFonts w:ascii="Segoe UI" w:hAnsi="Segoe UI" w:cs="Segoe UI"/>
          <w:i/>
          <w:color w:val="666666"/>
          <w:sz w:val="18"/>
          <w:szCs w:val="18"/>
        </w:rPr>
        <w:t>c</w:t>
      </w:r>
      <w:r w:rsidR="0087228C" w:rsidRPr="00391E57" w:rsidDel="00961E21">
        <w:rPr>
          <w:rFonts w:ascii="Segoe UI" w:hAnsi="Segoe UI" w:cs="Segoe UI"/>
          <w:i/>
          <w:color w:val="666666"/>
          <w:sz w:val="18"/>
          <w:szCs w:val="18"/>
        </w:rPr>
        <w:t>loud annual</w:t>
      </w:r>
      <w:r w:rsidR="00196A2F" w:rsidRPr="00391E57">
        <w:rPr>
          <w:rFonts w:ascii="Segoe UI" w:hAnsi="Segoe UI" w:cs="Segoe UI"/>
          <w:i/>
          <w:color w:val="666666"/>
          <w:sz w:val="18"/>
          <w:szCs w:val="18"/>
        </w:rPr>
        <w:t>ized</w:t>
      </w:r>
      <w:r w:rsidR="009318B9" w:rsidRPr="00391E57">
        <w:rPr>
          <w:rFonts w:ascii="Segoe UI" w:hAnsi="Segoe UI" w:cs="Segoe UI"/>
          <w:i/>
          <w:color w:val="666666"/>
          <w:sz w:val="18"/>
          <w:szCs w:val="18"/>
        </w:rPr>
        <w:t xml:space="preserve"> r</w:t>
      </w:r>
      <w:r w:rsidR="00B012CE" w:rsidRPr="00391E57">
        <w:rPr>
          <w:rFonts w:ascii="Segoe UI" w:hAnsi="Segoe UI" w:cs="Segoe UI"/>
          <w:i/>
          <w:color w:val="666666"/>
          <w:sz w:val="18"/>
          <w:szCs w:val="18"/>
        </w:rPr>
        <w:t>evenue run rate now exceeds $4.4</w:t>
      </w:r>
      <w:r w:rsidR="009318B9" w:rsidRPr="00391E57">
        <w:rPr>
          <w:rFonts w:ascii="Segoe UI" w:hAnsi="Segoe UI" w:cs="Segoe UI"/>
          <w:i/>
          <w:color w:val="666666"/>
          <w:sz w:val="18"/>
          <w:szCs w:val="18"/>
        </w:rPr>
        <w:t xml:space="preserve"> billion</w:t>
      </w:r>
      <w:r w:rsidRPr="00391E57">
        <w:rPr>
          <w:rFonts w:ascii="Segoe UI" w:hAnsi="Segoe UI" w:cs="Segoe UI"/>
          <w:i/>
          <w:color w:val="666666"/>
          <w:sz w:val="18"/>
          <w:szCs w:val="18"/>
        </w:rPr>
        <w:t>.</w:t>
      </w:r>
    </w:p>
    <w:p w14:paraId="7013FAED" w14:textId="77777777" w:rsidR="00CA040B" w:rsidRPr="00391E57" w:rsidRDefault="00CA040B" w:rsidP="00CA040B">
      <w:pPr>
        <w:spacing w:after="0" w:line="480" w:lineRule="auto"/>
        <w:ind w:firstLine="720"/>
        <w:rPr>
          <w:rFonts w:ascii="Segoe UI" w:hAnsi="Segoe UI" w:cs="Segoe UI"/>
          <w:b/>
          <w:color w:val="666666"/>
          <w:sz w:val="16"/>
          <w:szCs w:val="16"/>
        </w:rPr>
      </w:pPr>
    </w:p>
    <w:p w14:paraId="498E3E79" w14:textId="5C01F5D1" w:rsidR="00CA040B" w:rsidRPr="00E06C86" w:rsidRDefault="00CA040B" w:rsidP="00CA040B">
      <w:pPr>
        <w:spacing w:line="280" w:lineRule="exact"/>
        <w:rPr>
          <w:rFonts w:ascii="Segoe UI" w:hAnsi="Segoe UI" w:cs="Segoe UI"/>
          <w:color w:val="666666"/>
          <w:sz w:val="20"/>
          <w:szCs w:val="20"/>
        </w:rPr>
      </w:pPr>
      <w:r w:rsidRPr="00391E57">
        <w:rPr>
          <w:rFonts w:ascii="Segoe UI" w:hAnsi="Segoe UI" w:cs="Segoe UI"/>
          <w:b/>
          <w:color w:val="666666"/>
          <w:sz w:val="20"/>
          <w:szCs w:val="20"/>
        </w:rPr>
        <w:t>REDMOND, Wash. — July 22, 2014 —</w:t>
      </w:r>
      <w:r w:rsidRPr="00391E57">
        <w:rPr>
          <w:rFonts w:ascii="Segoe UI" w:hAnsi="Segoe UI" w:cs="Segoe UI"/>
          <w:color w:val="666666"/>
          <w:sz w:val="20"/>
          <w:szCs w:val="20"/>
        </w:rPr>
        <w:t xml:space="preserve"> Microsoft Corp. today announced revenue of $23.38 billion for the quarter ended June 30, 2014. Gross margin, operating</w:t>
      </w:r>
      <w:r w:rsidRPr="00E06C86">
        <w:rPr>
          <w:rFonts w:ascii="Segoe UI" w:hAnsi="Segoe UI" w:cs="Segoe UI"/>
          <w:color w:val="666666"/>
          <w:sz w:val="20"/>
          <w:szCs w:val="20"/>
        </w:rPr>
        <w:t xml:space="preserve"> income, and diluted earnings per share </w:t>
      </w:r>
      <w:r w:rsidR="0073645C">
        <w:rPr>
          <w:rFonts w:ascii="Segoe UI" w:hAnsi="Segoe UI" w:cs="Segoe UI"/>
          <w:color w:val="666666"/>
          <w:sz w:val="20"/>
          <w:szCs w:val="20"/>
        </w:rPr>
        <w:t xml:space="preserve">(“EPS”) </w:t>
      </w:r>
      <w:r w:rsidRPr="00E06C86">
        <w:rPr>
          <w:rFonts w:ascii="Segoe UI" w:hAnsi="Segoe UI" w:cs="Segoe UI"/>
          <w:color w:val="666666"/>
          <w:sz w:val="20"/>
          <w:szCs w:val="20"/>
        </w:rPr>
        <w:t>for the quarter were $15.</w:t>
      </w:r>
      <w:r w:rsidR="00D31CD8" w:rsidRPr="00E06C86">
        <w:rPr>
          <w:rFonts w:ascii="Segoe UI" w:hAnsi="Segoe UI" w:cs="Segoe UI"/>
          <w:color w:val="666666"/>
          <w:sz w:val="20"/>
          <w:szCs w:val="20"/>
        </w:rPr>
        <w:t>79</w:t>
      </w:r>
      <w:r w:rsidRPr="00E06C86">
        <w:rPr>
          <w:rFonts w:ascii="Segoe UI" w:hAnsi="Segoe UI" w:cs="Segoe UI"/>
          <w:color w:val="666666"/>
          <w:sz w:val="20"/>
          <w:szCs w:val="20"/>
        </w:rPr>
        <w:t xml:space="preserve"> billion, $6.48 billion, and $0.</w:t>
      </w:r>
      <w:r w:rsidR="00D31CD8" w:rsidRPr="00E06C86">
        <w:rPr>
          <w:rFonts w:ascii="Segoe UI" w:hAnsi="Segoe UI" w:cs="Segoe UI"/>
          <w:color w:val="666666"/>
          <w:sz w:val="20"/>
          <w:szCs w:val="20"/>
        </w:rPr>
        <w:t xml:space="preserve">55 </w:t>
      </w:r>
      <w:r w:rsidRPr="00E06C86">
        <w:rPr>
          <w:rFonts w:ascii="Segoe UI" w:hAnsi="Segoe UI" w:cs="Segoe UI"/>
          <w:color w:val="666666"/>
          <w:sz w:val="20"/>
          <w:szCs w:val="20"/>
        </w:rPr>
        <w:t xml:space="preserve">per share, </w:t>
      </w:r>
      <w:r w:rsidR="00EB6DAE" w:rsidRPr="00E06C86">
        <w:rPr>
          <w:rFonts w:ascii="Segoe UI" w:hAnsi="Segoe UI" w:cs="Segoe UI"/>
          <w:color w:val="666666"/>
          <w:sz w:val="20"/>
          <w:szCs w:val="20"/>
        </w:rPr>
        <w:t>respectively.</w:t>
      </w:r>
    </w:p>
    <w:p w14:paraId="70FF82D8" w14:textId="02F3CD87" w:rsidR="004A006F" w:rsidRPr="00E06C86" w:rsidRDefault="004A006F" w:rsidP="004A006F">
      <w:pPr>
        <w:spacing w:line="280" w:lineRule="exact"/>
        <w:rPr>
          <w:rFonts w:ascii="Segoe UI" w:hAnsi="Segoe UI" w:cs="Segoe UI"/>
          <w:color w:val="666666"/>
          <w:sz w:val="20"/>
          <w:szCs w:val="20"/>
        </w:rPr>
      </w:pPr>
      <w:r w:rsidRPr="00E06C86">
        <w:rPr>
          <w:rFonts w:ascii="Segoe UI" w:hAnsi="Segoe UI" w:cs="Segoe UI"/>
          <w:color w:val="666666"/>
          <w:sz w:val="20"/>
          <w:szCs w:val="20"/>
        </w:rPr>
        <w:t>Microsoft completed the acquisition of substantially all of the Nokia Devices and Servic</w:t>
      </w:r>
      <w:r w:rsidR="009F0C33" w:rsidRPr="00E06C86">
        <w:rPr>
          <w:rFonts w:ascii="Segoe UI" w:hAnsi="Segoe UI" w:cs="Segoe UI"/>
          <w:color w:val="666666"/>
          <w:sz w:val="20"/>
          <w:szCs w:val="20"/>
        </w:rPr>
        <w:t>es</w:t>
      </w:r>
      <w:r w:rsidR="00BC7FE7" w:rsidRPr="00E06C86">
        <w:rPr>
          <w:rFonts w:ascii="Segoe UI" w:hAnsi="Segoe UI" w:cs="Segoe UI"/>
          <w:color w:val="666666"/>
          <w:sz w:val="20"/>
          <w:szCs w:val="20"/>
        </w:rPr>
        <w:t xml:space="preserve"> (“NDS”)</w:t>
      </w:r>
      <w:r w:rsidR="009F0C33" w:rsidRPr="00E06C86">
        <w:rPr>
          <w:rFonts w:ascii="Segoe UI" w:hAnsi="Segoe UI" w:cs="Segoe UI"/>
          <w:color w:val="666666"/>
          <w:sz w:val="20"/>
          <w:szCs w:val="20"/>
        </w:rPr>
        <w:t xml:space="preserve"> business on April 25, 2014. Revenue and cost of revenue from</w:t>
      </w:r>
      <w:r w:rsidRPr="00E06C86">
        <w:rPr>
          <w:rFonts w:ascii="Segoe UI" w:hAnsi="Segoe UI" w:cs="Segoe UI"/>
          <w:color w:val="666666"/>
          <w:sz w:val="20"/>
          <w:szCs w:val="20"/>
        </w:rPr>
        <w:t xml:space="preserve"> the acquired business, including amortization of intangible assets, are reported in the new Phone Hardware segment. For the fourth quarter and fiscal year 2014, </w:t>
      </w:r>
      <w:r w:rsidR="001E4322">
        <w:rPr>
          <w:rFonts w:ascii="Segoe UI" w:hAnsi="Segoe UI" w:cs="Segoe UI"/>
          <w:color w:val="666666"/>
          <w:sz w:val="20"/>
          <w:szCs w:val="20"/>
        </w:rPr>
        <w:t xml:space="preserve">the results of </w:t>
      </w:r>
      <w:r w:rsidR="00BC7FE7" w:rsidRPr="00E06C86">
        <w:rPr>
          <w:rFonts w:ascii="Segoe UI" w:hAnsi="Segoe UI" w:cs="Segoe UI"/>
          <w:color w:val="666666"/>
          <w:sz w:val="20"/>
          <w:szCs w:val="20"/>
        </w:rPr>
        <w:t>NDS</w:t>
      </w:r>
      <w:r w:rsidRPr="00E06C86">
        <w:rPr>
          <w:rFonts w:ascii="Segoe UI" w:hAnsi="Segoe UI" w:cs="Segoe UI"/>
          <w:color w:val="666666"/>
          <w:sz w:val="20"/>
          <w:szCs w:val="20"/>
        </w:rPr>
        <w:t xml:space="preserve"> </w:t>
      </w:r>
      <w:r w:rsidR="00E93497" w:rsidRPr="00E06C86">
        <w:rPr>
          <w:rFonts w:ascii="Segoe UI" w:hAnsi="Segoe UI" w:cs="Segoe UI"/>
          <w:color w:val="666666"/>
          <w:sz w:val="20"/>
          <w:szCs w:val="20"/>
        </w:rPr>
        <w:t xml:space="preserve">contributed </w:t>
      </w:r>
      <w:r w:rsidRPr="00E06C86">
        <w:rPr>
          <w:rFonts w:ascii="Segoe UI" w:hAnsi="Segoe UI" w:cs="Segoe UI"/>
          <w:color w:val="666666"/>
          <w:sz w:val="20"/>
          <w:szCs w:val="20"/>
        </w:rPr>
        <w:t xml:space="preserve">revenue, gross margin, operating income, and diluted </w:t>
      </w:r>
      <w:r w:rsidR="0073645C">
        <w:rPr>
          <w:rFonts w:ascii="Segoe UI" w:hAnsi="Segoe UI" w:cs="Segoe UI"/>
          <w:color w:val="666666"/>
          <w:sz w:val="20"/>
          <w:szCs w:val="20"/>
        </w:rPr>
        <w:t xml:space="preserve">EPS </w:t>
      </w:r>
      <w:r w:rsidR="00E93497" w:rsidRPr="00E06C86">
        <w:rPr>
          <w:rFonts w:ascii="Segoe UI" w:hAnsi="Segoe UI" w:cs="Segoe UI"/>
          <w:color w:val="666666"/>
          <w:sz w:val="20"/>
          <w:szCs w:val="20"/>
        </w:rPr>
        <w:t xml:space="preserve">of </w:t>
      </w:r>
      <w:r w:rsidRPr="00E06C86">
        <w:rPr>
          <w:rFonts w:ascii="Segoe UI" w:hAnsi="Segoe UI" w:cs="Segoe UI"/>
          <w:color w:val="666666"/>
          <w:sz w:val="20"/>
          <w:szCs w:val="20"/>
        </w:rPr>
        <w:t>$1.9</w:t>
      </w:r>
      <w:r w:rsidR="006229F3" w:rsidRPr="00E06C86">
        <w:rPr>
          <w:rFonts w:ascii="Segoe UI" w:hAnsi="Segoe UI" w:cs="Segoe UI"/>
          <w:color w:val="666666"/>
          <w:sz w:val="20"/>
          <w:szCs w:val="20"/>
        </w:rPr>
        <w:t>9</w:t>
      </w:r>
      <w:r w:rsidRPr="00E06C86">
        <w:rPr>
          <w:rFonts w:ascii="Segoe UI" w:hAnsi="Segoe UI" w:cs="Segoe UI"/>
          <w:color w:val="666666"/>
          <w:sz w:val="20"/>
          <w:szCs w:val="20"/>
        </w:rPr>
        <w:t xml:space="preserve"> billion, $</w:t>
      </w:r>
      <w:r w:rsidR="006229F3" w:rsidRPr="00E06C86">
        <w:rPr>
          <w:rFonts w:ascii="Segoe UI" w:hAnsi="Segoe UI" w:cs="Segoe UI"/>
          <w:color w:val="666666"/>
          <w:sz w:val="20"/>
          <w:szCs w:val="20"/>
        </w:rPr>
        <w:t xml:space="preserve">54 </w:t>
      </w:r>
      <w:r w:rsidRPr="00E06C86">
        <w:rPr>
          <w:rFonts w:ascii="Segoe UI" w:hAnsi="Segoe UI" w:cs="Segoe UI"/>
          <w:color w:val="666666"/>
          <w:sz w:val="20"/>
          <w:szCs w:val="20"/>
        </w:rPr>
        <w:t>million, $</w:t>
      </w:r>
      <w:r w:rsidR="007C1D4D" w:rsidRPr="00E06C86">
        <w:rPr>
          <w:rFonts w:ascii="Segoe UI" w:hAnsi="Segoe UI" w:cs="Segoe UI"/>
          <w:color w:val="666666"/>
          <w:sz w:val="20"/>
          <w:szCs w:val="20"/>
        </w:rPr>
        <w:t>(</w:t>
      </w:r>
      <w:r w:rsidR="006229F3" w:rsidRPr="00E06C86">
        <w:rPr>
          <w:rFonts w:ascii="Segoe UI" w:hAnsi="Segoe UI" w:cs="Segoe UI"/>
          <w:color w:val="666666"/>
          <w:sz w:val="20"/>
          <w:szCs w:val="20"/>
        </w:rPr>
        <w:t>692</w:t>
      </w:r>
      <w:r w:rsidRPr="00E06C86">
        <w:rPr>
          <w:rFonts w:ascii="Segoe UI" w:hAnsi="Segoe UI" w:cs="Segoe UI"/>
          <w:color w:val="666666"/>
          <w:sz w:val="20"/>
          <w:szCs w:val="20"/>
        </w:rPr>
        <w:t>) million, and $</w:t>
      </w:r>
      <w:r w:rsidR="007C1D4D" w:rsidRPr="00E06C86">
        <w:rPr>
          <w:rFonts w:ascii="Segoe UI" w:hAnsi="Segoe UI" w:cs="Segoe UI"/>
          <w:color w:val="666666"/>
          <w:sz w:val="20"/>
          <w:szCs w:val="20"/>
        </w:rPr>
        <w:t>(</w:t>
      </w:r>
      <w:r w:rsidRPr="00E06C86">
        <w:rPr>
          <w:rFonts w:ascii="Segoe UI" w:hAnsi="Segoe UI" w:cs="Segoe UI"/>
          <w:color w:val="666666"/>
          <w:sz w:val="20"/>
          <w:szCs w:val="20"/>
        </w:rPr>
        <w:t>0.0</w:t>
      </w:r>
      <w:r w:rsidR="006229F3" w:rsidRPr="00E06C86">
        <w:rPr>
          <w:rFonts w:ascii="Segoe UI" w:hAnsi="Segoe UI" w:cs="Segoe UI"/>
          <w:color w:val="666666"/>
          <w:sz w:val="20"/>
          <w:szCs w:val="20"/>
        </w:rPr>
        <w:t>8</w:t>
      </w:r>
      <w:r w:rsidRPr="00E06C86">
        <w:rPr>
          <w:rFonts w:ascii="Segoe UI" w:hAnsi="Segoe UI" w:cs="Segoe UI"/>
          <w:color w:val="666666"/>
          <w:sz w:val="20"/>
          <w:szCs w:val="20"/>
        </w:rPr>
        <w:t>), respectively.</w:t>
      </w:r>
    </w:p>
    <w:p w14:paraId="3943957E" w14:textId="3626185A" w:rsidR="00D44A22" w:rsidRPr="00D44A22" w:rsidRDefault="00D44A22" w:rsidP="00D44A22">
      <w:pPr>
        <w:spacing w:line="280" w:lineRule="exact"/>
        <w:rPr>
          <w:rFonts w:ascii="Segoe UI" w:hAnsi="Segoe UI" w:cs="Segoe UI"/>
          <w:color w:val="666666"/>
          <w:sz w:val="20"/>
          <w:szCs w:val="20"/>
        </w:rPr>
      </w:pPr>
      <w:r w:rsidRPr="00D44A22">
        <w:rPr>
          <w:rFonts w:ascii="Segoe UI" w:hAnsi="Segoe UI" w:cs="Segoe UI"/>
          <w:color w:val="666666"/>
          <w:sz w:val="20"/>
          <w:szCs w:val="20"/>
        </w:rPr>
        <w:t>“We are galvanized around our core as a productivity and platform company for the mobile-first and cloud-first world</w:t>
      </w:r>
      <w:r w:rsidR="008946AC">
        <w:rPr>
          <w:rFonts w:ascii="Segoe UI" w:hAnsi="Segoe UI" w:cs="Segoe UI"/>
          <w:color w:val="666666"/>
          <w:sz w:val="20"/>
          <w:szCs w:val="20"/>
        </w:rPr>
        <w:t>,</w:t>
      </w:r>
      <w:r w:rsidRPr="00D44A22">
        <w:rPr>
          <w:rFonts w:ascii="Segoe UI" w:hAnsi="Segoe UI" w:cs="Segoe UI"/>
          <w:color w:val="666666"/>
          <w:sz w:val="20"/>
          <w:szCs w:val="20"/>
        </w:rPr>
        <w:t xml:space="preserve"> and we are driving growth with disciplined decisions, bold innovation</w:t>
      </w:r>
      <w:r w:rsidR="008946AC">
        <w:rPr>
          <w:rFonts w:ascii="Segoe UI" w:hAnsi="Segoe UI" w:cs="Segoe UI"/>
          <w:color w:val="666666"/>
          <w:sz w:val="20"/>
          <w:szCs w:val="20"/>
        </w:rPr>
        <w:t>,</w:t>
      </w:r>
      <w:r w:rsidRPr="00D44A22">
        <w:rPr>
          <w:rFonts w:ascii="Segoe UI" w:hAnsi="Segoe UI" w:cs="Segoe UI"/>
          <w:color w:val="666666"/>
          <w:sz w:val="20"/>
          <w:szCs w:val="20"/>
        </w:rPr>
        <w:t xml:space="preserve"> and focused execution,” said Satya Nadella, chief executive officer of Microsoft. “I’m proud that our aggressive move to the cloud is paying off – our commercial cloud revenue doubled again this year to a $4.4 billion annual run rate.”</w:t>
      </w:r>
    </w:p>
    <w:p w14:paraId="61E2876C" w14:textId="108397F4" w:rsidR="00CA040B" w:rsidRPr="00E06C86" w:rsidRDefault="00CA040B" w:rsidP="00F82431">
      <w:pPr>
        <w:spacing w:line="280" w:lineRule="exact"/>
        <w:rPr>
          <w:rFonts w:ascii="Segoe UI" w:hAnsi="Segoe UI" w:cs="Segoe UI"/>
          <w:color w:val="666666"/>
          <w:sz w:val="20"/>
          <w:szCs w:val="20"/>
        </w:rPr>
      </w:pPr>
      <w:r w:rsidRPr="00E06C86">
        <w:rPr>
          <w:rFonts w:ascii="Segoe UI" w:hAnsi="Segoe UI" w:cs="Segoe UI"/>
          <w:color w:val="666666"/>
          <w:sz w:val="20"/>
          <w:szCs w:val="20"/>
        </w:rPr>
        <w:t>“Our solid execution and expense discipline allowed us to deliver a strong finish to the fiscal year,” said Amy Hood, executive vice president and chief financial officer at Microsoft. “As we enter fiscal 2015, we are focused on aligning our resources to strategic investments that we believe will deliver the next wave of innovation, growth, and long-term shareholder value.”</w:t>
      </w:r>
    </w:p>
    <w:p w14:paraId="4A722169" w14:textId="77777777" w:rsidR="00CA040B" w:rsidRPr="00E06C86" w:rsidRDefault="00CA040B" w:rsidP="00CA040B">
      <w:pPr>
        <w:spacing w:line="280" w:lineRule="exact"/>
        <w:rPr>
          <w:rFonts w:ascii="Segoe UI" w:hAnsi="Segoe UI" w:cs="Segoe UI"/>
          <w:color w:val="666666"/>
          <w:sz w:val="20"/>
          <w:szCs w:val="20"/>
        </w:rPr>
      </w:pPr>
      <w:r w:rsidRPr="00E06C86">
        <w:rPr>
          <w:rFonts w:ascii="Segoe UI" w:hAnsi="Segoe UI" w:cs="Segoe UI"/>
          <w:color w:val="666666"/>
          <w:sz w:val="20"/>
          <w:szCs w:val="20"/>
        </w:rPr>
        <w:t>The following table reconciles these financial results reported in accordance with generally accepted accounting principles (“GAAP”) to Non-GAAP financial results. We have provided this Non-GAAP financial information to aid investors in better understanding the company’s performance. All growth comparisons relate to the corresponding period in the last fiscal year.</w:t>
      </w:r>
    </w:p>
    <w:tbl>
      <w:tblPr>
        <w:tblW w:w="7480" w:type="dxa"/>
        <w:tblLook w:val="04A0" w:firstRow="1" w:lastRow="0" w:firstColumn="1" w:lastColumn="0" w:noHBand="0" w:noVBand="1"/>
      </w:tblPr>
      <w:tblGrid>
        <w:gridCol w:w="3320"/>
        <w:gridCol w:w="1040"/>
        <w:gridCol w:w="1040"/>
        <w:gridCol w:w="1040"/>
        <w:gridCol w:w="1040"/>
      </w:tblGrid>
      <w:tr w:rsidR="00CA040B" w:rsidRPr="008205FD" w14:paraId="24CF3C11" w14:textId="77777777" w:rsidTr="00622A00">
        <w:trPr>
          <w:trHeight w:val="288"/>
        </w:trPr>
        <w:tc>
          <w:tcPr>
            <w:tcW w:w="3320" w:type="dxa"/>
            <w:tcBorders>
              <w:top w:val="nil"/>
              <w:left w:val="nil"/>
              <w:bottom w:val="nil"/>
              <w:right w:val="nil"/>
            </w:tcBorders>
            <w:shd w:val="clear" w:color="auto" w:fill="auto"/>
            <w:noWrap/>
            <w:vAlign w:val="bottom"/>
            <w:hideMark/>
          </w:tcPr>
          <w:p w14:paraId="1778978F" w14:textId="77777777" w:rsidR="00CA040B" w:rsidRPr="008205FD" w:rsidRDefault="00CA040B" w:rsidP="00622A00">
            <w:pPr>
              <w:spacing w:after="0" w:line="240" w:lineRule="auto"/>
              <w:rPr>
                <w:rFonts w:ascii="Times New Roman" w:eastAsia="Times New Roman" w:hAnsi="Times New Roman"/>
                <w:sz w:val="20"/>
                <w:szCs w:val="20"/>
              </w:rPr>
            </w:pPr>
          </w:p>
        </w:tc>
        <w:tc>
          <w:tcPr>
            <w:tcW w:w="4160" w:type="dxa"/>
            <w:gridSpan w:val="4"/>
            <w:tcBorders>
              <w:top w:val="nil"/>
              <w:left w:val="nil"/>
              <w:bottom w:val="single" w:sz="4" w:space="0" w:color="auto"/>
              <w:right w:val="nil"/>
            </w:tcBorders>
            <w:shd w:val="clear" w:color="auto" w:fill="auto"/>
            <w:noWrap/>
            <w:vAlign w:val="center"/>
            <w:hideMark/>
          </w:tcPr>
          <w:p w14:paraId="085AF755" w14:textId="77777777" w:rsidR="00CA040B" w:rsidRPr="008205FD" w:rsidRDefault="00CA040B" w:rsidP="00622A00">
            <w:pPr>
              <w:spacing w:after="0" w:line="240" w:lineRule="auto"/>
              <w:jc w:val="center"/>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Three Months Ended June 30,</w:t>
            </w:r>
          </w:p>
        </w:tc>
      </w:tr>
      <w:tr w:rsidR="00CA040B" w:rsidRPr="008205FD" w14:paraId="58A296A6" w14:textId="77777777" w:rsidTr="00622A00">
        <w:trPr>
          <w:trHeight w:val="468"/>
        </w:trPr>
        <w:tc>
          <w:tcPr>
            <w:tcW w:w="3320" w:type="dxa"/>
            <w:tcBorders>
              <w:top w:val="nil"/>
              <w:left w:val="nil"/>
              <w:bottom w:val="single" w:sz="8" w:space="0" w:color="auto"/>
              <w:right w:val="nil"/>
            </w:tcBorders>
            <w:shd w:val="clear" w:color="auto" w:fill="auto"/>
            <w:vAlign w:val="center"/>
            <w:hideMark/>
          </w:tcPr>
          <w:p w14:paraId="3D4016E4" w14:textId="77777777" w:rsidR="00CA040B" w:rsidRPr="008205FD" w:rsidRDefault="00CA040B" w:rsidP="00622A00">
            <w:pPr>
              <w:spacing w:after="0" w:line="240" w:lineRule="auto"/>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 in millions, except per share amounts)</w:t>
            </w:r>
          </w:p>
        </w:tc>
        <w:tc>
          <w:tcPr>
            <w:tcW w:w="1040" w:type="dxa"/>
            <w:tcBorders>
              <w:top w:val="nil"/>
              <w:left w:val="nil"/>
              <w:bottom w:val="single" w:sz="8" w:space="0" w:color="auto"/>
              <w:right w:val="nil"/>
            </w:tcBorders>
            <w:shd w:val="clear" w:color="auto" w:fill="auto"/>
            <w:vAlign w:val="center"/>
            <w:hideMark/>
          </w:tcPr>
          <w:p w14:paraId="5EBB03F0" w14:textId="77777777" w:rsidR="00CA040B" w:rsidRPr="008205FD" w:rsidRDefault="00CA040B" w:rsidP="00622A00">
            <w:pPr>
              <w:spacing w:after="0" w:line="240" w:lineRule="auto"/>
              <w:jc w:val="center"/>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Revenue</w:t>
            </w:r>
          </w:p>
        </w:tc>
        <w:tc>
          <w:tcPr>
            <w:tcW w:w="1040" w:type="dxa"/>
            <w:tcBorders>
              <w:top w:val="nil"/>
              <w:left w:val="nil"/>
              <w:bottom w:val="single" w:sz="8" w:space="0" w:color="auto"/>
              <w:right w:val="nil"/>
            </w:tcBorders>
            <w:shd w:val="clear" w:color="auto" w:fill="auto"/>
            <w:vAlign w:val="center"/>
            <w:hideMark/>
          </w:tcPr>
          <w:p w14:paraId="47930998" w14:textId="77777777" w:rsidR="00CA040B" w:rsidRPr="008205FD" w:rsidRDefault="00CA040B" w:rsidP="00622A00">
            <w:pPr>
              <w:spacing w:after="0" w:line="240" w:lineRule="auto"/>
              <w:jc w:val="center"/>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Gross Margin</w:t>
            </w:r>
          </w:p>
        </w:tc>
        <w:tc>
          <w:tcPr>
            <w:tcW w:w="1040" w:type="dxa"/>
            <w:tcBorders>
              <w:top w:val="nil"/>
              <w:left w:val="nil"/>
              <w:bottom w:val="single" w:sz="8" w:space="0" w:color="auto"/>
              <w:right w:val="nil"/>
            </w:tcBorders>
            <w:shd w:val="clear" w:color="auto" w:fill="auto"/>
            <w:vAlign w:val="center"/>
            <w:hideMark/>
          </w:tcPr>
          <w:p w14:paraId="6EE3EC46" w14:textId="77777777" w:rsidR="00CA040B" w:rsidRPr="008205FD" w:rsidRDefault="00CA040B" w:rsidP="00622A00">
            <w:pPr>
              <w:spacing w:after="0" w:line="240" w:lineRule="auto"/>
              <w:jc w:val="center"/>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Operating Income</w:t>
            </w:r>
          </w:p>
        </w:tc>
        <w:tc>
          <w:tcPr>
            <w:tcW w:w="1040" w:type="dxa"/>
            <w:tcBorders>
              <w:top w:val="nil"/>
              <w:left w:val="nil"/>
              <w:bottom w:val="single" w:sz="8" w:space="0" w:color="auto"/>
              <w:right w:val="nil"/>
            </w:tcBorders>
            <w:shd w:val="clear" w:color="auto" w:fill="auto"/>
            <w:vAlign w:val="center"/>
            <w:hideMark/>
          </w:tcPr>
          <w:p w14:paraId="38EC3463" w14:textId="77777777" w:rsidR="00CA040B" w:rsidRPr="008205FD" w:rsidRDefault="00CA040B" w:rsidP="00622A00">
            <w:pPr>
              <w:spacing w:after="0" w:line="240" w:lineRule="auto"/>
              <w:jc w:val="center"/>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Diluted EPS</w:t>
            </w:r>
          </w:p>
        </w:tc>
      </w:tr>
      <w:tr w:rsidR="00CA040B" w:rsidRPr="008205FD" w14:paraId="2631AD70" w14:textId="77777777" w:rsidTr="00622A00">
        <w:trPr>
          <w:trHeight w:val="288"/>
        </w:trPr>
        <w:tc>
          <w:tcPr>
            <w:tcW w:w="3320" w:type="dxa"/>
            <w:tcBorders>
              <w:top w:val="nil"/>
              <w:left w:val="nil"/>
              <w:bottom w:val="single" w:sz="4" w:space="0" w:color="auto"/>
              <w:right w:val="nil"/>
            </w:tcBorders>
            <w:shd w:val="clear" w:color="auto" w:fill="auto"/>
            <w:noWrap/>
            <w:vAlign w:val="center"/>
            <w:hideMark/>
          </w:tcPr>
          <w:p w14:paraId="707A5297" w14:textId="77777777" w:rsidR="00CA040B" w:rsidRPr="008205FD" w:rsidRDefault="00CA040B" w:rsidP="00622A00">
            <w:pPr>
              <w:spacing w:after="0" w:line="240" w:lineRule="auto"/>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2013 As Reported (GAAP)</w:t>
            </w:r>
          </w:p>
        </w:tc>
        <w:tc>
          <w:tcPr>
            <w:tcW w:w="1040" w:type="dxa"/>
            <w:tcBorders>
              <w:top w:val="nil"/>
              <w:left w:val="nil"/>
              <w:bottom w:val="single" w:sz="4" w:space="0" w:color="auto"/>
              <w:right w:val="nil"/>
            </w:tcBorders>
            <w:shd w:val="clear" w:color="auto" w:fill="auto"/>
            <w:vAlign w:val="center"/>
            <w:hideMark/>
          </w:tcPr>
          <w:p w14:paraId="1FBF6777" w14:textId="77777777" w:rsidR="00CA040B" w:rsidRPr="008205FD" w:rsidRDefault="00CA040B" w:rsidP="00622A00">
            <w:pPr>
              <w:spacing w:after="0" w:line="240" w:lineRule="auto"/>
              <w:jc w:val="right"/>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 xml:space="preserve">$19,896 </w:t>
            </w:r>
          </w:p>
        </w:tc>
        <w:tc>
          <w:tcPr>
            <w:tcW w:w="1040" w:type="dxa"/>
            <w:tcBorders>
              <w:top w:val="nil"/>
              <w:left w:val="nil"/>
              <w:bottom w:val="single" w:sz="4" w:space="0" w:color="auto"/>
              <w:right w:val="nil"/>
            </w:tcBorders>
            <w:shd w:val="clear" w:color="auto" w:fill="auto"/>
            <w:vAlign w:val="center"/>
            <w:hideMark/>
          </w:tcPr>
          <w:p w14:paraId="0CF0F668" w14:textId="77777777" w:rsidR="00CA040B" w:rsidRPr="008205FD" w:rsidRDefault="00CA040B" w:rsidP="00622A00">
            <w:pPr>
              <w:spacing w:after="0" w:line="240" w:lineRule="auto"/>
              <w:jc w:val="right"/>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 xml:space="preserve">$14,294 </w:t>
            </w:r>
          </w:p>
        </w:tc>
        <w:tc>
          <w:tcPr>
            <w:tcW w:w="1040" w:type="dxa"/>
            <w:tcBorders>
              <w:top w:val="nil"/>
              <w:left w:val="nil"/>
              <w:bottom w:val="single" w:sz="4" w:space="0" w:color="auto"/>
              <w:right w:val="nil"/>
            </w:tcBorders>
            <w:shd w:val="clear" w:color="auto" w:fill="auto"/>
            <w:vAlign w:val="center"/>
            <w:hideMark/>
          </w:tcPr>
          <w:p w14:paraId="1329B3C6" w14:textId="77777777" w:rsidR="00CA040B" w:rsidRPr="008205FD" w:rsidRDefault="00CA040B" w:rsidP="00622A00">
            <w:pPr>
              <w:spacing w:after="0" w:line="240" w:lineRule="auto"/>
              <w:jc w:val="right"/>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 xml:space="preserve">$6,073 </w:t>
            </w:r>
          </w:p>
        </w:tc>
        <w:tc>
          <w:tcPr>
            <w:tcW w:w="1040" w:type="dxa"/>
            <w:tcBorders>
              <w:top w:val="nil"/>
              <w:left w:val="nil"/>
              <w:bottom w:val="single" w:sz="4" w:space="0" w:color="auto"/>
              <w:right w:val="nil"/>
            </w:tcBorders>
            <w:shd w:val="clear" w:color="auto" w:fill="auto"/>
            <w:vAlign w:val="center"/>
            <w:hideMark/>
          </w:tcPr>
          <w:p w14:paraId="41E26B0D" w14:textId="77777777" w:rsidR="00CA040B" w:rsidRPr="008205FD" w:rsidRDefault="00CA040B" w:rsidP="00622A00">
            <w:pPr>
              <w:spacing w:after="0" w:line="240" w:lineRule="auto"/>
              <w:jc w:val="right"/>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 xml:space="preserve">$0.59 </w:t>
            </w:r>
          </w:p>
        </w:tc>
      </w:tr>
      <w:tr w:rsidR="00CA040B" w:rsidRPr="008205FD" w14:paraId="28E88D2C" w14:textId="77777777" w:rsidTr="00622A00">
        <w:trPr>
          <w:trHeight w:val="288"/>
        </w:trPr>
        <w:tc>
          <w:tcPr>
            <w:tcW w:w="3320" w:type="dxa"/>
            <w:tcBorders>
              <w:top w:val="nil"/>
              <w:left w:val="nil"/>
              <w:bottom w:val="nil"/>
              <w:right w:val="nil"/>
            </w:tcBorders>
            <w:shd w:val="clear" w:color="auto" w:fill="auto"/>
            <w:noWrap/>
            <w:vAlign w:val="center"/>
            <w:hideMark/>
          </w:tcPr>
          <w:p w14:paraId="5AD761C0" w14:textId="77777777" w:rsidR="00CA040B" w:rsidRPr="008205FD" w:rsidRDefault="00CA040B" w:rsidP="00622A00">
            <w:pPr>
              <w:spacing w:after="0" w:line="240" w:lineRule="auto"/>
              <w:ind w:firstLineChars="200" w:firstLine="320"/>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Office Upgrade Offer</w:t>
            </w:r>
          </w:p>
        </w:tc>
        <w:tc>
          <w:tcPr>
            <w:tcW w:w="1040" w:type="dxa"/>
            <w:tcBorders>
              <w:top w:val="nil"/>
              <w:left w:val="nil"/>
              <w:bottom w:val="nil"/>
              <w:right w:val="nil"/>
            </w:tcBorders>
            <w:shd w:val="clear" w:color="auto" w:fill="auto"/>
            <w:vAlign w:val="center"/>
            <w:hideMark/>
          </w:tcPr>
          <w:p w14:paraId="13CDE835" w14:textId="77777777" w:rsidR="00CA040B" w:rsidRPr="008205FD" w:rsidRDefault="00CA040B" w:rsidP="00622A00">
            <w:pPr>
              <w:spacing w:after="0" w:line="240" w:lineRule="auto"/>
              <w:jc w:val="right"/>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w:t>
            </w:r>
            <w:r w:rsidR="007C1D4D">
              <w:rPr>
                <w:rFonts w:ascii="Segoe UI" w:eastAsia="Times New Roman" w:hAnsi="Segoe UI" w:cs="Segoe UI"/>
                <w:color w:val="666666"/>
                <w:sz w:val="16"/>
                <w:szCs w:val="16"/>
              </w:rPr>
              <w:t>(</w:t>
            </w:r>
            <w:r w:rsidRPr="008205FD">
              <w:rPr>
                <w:rFonts w:ascii="Segoe UI" w:eastAsia="Times New Roman" w:hAnsi="Segoe UI" w:cs="Segoe UI"/>
                <w:color w:val="666666"/>
                <w:sz w:val="16"/>
                <w:szCs w:val="16"/>
              </w:rPr>
              <w:t>782)</w:t>
            </w:r>
          </w:p>
        </w:tc>
        <w:tc>
          <w:tcPr>
            <w:tcW w:w="1040" w:type="dxa"/>
            <w:tcBorders>
              <w:top w:val="nil"/>
              <w:left w:val="nil"/>
              <w:bottom w:val="nil"/>
              <w:right w:val="nil"/>
            </w:tcBorders>
            <w:shd w:val="clear" w:color="auto" w:fill="auto"/>
            <w:vAlign w:val="center"/>
            <w:hideMark/>
          </w:tcPr>
          <w:p w14:paraId="5D51EA7B" w14:textId="77777777" w:rsidR="00CA040B" w:rsidRPr="008205FD" w:rsidRDefault="00CA040B" w:rsidP="00622A00">
            <w:pPr>
              <w:spacing w:after="0" w:line="240" w:lineRule="auto"/>
              <w:jc w:val="right"/>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w:t>
            </w:r>
            <w:r w:rsidR="007C1D4D">
              <w:rPr>
                <w:rFonts w:ascii="Segoe UI" w:eastAsia="Times New Roman" w:hAnsi="Segoe UI" w:cs="Segoe UI"/>
                <w:color w:val="666666"/>
                <w:sz w:val="16"/>
                <w:szCs w:val="16"/>
              </w:rPr>
              <w:t>(</w:t>
            </w:r>
            <w:r w:rsidRPr="008205FD">
              <w:rPr>
                <w:rFonts w:ascii="Segoe UI" w:eastAsia="Times New Roman" w:hAnsi="Segoe UI" w:cs="Segoe UI"/>
                <w:color w:val="666666"/>
                <w:sz w:val="16"/>
                <w:szCs w:val="16"/>
              </w:rPr>
              <w:t>782)</w:t>
            </w:r>
          </w:p>
        </w:tc>
        <w:tc>
          <w:tcPr>
            <w:tcW w:w="1040" w:type="dxa"/>
            <w:tcBorders>
              <w:top w:val="nil"/>
              <w:left w:val="nil"/>
              <w:bottom w:val="nil"/>
              <w:right w:val="nil"/>
            </w:tcBorders>
            <w:shd w:val="clear" w:color="auto" w:fill="auto"/>
            <w:vAlign w:val="center"/>
            <w:hideMark/>
          </w:tcPr>
          <w:p w14:paraId="2A9D577D" w14:textId="77777777" w:rsidR="00CA040B" w:rsidRPr="008205FD" w:rsidRDefault="00CA040B" w:rsidP="00622A00">
            <w:pPr>
              <w:spacing w:after="0" w:line="240" w:lineRule="auto"/>
              <w:jc w:val="right"/>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w:t>
            </w:r>
            <w:r w:rsidR="007C1D4D">
              <w:rPr>
                <w:rFonts w:ascii="Segoe UI" w:eastAsia="Times New Roman" w:hAnsi="Segoe UI" w:cs="Segoe UI"/>
                <w:color w:val="666666"/>
                <w:sz w:val="16"/>
                <w:szCs w:val="16"/>
              </w:rPr>
              <w:t>(</w:t>
            </w:r>
            <w:r w:rsidRPr="008205FD">
              <w:rPr>
                <w:rFonts w:ascii="Segoe UI" w:eastAsia="Times New Roman" w:hAnsi="Segoe UI" w:cs="Segoe UI"/>
                <w:color w:val="666666"/>
                <w:sz w:val="16"/>
                <w:szCs w:val="16"/>
              </w:rPr>
              <w:t>782)</w:t>
            </w:r>
          </w:p>
        </w:tc>
        <w:tc>
          <w:tcPr>
            <w:tcW w:w="1040" w:type="dxa"/>
            <w:tcBorders>
              <w:top w:val="nil"/>
              <w:left w:val="nil"/>
              <w:bottom w:val="nil"/>
              <w:right w:val="nil"/>
            </w:tcBorders>
            <w:shd w:val="clear" w:color="auto" w:fill="auto"/>
            <w:vAlign w:val="center"/>
            <w:hideMark/>
          </w:tcPr>
          <w:p w14:paraId="713211FA" w14:textId="77777777" w:rsidR="00CA040B" w:rsidRPr="008205FD" w:rsidRDefault="00CA040B" w:rsidP="00622A00">
            <w:pPr>
              <w:spacing w:after="0" w:line="240" w:lineRule="auto"/>
              <w:jc w:val="right"/>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w:t>
            </w:r>
            <w:r w:rsidR="007C1D4D">
              <w:rPr>
                <w:rFonts w:ascii="Segoe UI" w:eastAsia="Times New Roman" w:hAnsi="Segoe UI" w:cs="Segoe UI"/>
                <w:color w:val="666666"/>
                <w:sz w:val="16"/>
                <w:szCs w:val="16"/>
              </w:rPr>
              <w:t>(</w:t>
            </w:r>
            <w:r w:rsidRPr="008205FD">
              <w:rPr>
                <w:rFonts w:ascii="Segoe UI" w:eastAsia="Times New Roman" w:hAnsi="Segoe UI" w:cs="Segoe UI"/>
                <w:color w:val="666666"/>
                <w:sz w:val="16"/>
                <w:szCs w:val="16"/>
              </w:rPr>
              <w:t>0.07)</w:t>
            </w:r>
          </w:p>
        </w:tc>
      </w:tr>
      <w:tr w:rsidR="00CA040B" w:rsidRPr="008205FD" w14:paraId="229A23F1" w14:textId="77777777" w:rsidTr="00622A00">
        <w:trPr>
          <w:trHeight w:val="288"/>
        </w:trPr>
        <w:tc>
          <w:tcPr>
            <w:tcW w:w="3320" w:type="dxa"/>
            <w:tcBorders>
              <w:top w:val="single" w:sz="4" w:space="0" w:color="auto"/>
              <w:left w:val="nil"/>
              <w:bottom w:val="single" w:sz="4" w:space="0" w:color="auto"/>
              <w:right w:val="nil"/>
            </w:tcBorders>
            <w:shd w:val="clear" w:color="auto" w:fill="auto"/>
            <w:noWrap/>
            <w:vAlign w:val="center"/>
            <w:hideMark/>
          </w:tcPr>
          <w:p w14:paraId="7C7C9371" w14:textId="77777777" w:rsidR="00CA040B" w:rsidRPr="008205FD" w:rsidRDefault="00CA040B" w:rsidP="00622A00">
            <w:pPr>
              <w:spacing w:after="0" w:line="240" w:lineRule="auto"/>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2013 As Adjusted (Non-GAAP)</w:t>
            </w:r>
          </w:p>
        </w:tc>
        <w:tc>
          <w:tcPr>
            <w:tcW w:w="1040" w:type="dxa"/>
            <w:tcBorders>
              <w:top w:val="single" w:sz="4" w:space="0" w:color="auto"/>
              <w:left w:val="nil"/>
              <w:bottom w:val="single" w:sz="4" w:space="0" w:color="auto"/>
              <w:right w:val="nil"/>
            </w:tcBorders>
            <w:shd w:val="clear" w:color="auto" w:fill="auto"/>
            <w:vAlign w:val="center"/>
            <w:hideMark/>
          </w:tcPr>
          <w:p w14:paraId="52315AAC" w14:textId="77777777" w:rsidR="00CA040B" w:rsidRPr="008205FD" w:rsidRDefault="00CA040B" w:rsidP="00622A00">
            <w:pPr>
              <w:spacing w:after="0" w:line="240" w:lineRule="auto"/>
              <w:jc w:val="right"/>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 xml:space="preserve">$19,114 </w:t>
            </w:r>
          </w:p>
        </w:tc>
        <w:tc>
          <w:tcPr>
            <w:tcW w:w="1040" w:type="dxa"/>
            <w:tcBorders>
              <w:top w:val="single" w:sz="4" w:space="0" w:color="auto"/>
              <w:left w:val="nil"/>
              <w:bottom w:val="single" w:sz="4" w:space="0" w:color="auto"/>
              <w:right w:val="nil"/>
            </w:tcBorders>
            <w:shd w:val="clear" w:color="auto" w:fill="auto"/>
            <w:vAlign w:val="center"/>
            <w:hideMark/>
          </w:tcPr>
          <w:p w14:paraId="4A7065CE" w14:textId="77777777" w:rsidR="00CA040B" w:rsidRPr="008205FD" w:rsidRDefault="00CA040B" w:rsidP="00622A00">
            <w:pPr>
              <w:spacing w:after="0" w:line="240" w:lineRule="auto"/>
              <w:jc w:val="right"/>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 xml:space="preserve">$13,512 </w:t>
            </w:r>
          </w:p>
        </w:tc>
        <w:tc>
          <w:tcPr>
            <w:tcW w:w="1040" w:type="dxa"/>
            <w:tcBorders>
              <w:top w:val="single" w:sz="4" w:space="0" w:color="auto"/>
              <w:left w:val="nil"/>
              <w:bottom w:val="single" w:sz="4" w:space="0" w:color="auto"/>
              <w:right w:val="nil"/>
            </w:tcBorders>
            <w:shd w:val="clear" w:color="auto" w:fill="auto"/>
            <w:vAlign w:val="center"/>
            <w:hideMark/>
          </w:tcPr>
          <w:p w14:paraId="54FE6A33" w14:textId="77777777" w:rsidR="00CA040B" w:rsidRPr="008205FD" w:rsidRDefault="00CA040B" w:rsidP="00622A00">
            <w:pPr>
              <w:spacing w:after="0" w:line="240" w:lineRule="auto"/>
              <w:jc w:val="right"/>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 xml:space="preserve">$5,291 </w:t>
            </w:r>
          </w:p>
        </w:tc>
        <w:tc>
          <w:tcPr>
            <w:tcW w:w="1040" w:type="dxa"/>
            <w:tcBorders>
              <w:top w:val="single" w:sz="4" w:space="0" w:color="auto"/>
              <w:left w:val="nil"/>
              <w:bottom w:val="single" w:sz="4" w:space="0" w:color="auto"/>
              <w:right w:val="nil"/>
            </w:tcBorders>
            <w:shd w:val="clear" w:color="auto" w:fill="auto"/>
            <w:vAlign w:val="center"/>
            <w:hideMark/>
          </w:tcPr>
          <w:p w14:paraId="3F3D029D" w14:textId="77777777" w:rsidR="00CA040B" w:rsidRPr="008205FD" w:rsidRDefault="00CA040B" w:rsidP="00622A00">
            <w:pPr>
              <w:spacing w:after="0" w:line="240" w:lineRule="auto"/>
              <w:jc w:val="right"/>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 xml:space="preserve">$0.52 </w:t>
            </w:r>
          </w:p>
        </w:tc>
      </w:tr>
      <w:tr w:rsidR="00CA040B" w:rsidRPr="008205FD" w14:paraId="65E47ACF" w14:textId="77777777" w:rsidTr="00622A00">
        <w:trPr>
          <w:trHeight w:val="288"/>
        </w:trPr>
        <w:tc>
          <w:tcPr>
            <w:tcW w:w="3320" w:type="dxa"/>
            <w:tcBorders>
              <w:top w:val="nil"/>
              <w:left w:val="nil"/>
              <w:bottom w:val="single" w:sz="4" w:space="0" w:color="auto"/>
              <w:right w:val="nil"/>
            </w:tcBorders>
            <w:shd w:val="clear" w:color="auto" w:fill="auto"/>
            <w:noWrap/>
            <w:vAlign w:val="center"/>
            <w:hideMark/>
          </w:tcPr>
          <w:p w14:paraId="0E61A567" w14:textId="77777777" w:rsidR="00CA040B" w:rsidRPr="008205FD" w:rsidRDefault="00CA040B" w:rsidP="00622A00">
            <w:pPr>
              <w:spacing w:after="0" w:line="240" w:lineRule="auto"/>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2014 As Reported (GAAP)</w:t>
            </w:r>
            <w:r w:rsidR="00540544">
              <w:rPr>
                <w:rFonts w:ascii="Segoe UI" w:eastAsia="Times New Roman" w:hAnsi="Segoe UI" w:cs="Segoe UI"/>
                <w:b/>
                <w:bCs/>
                <w:color w:val="666666"/>
                <w:sz w:val="16"/>
                <w:szCs w:val="16"/>
              </w:rPr>
              <w:t>¹</w:t>
            </w:r>
          </w:p>
        </w:tc>
        <w:tc>
          <w:tcPr>
            <w:tcW w:w="1040" w:type="dxa"/>
            <w:tcBorders>
              <w:top w:val="nil"/>
              <w:left w:val="nil"/>
              <w:bottom w:val="single" w:sz="4" w:space="0" w:color="auto"/>
              <w:right w:val="nil"/>
            </w:tcBorders>
            <w:shd w:val="clear" w:color="auto" w:fill="auto"/>
            <w:vAlign w:val="center"/>
            <w:hideMark/>
          </w:tcPr>
          <w:p w14:paraId="53131385" w14:textId="77777777" w:rsidR="00CA040B" w:rsidRPr="00815A8C" w:rsidRDefault="00CA040B"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 xml:space="preserve">$23,382 </w:t>
            </w:r>
          </w:p>
        </w:tc>
        <w:tc>
          <w:tcPr>
            <w:tcW w:w="1040" w:type="dxa"/>
            <w:tcBorders>
              <w:top w:val="nil"/>
              <w:left w:val="nil"/>
              <w:bottom w:val="single" w:sz="4" w:space="0" w:color="auto"/>
              <w:right w:val="nil"/>
            </w:tcBorders>
            <w:shd w:val="clear" w:color="auto" w:fill="auto"/>
            <w:vAlign w:val="center"/>
            <w:hideMark/>
          </w:tcPr>
          <w:p w14:paraId="1DE0AA83" w14:textId="77777777" w:rsidR="00CA040B" w:rsidRPr="00815A8C" w:rsidRDefault="00CA040B"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$15,7</w:t>
            </w:r>
            <w:r w:rsidR="000B56A4" w:rsidRPr="00815A8C">
              <w:rPr>
                <w:rFonts w:ascii="Segoe UI" w:eastAsia="Times New Roman" w:hAnsi="Segoe UI" w:cs="Segoe UI"/>
                <w:b/>
                <w:bCs/>
                <w:color w:val="666666"/>
                <w:sz w:val="16"/>
                <w:szCs w:val="16"/>
              </w:rPr>
              <w:t>87</w:t>
            </w:r>
            <w:r w:rsidRPr="00815A8C">
              <w:rPr>
                <w:rFonts w:ascii="Segoe UI" w:eastAsia="Times New Roman" w:hAnsi="Segoe UI" w:cs="Segoe UI"/>
                <w:b/>
                <w:bCs/>
                <w:color w:val="666666"/>
                <w:sz w:val="16"/>
                <w:szCs w:val="16"/>
              </w:rPr>
              <w:t xml:space="preserve"> </w:t>
            </w:r>
          </w:p>
        </w:tc>
        <w:tc>
          <w:tcPr>
            <w:tcW w:w="1040" w:type="dxa"/>
            <w:tcBorders>
              <w:top w:val="nil"/>
              <w:left w:val="nil"/>
              <w:bottom w:val="single" w:sz="4" w:space="0" w:color="auto"/>
              <w:right w:val="nil"/>
            </w:tcBorders>
            <w:shd w:val="clear" w:color="auto" w:fill="auto"/>
            <w:vAlign w:val="center"/>
            <w:hideMark/>
          </w:tcPr>
          <w:p w14:paraId="4EFA2B39" w14:textId="77777777" w:rsidR="00CA040B" w:rsidRPr="00815A8C" w:rsidRDefault="00CA040B"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 xml:space="preserve">$6,482 </w:t>
            </w:r>
          </w:p>
        </w:tc>
        <w:tc>
          <w:tcPr>
            <w:tcW w:w="1040" w:type="dxa"/>
            <w:tcBorders>
              <w:top w:val="nil"/>
              <w:left w:val="nil"/>
              <w:bottom w:val="single" w:sz="4" w:space="0" w:color="auto"/>
              <w:right w:val="nil"/>
            </w:tcBorders>
            <w:shd w:val="clear" w:color="auto" w:fill="auto"/>
            <w:vAlign w:val="center"/>
            <w:hideMark/>
          </w:tcPr>
          <w:p w14:paraId="6E58F60E" w14:textId="77777777" w:rsidR="00CA040B" w:rsidRPr="00815A8C" w:rsidRDefault="00CA040B"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$0.5</w:t>
            </w:r>
            <w:r w:rsidR="000B56A4" w:rsidRPr="00815A8C">
              <w:rPr>
                <w:rFonts w:ascii="Segoe UI" w:eastAsia="Times New Roman" w:hAnsi="Segoe UI" w:cs="Segoe UI"/>
                <w:b/>
                <w:bCs/>
                <w:color w:val="666666"/>
                <w:sz w:val="16"/>
                <w:szCs w:val="16"/>
              </w:rPr>
              <w:t>5</w:t>
            </w:r>
            <w:r w:rsidRPr="00815A8C">
              <w:rPr>
                <w:rFonts w:ascii="Segoe UI" w:eastAsia="Times New Roman" w:hAnsi="Segoe UI" w:cs="Segoe UI"/>
                <w:b/>
                <w:bCs/>
                <w:color w:val="666666"/>
                <w:sz w:val="16"/>
                <w:szCs w:val="16"/>
              </w:rPr>
              <w:t xml:space="preserve"> </w:t>
            </w:r>
          </w:p>
        </w:tc>
      </w:tr>
      <w:tr w:rsidR="00CA040B" w:rsidRPr="008205FD" w14:paraId="5B1C9B9E" w14:textId="77777777" w:rsidTr="00622A00">
        <w:trPr>
          <w:trHeight w:val="288"/>
        </w:trPr>
        <w:tc>
          <w:tcPr>
            <w:tcW w:w="3320" w:type="dxa"/>
            <w:tcBorders>
              <w:top w:val="nil"/>
              <w:left w:val="nil"/>
              <w:bottom w:val="nil"/>
              <w:right w:val="nil"/>
            </w:tcBorders>
            <w:shd w:val="clear" w:color="auto" w:fill="auto"/>
            <w:noWrap/>
            <w:vAlign w:val="center"/>
            <w:hideMark/>
          </w:tcPr>
          <w:p w14:paraId="09483DA1" w14:textId="77777777" w:rsidR="00CA040B" w:rsidRPr="008205FD" w:rsidRDefault="00CA040B" w:rsidP="00622A00">
            <w:pPr>
              <w:spacing w:after="0" w:line="240" w:lineRule="auto"/>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%Y/Y (GAAP)</w:t>
            </w:r>
          </w:p>
        </w:tc>
        <w:tc>
          <w:tcPr>
            <w:tcW w:w="1040" w:type="dxa"/>
            <w:tcBorders>
              <w:top w:val="nil"/>
              <w:left w:val="nil"/>
              <w:bottom w:val="nil"/>
              <w:right w:val="nil"/>
            </w:tcBorders>
            <w:shd w:val="clear" w:color="auto" w:fill="auto"/>
            <w:vAlign w:val="center"/>
            <w:hideMark/>
          </w:tcPr>
          <w:p w14:paraId="33710894" w14:textId="77777777" w:rsidR="00CA040B" w:rsidRPr="00815A8C" w:rsidRDefault="00CA040B"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18%</w:t>
            </w:r>
          </w:p>
        </w:tc>
        <w:tc>
          <w:tcPr>
            <w:tcW w:w="1040" w:type="dxa"/>
            <w:tcBorders>
              <w:top w:val="nil"/>
              <w:left w:val="nil"/>
              <w:bottom w:val="nil"/>
              <w:right w:val="nil"/>
            </w:tcBorders>
            <w:shd w:val="clear" w:color="auto" w:fill="auto"/>
            <w:vAlign w:val="center"/>
            <w:hideMark/>
          </w:tcPr>
          <w:p w14:paraId="1262ED5C" w14:textId="77777777" w:rsidR="00CA040B" w:rsidRPr="00815A8C" w:rsidRDefault="00CA040B" w:rsidP="00815A8C">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1</w:t>
            </w:r>
            <w:r w:rsidR="000B56A4" w:rsidRPr="00815A8C">
              <w:rPr>
                <w:rFonts w:ascii="Segoe UI" w:eastAsia="Times New Roman" w:hAnsi="Segoe UI" w:cs="Segoe UI"/>
                <w:b/>
                <w:bCs/>
                <w:color w:val="666666"/>
                <w:sz w:val="16"/>
                <w:szCs w:val="16"/>
              </w:rPr>
              <w:t>0</w:t>
            </w:r>
            <w:r w:rsidRPr="00815A8C">
              <w:rPr>
                <w:rFonts w:ascii="Segoe UI" w:eastAsia="Times New Roman" w:hAnsi="Segoe UI" w:cs="Segoe UI"/>
                <w:b/>
                <w:bCs/>
                <w:color w:val="666666"/>
                <w:sz w:val="16"/>
                <w:szCs w:val="16"/>
              </w:rPr>
              <w:t>%</w:t>
            </w:r>
          </w:p>
        </w:tc>
        <w:tc>
          <w:tcPr>
            <w:tcW w:w="1040" w:type="dxa"/>
            <w:tcBorders>
              <w:top w:val="nil"/>
              <w:left w:val="nil"/>
              <w:bottom w:val="nil"/>
              <w:right w:val="nil"/>
            </w:tcBorders>
            <w:shd w:val="clear" w:color="auto" w:fill="auto"/>
            <w:vAlign w:val="center"/>
            <w:hideMark/>
          </w:tcPr>
          <w:p w14:paraId="7838A2DB" w14:textId="77777777" w:rsidR="00CA040B" w:rsidRPr="00815A8C" w:rsidRDefault="00CA040B"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7%</w:t>
            </w:r>
          </w:p>
        </w:tc>
        <w:tc>
          <w:tcPr>
            <w:tcW w:w="1040" w:type="dxa"/>
            <w:tcBorders>
              <w:top w:val="nil"/>
              <w:left w:val="nil"/>
              <w:bottom w:val="nil"/>
              <w:right w:val="nil"/>
            </w:tcBorders>
            <w:shd w:val="clear" w:color="auto" w:fill="auto"/>
            <w:vAlign w:val="center"/>
            <w:hideMark/>
          </w:tcPr>
          <w:p w14:paraId="2FCCB3DB" w14:textId="77777777" w:rsidR="00CA040B" w:rsidRPr="00815A8C" w:rsidRDefault="00943299"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w:t>
            </w:r>
            <w:r w:rsidR="000B56A4" w:rsidRPr="00815A8C">
              <w:rPr>
                <w:rFonts w:ascii="Segoe UI" w:eastAsia="Times New Roman" w:hAnsi="Segoe UI" w:cs="Segoe UI"/>
                <w:b/>
                <w:bCs/>
                <w:color w:val="666666"/>
                <w:sz w:val="16"/>
                <w:szCs w:val="16"/>
              </w:rPr>
              <w:t>7</w:t>
            </w:r>
            <w:r w:rsidRPr="00815A8C">
              <w:rPr>
                <w:rFonts w:ascii="Segoe UI" w:eastAsia="Times New Roman" w:hAnsi="Segoe UI" w:cs="Segoe UI"/>
                <w:b/>
                <w:bCs/>
                <w:color w:val="666666"/>
                <w:sz w:val="16"/>
                <w:szCs w:val="16"/>
              </w:rPr>
              <w:t>)</w:t>
            </w:r>
            <w:r w:rsidR="00CA040B" w:rsidRPr="00815A8C">
              <w:rPr>
                <w:rFonts w:ascii="Segoe UI" w:eastAsia="Times New Roman" w:hAnsi="Segoe UI" w:cs="Segoe UI"/>
                <w:b/>
                <w:bCs/>
                <w:color w:val="666666"/>
                <w:sz w:val="16"/>
                <w:szCs w:val="16"/>
              </w:rPr>
              <w:t>%</w:t>
            </w:r>
          </w:p>
        </w:tc>
      </w:tr>
      <w:tr w:rsidR="00CA040B" w:rsidRPr="008205FD" w14:paraId="34397575" w14:textId="77777777" w:rsidTr="00622A00">
        <w:trPr>
          <w:trHeight w:val="288"/>
        </w:trPr>
        <w:tc>
          <w:tcPr>
            <w:tcW w:w="3320" w:type="dxa"/>
            <w:tcBorders>
              <w:top w:val="nil"/>
              <w:left w:val="nil"/>
              <w:bottom w:val="single" w:sz="4" w:space="0" w:color="auto"/>
              <w:right w:val="nil"/>
            </w:tcBorders>
            <w:shd w:val="clear" w:color="auto" w:fill="auto"/>
            <w:noWrap/>
            <w:vAlign w:val="center"/>
            <w:hideMark/>
          </w:tcPr>
          <w:p w14:paraId="738AEC0A" w14:textId="77777777" w:rsidR="00CA040B" w:rsidRPr="008205FD" w:rsidRDefault="00CA040B" w:rsidP="00622A00">
            <w:pPr>
              <w:spacing w:after="0" w:line="240" w:lineRule="auto"/>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%Y/Y (Non-GAAP)</w:t>
            </w:r>
          </w:p>
        </w:tc>
        <w:tc>
          <w:tcPr>
            <w:tcW w:w="1040" w:type="dxa"/>
            <w:tcBorders>
              <w:top w:val="nil"/>
              <w:left w:val="nil"/>
              <w:bottom w:val="single" w:sz="4" w:space="0" w:color="auto"/>
              <w:right w:val="nil"/>
            </w:tcBorders>
            <w:shd w:val="clear" w:color="auto" w:fill="auto"/>
            <w:vAlign w:val="center"/>
            <w:hideMark/>
          </w:tcPr>
          <w:p w14:paraId="338E2E33" w14:textId="77777777" w:rsidR="00CA040B" w:rsidRPr="00815A8C" w:rsidRDefault="00CA040B"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22%</w:t>
            </w:r>
          </w:p>
        </w:tc>
        <w:tc>
          <w:tcPr>
            <w:tcW w:w="1040" w:type="dxa"/>
            <w:tcBorders>
              <w:top w:val="nil"/>
              <w:left w:val="nil"/>
              <w:bottom w:val="single" w:sz="4" w:space="0" w:color="auto"/>
              <w:right w:val="nil"/>
            </w:tcBorders>
            <w:shd w:val="clear" w:color="auto" w:fill="auto"/>
            <w:vAlign w:val="center"/>
            <w:hideMark/>
          </w:tcPr>
          <w:p w14:paraId="708F2A06" w14:textId="77777777" w:rsidR="00CA040B" w:rsidRPr="00815A8C" w:rsidRDefault="00CA040B"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17%</w:t>
            </w:r>
          </w:p>
        </w:tc>
        <w:tc>
          <w:tcPr>
            <w:tcW w:w="1040" w:type="dxa"/>
            <w:tcBorders>
              <w:top w:val="nil"/>
              <w:left w:val="nil"/>
              <w:bottom w:val="single" w:sz="4" w:space="0" w:color="auto"/>
              <w:right w:val="nil"/>
            </w:tcBorders>
            <w:shd w:val="clear" w:color="auto" w:fill="auto"/>
            <w:vAlign w:val="center"/>
            <w:hideMark/>
          </w:tcPr>
          <w:p w14:paraId="3F4C1DAB" w14:textId="77777777" w:rsidR="00CA040B" w:rsidRPr="00815A8C" w:rsidRDefault="00CA040B"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23%</w:t>
            </w:r>
          </w:p>
        </w:tc>
        <w:tc>
          <w:tcPr>
            <w:tcW w:w="1040" w:type="dxa"/>
            <w:tcBorders>
              <w:top w:val="nil"/>
              <w:left w:val="nil"/>
              <w:bottom w:val="single" w:sz="4" w:space="0" w:color="auto"/>
              <w:right w:val="nil"/>
            </w:tcBorders>
            <w:shd w:val="clear" w:color="auto" w:fill="auto"/>
            <w:vAlign w:val="center"/>
            <w:hideMark/>
          </w:tcPr>
          <w:p w14:paraId="661AFBC4" w14:textId="77777777" w:rsidR="00CA040B" w:rsidRPr="00815A8C" w:rsidRDefault="000B56A4"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6</w:t>
            </w:r>
            <w:r w:rsidR="00CA040B" w:rsidRPr="00815A8C">
              <w:rPr>
                <w:rFonts w:ascii="Segoe UI" w:eastAsia="Times New Roman" w:hAnsi="Segoe UI" w:cs="Segoe UI"/>
                <w:b/>
                <w:bCs/>
                <w:color w:val="666666"/>
                <w:sz w:val="16"/>
                <w:szCs w:val="16"/>
              </w:rPr>
              <w:t>%</w:t>
            </w:r>
          </w:p>
        </w:tc>
      </w:tr>
    </w:tbl>
    <w:p w14:paraId="1B5BC885" w14:textId="0664CACC" w:rsidR="00540544" w:rsidRPr="00E06C86" w:rsidRDefault="00540544" w:rsidP="00540544">
      <w:pPr>
        <w:spacing w:after="0" w:line="280" w:lineRule="exact"/>
        <w:rPr>
          <w:rFonts w:ascii="Segoe UI" w:hAnsi="Segoe UI" w:cs="Segoe UI"/>
          <w:color w:val="666666"/>
          <w:sz w:val="16"/>
          <w:szCs w:val="16"/>
        </w:rPr>
      </w:pPr>
      <w:r w:rsidRPr="00E06C86">
        <w:rPr>
          <w:rFonts w:ascii="Segoe UI" w:hAnsi="Segoe UI" w:cs="Segoe UI"/>
          <w:color w:val="666666"/>
          <w:sz w:val="16"/>
          <w:szCs w:val="16"/>
        </w:rPr>
        <w:t>¹</w:t>
      </w:r>
      <w:r w:rsidR="009C5B81">
        <w:rPr>
          <w:rFonts w:ascii="Segoe UI" w:hAnsi="Segoe UI" w:cs="Segoe UI"/>
          <w:color w:val="666666"/>
          <w:sz w:val="16"/>
          <w:szCs w:val="16"/>
        </w:rPr>
        <w:t>Fiscal year 2014</w:t>
      </w:r>
      <w:r w:rsidRPr="00E06C86">
        <w:rPr>
          <w:rFonts w:ascii="Segoe UI" w:hAnsi="Segoe UI" w:cs="Segoe UI"/>
          <w:color w:val="666666"/>
          <w:sz w:val="16"/>
          <w:szCs w:val="16"/>
        </w:rPr>
        <w:t xml:space="preserve"> includes the </w:t>
      </w:r>
      <w:r w:rsidR="004A006F" w:rsidRPr="00E06C86">
        <w:rPr>
          <w:rFonts w:ascii="Segoe UI" w:hAnsi="Segoe UI" w:cs="Segoe UI"/>
          <w:color w:val="666666"/>
          <w:sz w:val="16"/>
          <w:szCs w:val="16"/>
        </w:rPr>
        <w:t xml:space="preserve">results of </w:t>
      </w:r>
      <w:r w:rsidRPr="00E06C86">
        <w:rPr>
          <w:rFonts w:ascii="Segoe UI" w:hAnsi="Segoe UI" w:cs="Segoe UI"/>
          <w:color w:val="666666"/>
          <w:sz w:val="16"/>
          <w:szCs w:val="16"/>
        </w:rPr>
        <w:t>the</w:t>
      </w:r>
      <w:r w:rsidR="004A006F" w:rsidRPr="00E06C86">
        <w:rPr>
          <w:rFonts w:ascii="Segoe UI" w:hAnsi="Segoe UI" w:cs="Segoe UI"/>
          <w:color w:val="666666"/>
          <w:sz w:val="16"/>
          <w:szCs w:val="16"/>
        </w:rPr>
        <w:t xml:space="preserve"> </w:t>
      </w:r>
      <w:r w:rsidR="00BC7FE7" w:rsidRPr="00E06C86">
        <w:rPr>
          <w:rFonts w:ascii="Segoe UI" w:hAnsi="Segoe UI" w:cs="Segoe UI"/>
          <w:color w:val="666666"/>
          <w:sz w:val="16"/>
          <w:szCs w:val="16"/>
        </w:rPr>
        <w:t xml:space="preserve">NDS </w:t>
      </w:r>
      <w:r w:rsidRPr="00E06C86">
        <w:rPr>
          <w:rFonts w:ascii="Segoe UI" w:hAnsi="Segoe UI" w:cs="Segoe UI"/>
          <w:color w:val="666666"/>
          <w:sz w:val="16"/>
          <w:szCs w:val="16"/>
        </w:rPr>
        <w:t xml:space="preserve">business for the period </w:t>
      </w:r>
      <w:r w:rsidR="00541021" w:rsidRPr="00E06C86">
        <w:rPr>
          <w:rFonts w:ascii="Segoe UI" w:hAnsi="Segoe UI" w:cs="Segoe UI"/>
          <w:color w:val="666666"/>
          <w:sz w:val="16"/>
          <w:szCs w:val="16"/>
        </w:rPr>
        <w:t>beginning on</w:t>
      </w:r>
      <w:r w:rsidR="004A006F" w:rsidRPr="00E06C86">
        <w:rPr>
          <w:rFonts w:ascii="Segoe UI" w:hAnsi="Segoe UI" w:cs="Segoe UI"/>
          <w:color w:val="666666"/>
          <w:sz w:val="16"/>
          <w:szCs w:val="16"/>
        </w:rPr>
        <w:t xml:space="preserve"> April 25, 2014</w:t>
      </w:r>
      <w:r w:rsidR="007C1D4D" w:rsidRPr="00E06C86">
        <w:rPr>
          <w:rFonts w:ascii="Segoe UI" w:hAnsi="Segoe UI" w:cs="Segoe UI"/>
          <w:color w:val="666666"/>
          <w:sz w:val="16"/>
          <w:szCs w:val="16"/>
        </w:rPr>
        <w:t>.</w:t>
      </w:r>
    </w:p>
    <w:p w14:paraId="6FAD5DC0" w14:textId="77777777" w:rsidR="005E59D2" w:rsidRDefault="005E59D2">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p w14:paraId="2B2866F1" w14:textId="6716C384" w:rsidR="00CA040B" w:rsidRPr="009854C5" w:rsidRDefault="0087228C" w:rsidP="00540544">
      <w:pPr>
        <w:spacing w:before="200" w:line="280" w:lineRule="exact"/>
        <w:rPr>
          <w:rFonts w:ascii="Segoe UI" w:hAnsi="Segoe UI" w:cs="Segoe UI"/>
          <w:color w:val="7F7F7F" w:themeColor="text1" w:themeTint="80"/>
          <w:sz w:val="20"/>
          <w:szCs w:val="20"/>
        </w:rPr>
      </w:pPr>
      <w:r w:rsidRPr="00E06C86">
        <w:rPr>
          <w:rFonts w:ascii="Segoe UI" w:hAnsi="Segoe UI" w:cs="Segoe UI"/>
          <w:color w:val="666666"/>
          <w:sz w:val="20"/>
          <w:szCs w:val="20"/>
        </w:rPr>
        <w:lastRenderedPageBreak/>
        <w:t>Additionally, we note below certain operationa</w:t>
      </w:r>
      <w:r w:rsidR="00463416" w:rsidRPr="00E06C86">
        <w:rPr>
          <w:rFonts w:ascii="Segoe UI" w:hAnsi="Segoe UI" w:cs="Segoe UI"/>
          <w:color w:val="666666"/>
          <w:sz w:val="20"/>
          <w:szCs w:val="20"/>
        </w:rPr>
        <w:t>l items that also impacted the c</w:t>
      </w:r>
      <w:r w:rsidRPr="00E06C86">
        <w:rPr>
          <w:rFonts w:ascii="Segoe UI" w:hAnsi="Segoe UI" w:cs="Segoe UI"/>
          <w:color w:val="666666"/>
          <w:sz w:val="20"/>
          <w:szCs w:val="20"/>
        </w:rPr>
        <w:t>ompany’s financial performance</w:t>
      </w:r>
      <w:r w:rsidR="00113F25">
        <w:rPr>
          <w:rFonts w:ascii="Segoe UI" w:hAnsi="Segoe UI" w:cs="Segoe UI"/>
          <w:color w:val="666666"/>
          <w:sz w:val="20"/>
          <w:szCs w:val="20"/>
        </w:rPr>
        <w:t xml:space="preserve"> (“Noted Items”)</w:t>
      </w:r>
      <w:r w:rsidR="00D80A41" w:rsidRPr="00E06C86">
        <w:rPr>
          <w:rFonts w:ascii="Segoe UI" w:hAnsi="Segoe UI" w:cs="Segoe UI"/>
          <w:color w:val="666666"/>
          <w:sz w:val="20"/>
          <w:szCs w:val="20"/>
        </w:rPr>
        <w:t xml:space="preserve">. </w:t>
      </w:r>
      <w:r w:rsidR="00113F25">
        <w:rPr>
          <w:rFonts w:ascii="Segoe UI" w:hAnsi="Segoe UI" w:cs="Segoe UI"/>
          <w:color w:val="666666"/>
          <w:sz w:val="20"/>
          <w:szCs w:val="20"/>
        </w:rPr>
        <w:t>Noted I</w:t>
      </w:r>
      <w:r w:rsidR="00D80A41" w:rsidRPr="00E06C86">
        <w:rPr>
          <w:rFonts w:ascii="Segoe UI" w:hAnsi="Segoe UI" w:cs="Segoe UI"/>
          <w:color w:val="666666"/>
          <w:sz w:val="20"/>
          <w:szCs w:val="20"/>
        </w:rPr>
        <w:t>tems and the Non-GAAP measures are defined following the financial tables and highlights.</w:t>
      </w:r>
    </w:p>
    <w:tbl>
      <w:tblPr>
        <w:tblW w:w="7481" w:type="dxa"/>
        <w:tblLook w:val="04A0" w:firstRow="1" w:lastRow="0" w:firstColumn="1" w:lastColumn="0" w:noHBand="0" w:noVBand="1"/>
      </w:tblPr>
      <w:tblGrid>
        <w:gridCol w:w="3321"/>
        <w:gridCol w:w="1040"/>
        <w:gridCol w:w="1040"/>
        <w:gridCol w:w="1040"/>
        <w:gridCol w:w="1040"/>
      </w:tblGrid>
      <w:tr w:rsidR="00CA040B" w:rsidRPr="008205FD" w14:paraId="00E42372" w14:textId="77777777" w:rsidTr="00622A00">
        <w:trPr>
          <w:trHeight w:val="288"/>
        </w:trPr>
        <w:tc>
          <w:tcPr>
            <w:tcW w:w="3321" w:type="dxa"/>
            <w:tcBorders>
              <w:top w:val="nil"/>
              <w:left w:val="nil"/>
              <w:bottom w:val="nil"/>
              <w:right w:val="nil"/>
            </w:tcBorders>
            <w:shd w:val="clear" w:color="auto" w:fill="auto"/>
            <w:noWrap/>
            <w:vAlign w:val="bottom"/>
            <w:hideMark/>
          </w:tcPr>
          <w:p w14:paraId="4801F01C" w14:textId="77777777" w:rsidR="00CA040B" w:rsidRPr="008205FD" w:rsidRDefault="00CA040B" w:rsidP="00622A00">
            <w:pPr>
              <w:spacing w:after="0" w:line="240" w:lineRule="auto"/>
              <w:rPr>
                <w:rFonts w:ascii="Times New Roman" w:eastAsia="Times New Roman" w:hAnsi="Times New Roman"/>
                <w:sz w:val="20"/>
                <w:szCs w:val="20"/>
              </w:rPr>
            </w:pPr>
          </w:p>
        </w:tc>
        <w:tc>
          <w:tcPr>
            <w:tcW w:w="4160" w:type="dxa"/>
            <w:gridSpan w:val="4"/>
            <w:tcBorders>
              <w:top w:val="nil"/>
              <w:left w:val="nil"/>
              <w:bottom w:val="single" w:sz="4" w:space="0" w:color="auto"/>
              <w:right w:val="nil"/>
            </w:tcBorders>
            <w:shd w:val="clear" w:color="auto" w:fill="auto"/>
            <w:noWrap/>
            <w:vAlign w:val="center"/>
            <w:hideMark/>
          </w:tcPr>
          <w:p w14:paraId="0D6543BB" w14:textId="77777777" w:rsidR="00CA040B" w:rsidRPr="008205FD" w:rsidRDefault="00CA040B" w:rsidP="00622A00">
            <w:pPr>
              <w:spacing w:after="0" w:line="240" w:lineRule="auto"/>
              <w:jc w:val="center"/>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Three Months Ended June 30,</w:t>
            </w:r>
          </w:p>
        </w:tc>
      </w:tr>
      <w:tr w:rsidR="00CA040B" w:rsidRPr="008205FD" w14:paraId="592D88C1" w14:textId="77777777" w:rsidTr="00622A00">
        <w:trPr>
          <w:trHeight w:val="468"/>
        </w:trPr>
        <w:tc>
          <w:tcPr>
            <w:tcW w:w="3321" w:type="dxa"/>
            <w:tcBorders>
              <w:top w:val="nil"/>
              <w:left w:val="nil"/>
              <w:bottom w:val="single" w:sz="8" w:space="0" w:color="auto"/>
              <w:right w:val="nil"/>
            </w:tcBorders>
            <w:shd w:val="clear" w:color="auto" w:fill="auto"/>
            <w:vAlign w:val="center"/>
            <w:hideMark/>
          </w:tcPr>
          <w:p w14:paraId="4B307CF8" w14:textId="77777777" w:rsidR="00CA040B" w:rsidRPr="008205FD" w:rsidRDefault="00CA040B" w:rsidP="00622A00">
            <w:pPr>
              <w:spacing w:after="0" w:line="240" w:lineRule="auto"/>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 in millions, except per share amounts)</w:t>
            </w:r>
          </w:p>
        </w:tc>
        <w:tc>
          <w:tcPr>
            <w:tcW w:w="1040" w:type="dxa"/>
            <w:tcBorders>
              <w:top w:val="nil"/>
              <w:left w:val="nil"/>
              <w:bottom w:val="single" w:sz="8" w:space="0" w:color="auto"/>
              <w:right w:val="nil"/>
            </w:tcBorders>
            <w:shd w:val="clear" w:color="auto" w:fill="auto"/>
            <w:vAlign w:val="center"/>
            <w:hideMark/>
          </w:tcPr>
          <w:p w14:paraId="1E37048C" w14:textId="77777777" w:rsidR="00CA040B" w:rsidRPr="008205FD" w:rsidRDefault="00CA040B" w:rsidP="00622A00">
            <w:pPr>
              <w:spacing w:after="0" w:line="240" w:lineRule="auto"/>
              <w:jc w:val="center"/>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Revenue</w:t>
            </w:r>
          </w:p>
        </w:tc>
        <w:tc>
          <w:tcPr>
            <w:tcW w:w="1040" w:type="dxa"/>
            <w:tcBorders>
              <w:top w:val="nil"/>
              <w:left w:val="nil"/>
              <w:bottom w:val="single" w:sz="8" w:space="0" w:color="auto"/>
              <w:right w:val="nil"/>
            </w:tcBorders>
            <w:shd w:val="clear" w:color="auto" w:fill="auto"/>
            <w:vAlign w:val="center"/>
            <w:hideMark/>
          </w:tcPr>
          <w:p w14:paraId="3FB6349E" w14:textId="77777777" w:rsidR="00CA040B" w:rsidRPr="008205FD" w:rsidRDefault="00CA040B" w:rsidP="00622A00">
            <w:pPr>
              <w:spacing w:after="0" w:line="240" w:lineRule="auto"/>
              <w:jc w:val="center"/>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Gross Margin</w:t>
            </w:r>
          </w:p>
        </w:tc>
        <w:tc>
          <w:tcPr>
            <w:tcW w:w="1040" w:type="dxa"/>
            <w:tcBorders>
              <w:top w:val="nil"/>
              <w:left w:val="nil"/>
              <w:bottom w:val="single" w:sz="8" w:space="0" w:color="auto"/>
              <w:right w:val="nil"/>
            </w:tcBorders>
            <w:shd w:val="clear" w:color="auto" w:fill="auto"/>
            <w:vAlign w:val="center"/>
            <w:hideMark/>
          </w:tcPr>
          <w:p w14:paraId="4C0D6F5C" w14:textId="77777777" w:rsidR="00CA040B" w:rsidRPr="008205FD" w:rsidRDefault="00CA040B" w:rsidP="00622A00">
            <w:pPr>
              <w:spacing w:after="0" w:line="240" w:lineRule="auto"/>
              <w:jc w:val="center"/>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Operating Income</w:t>
            </w:r>
          </w:p>
        </w:tc>
        <w:tc>
          <w:tcPr>
            <w:tcW w:w="1040" w:type="dxa"/>
            <w:tcBorders>
              <w:top w:val="nil"/>
              <w:left w:val="nil"/>
              <w:bottom w:val="single" w:sz="8" w:space="0" w:color="auto"/>
              <w:right w:val="nil"/>
            </w:tcBorders>
            <w:shd w:val="clear" w:color="auto" w:fill="auto"/>
            <w:vAlign w:val="center"/>
            <w:hideMark/>
          </w:tcPr>
          <w:p w14:paraId="3A75EDB8" w14:textId="77777777" w:rsidR="00CA040B" w:rsidRPr="008205FD" w:rsidRDefault="00CA040B" w:rsidP="00622A00">
            <w:pPr>
              <w:spacing w:after="0" w:line="240" w:lineRule="auto"/>
              <w:jc w:val="center"/>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Diluted EPS</w:t>
            </w:r>
          </w:p>
        </w:tc>
      </w:tr>
      <w:tr w:rsidR="00CA040B" w:rsidRPr="008205FD" w14:paraId="7C210CAA" w14:textId="77777777" w:rsidTr="00622A00">
        <w:trPr>
          <w:trHeight w:val="288"/>
        </w:trPr>
        <w:tc>
          <w:tcPr>
            <w:tcW w:w="3321" w:type="dxa"/>
            <w:tcBorders>
              <w:top w:val="nil"/>
              <w:left w:val="nil"/>
              <w:bottom w:val="nil"/>
              <w:right w:val="nil"/>
            </w:tcBorders>
            <w:shd w:val="clear" w:color="auto" w:fill="auto"/>
            <w:noWrap/>
            <w:vAlign w:val="center"/>
            <w:hideMark/>
          </w:tcPr>
          <w:p w14:paraId="42E436F2" w14:textId="77777777" w:rsidR="00CA040B" w:rsidRPr="008205FD" w:rsidRDefault="00CA040B" w:rsidP="00622A00">
            <w:pPr>
              <w:spacing w:after="0" w:line="240" w:lineRule="auto"/>
              <w:ind w:firstLineChars="200" w:firstLine="320"/>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Surface RT Inventory Adjustments</w:t>
            </w:r>
          </w:p>
        </w:tc>
        <w:tc>
          <w:tcPr>
            <w:tcW w:w="1040" w:type="dxa"/>
            <w:tcBorders>
              <w:top w:val="nil"/>
              <w:left w:val="nil"/>
              <w:bottom w:val="nil"/>
              <w:right w:val="nil"/>
            </w:tcBorders>
            <w:shd w:val="clear" w:color="auto" w:fill="auto"/>
            <w:vAlign w:val="center"/>
            <w:hideMark/>
          </w:tcPr>
          <w:p w14:paraId="481CABCB" w14:textId="77777777" w:rsidR="00CA040B" w:rsidRPr="008205FD" w:rsidRDefault="00CA040B" w:rsidP="00622A00">
            <w:pPr>
              <w:spacing w:after="0" w:line="240" w:lineRule="auto"/>
              <w:jc w:val="right"/>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w:t>
            </w:r>
            <w:r w:rsidR="007C1D4D">
              <w:rPr>
                <w:rFonts w:ascii="Segoe UI" w:eastAsia="Times New Roman" w:hAnsi="Segoe UI" w:cs="Segoe UI"/>
                <w:color w:val="666666"/>
                <w:sz w:val="16"/>
                <w:szCs w:val="16"/>
              </w:rPr>
              <w:t>(</w:t>
            </w:r>
            <w:r w:rsidRPr="008205FD">
              <w:rPr>
                <w:rFonts w:ascii="Segoe UI" w:eastAsia="Times New Roman" w:hAnsi="Segoe UI" w:cs="Segoe UI"/>
                <w:color w:val="666666"/>
                <w:sz w:val="16"/>
                <w:szCs w:val="16"/>
              </w:rPr>
              <w:t>38)</w:t>
            </w:r>
          </w:p>
        </w:tc>
        <w:tc>
          <w:tcPr>
            <w:tcW w:w="1040" w:type="dxa"/>
            <w:tcBorders>
              <w:top w:val="nil"/>
              <w:left w:val="nil"/>
              <w:bottom w:val="nil"/>
              <w:right w:val="nil"/>
            </w:tcBorders>
            <w:shd w:val="clear" w:color="auto" w:fill="auto"/>
            <w:vAlign w:val="center"/>
            <w:hideMark/>
          </w:tcPr>
          <w:p w14:paraId="0EF76856" w14:textId="77777777" w:rsidR="00CA040B" w:rsidRPr="008205FD" w:rsidRDefault="00CA040B" w:rsidP="00622A00">
            <w:pPr>
              <w:spacing w:after="0" w:line="240" w:lineRule="auto"/>
              <w:jc w:val="right"/>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w:t>
            </w:r>
            <w:r w:rsidR="007C1D4D">
              <w:rPr>
                <w:rFonts w:ascii="Segoe UI" w:eastAsia="Times New Roman" w:hAnsi="Segoe UI" w:cs="Segoe UI"/>
                <w:color w:val="666666"/>
                <w:sz w:val="16"/>
                <w:szCs w:val="16"/>
              </w:rPr>
              <w:t>(</w:t>
            </w:r>
            <w:r w:rsidRPr="008205FD">
              <w:rPr>
                <w:rFonts w:ascii="Segoe UI" w:eastAsia="Times New Roman" w:hAnsi="Segoe UI" w:cs="Segoe UI"/>
                <w:color w:val="666666"/>
                <w:sz w:val="16"/>
                <w:szCs w:val="16"/>
              </w:rPr>
              <w:t>900)</w:t>
            </w:r>
          </w:p>
        </w:tc>
        <w:tc>
          <w:tcPr>
            <w:tcW w:w="1040" w:type="dxa"/>
            <w:tcBorders>
              <w:top w:val="nil"/>
              <w:left w:val="nil"/>
              <w:bottom w:val="nil"/>
              <w:right w:val="nil"/>
            </w:tcBorders>
            <w:shd w:val="clear" w:color="auto" w:fill="auto"/>
            <w:vAlign w:val="center"/>
            <w:hideMark/>
          </w:tcPr>
          <w:p w14:paraId="446A59B3" w14:textId="77777777" w:rsidR="00CA040B" w:rsidRPr="008205FD" w:rsidRDefault="00CA040B" w:rsidP="00622A00">
            <w:pPr>
              <w:spacing w:after="0" w:line="240" w:lineRule="auto"/>
              <w:jc w:val="right"/>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w:t>
            </w:r>
            <w:r w:rsidR="007C1D4D">
              <w:rPr>
                <w:rFonts w:ascii="Segoe UI" w:eastAsia="Times New Roman" w:hAnsi="Segoe UI" w:cs="Segoe UI"/>
                <w:color w:val="666666"/>
                <w:sz w:val="16"/>
                <w:szCs w:val="16"/>
              </w:rPr>
              <w:t>(</w:t>
            </w:r>
            <w:r w:rsidRPr="008205FD">
              <w:rPr>
                <w:rFonts w:ascii="Segoe UI" w:eastAsia="Times New Roman" w:hAnsi="Segoe UI" w:cs="Segoe UI"/>
                <w:color w:val="666666"/>
                <w:sz w:val="16"/>
                <w:szCs w:val="16"/>
              </w:rPr>
              <w:t>900)</w:t>
            </w:r>
          </w:p>
        </w:tc>
        <w:tc>
          <w:tcPr>
            <w:tcW w:w="1040" w:type="dxa"/>
            <w:tcBorders>
              <w:top w:val="nil"/>
              <w:left w:val="nil"/>
              <w:bottom w:val="nil"/>
              <w:right w:val="nil"/>
            </w:tcBorders>
            <w:shd w:val="clear" w:color="auto" w:fill="auto"/>
            <w:vAlign w:val="center"/>
            <w:hideMark/>
          </w:tcPr>
          <w:p w14:paraId="3EFFF32E" w14:textId="77777777" w:rsidR="00CA040B" w:rsidRPr="008205FD" w:rsidRDefault="00CA040B" w:rsidP="00622A00">
            <w:pPr>
              <w:spacing w:after="0" w:line="240" w:lineRule="auto"/>
              <w:jc w:val="right"/>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w:t>
            </w:r>
            <w:r w:rsidR="007C1D4D">
              <w:rPr>
                <w:rFonts w:ascii="Segoe UI" w:eastAsia="Times New Roman" w:hAnsi="Segoe UI" w:cs="Segoe UI"/>
                <w:color w:val="666666"/>
                <w:sz w:val="16"/>
                <w:szCs w:val="16"/>
              </w:rPr>
              <w:t>(</w:t>
            </w:r>
            <w:r w:rsidRPr="008205FD">
              <w:rPr>
                <w:rFonts w:ascii="Segoe UI" w:eastAsia="Times New Roman" w:hAnsi="Segoe UI" w:cs="Segoe UI"/>
                <w:color w:val="666666"/>
                <w:sz w:val="16"/>
                <w:szCs w:val="16"/>
              </w:rPr>
              <w:t>0.07)</w:t>
            </w:r>
          </w:p>
        </w:tc>
      </w:tr>
      <w:tr w:rsidR="00CA040B" w:rsidRPr="008205FD" w14:paraId="112728EE" w14:textId="77777777" w:rsidTr="00622A00">
        <w:trPr>
          <w:trHeight w:val="288"/>
        </w:trPr>
        <w:tc>
          <w:tcPr>
            <w:tcW w:w="3321" w:type="dxa"/>
            <w:tcBorders>
              <w:top w:val="single" w:sz="4" w:space="0" w:color="auto"/>
              <w:left w:val="nil"/>
              <w:bottom w:val="single" w:sz="4" w:space="0" w:color="auto"/>
              <w:right w:val="nil"/>
            </w:tcBorders>
            <w:shd w:val="clear" w:color="auto" w:fill="auto"/>
            <w:noWrap/>
            <w:vAlign w:val="center"/>
            <w:hideMark/>
          </w:tcPr>
          <w:p w14:paraId="1AEFD79C" w14:textId="77777777" w:rsidR="00CA040B" w:rsidRPr="008205FD" w:rsidRDefault="00CA040B">
            <w:pPr>
              <w:spacing w:after="0" w:line="240" w:lineRule="auto"/>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 xml:space="preserve">2013 Impact of </w:t>
            </w:r>
            <w:r w:rsidR="00E93497">
              <w:rPr>
                <w:rFonts w:ascii="Segoe UI" w:eastAsia="Times New Roman" w:hAnsi="Segoe UI" w:cs="Segoe UI"/>
                <w:b/>
                <w:bCs/>
                <w:color w:val="666666"/>
                <w:sz w:val="16"/>
                <w:szCs w:val="16"/>
              </w:rPr>
              <w:t>Noted</w:t>
            </w:r>
            <w:r w:rsidR="00E93497" w:rsidRPr="008205FD">
              <w:rPr>
                <w:rFonts w:ascii="Segoe UI" w:eastAsia="Times New Roman" w:hAnsi="Segoe UI" w:cs="Segoe UI"/>
                <w:b/>
                <w:bCs/>
                <w:color w:val="666666"/>
                <w:sz w:val="16"/>
                <w:szCs w:val="16"/>
              </w:rPr>
              <w:t xml:space="preserve"> </w:t>
            </w:r>
            <w:r w:rsidRPr="008205FD">
              <w:rPr>
                <w:rFonts w:ascii="Segoe UI" w:eastAsia="Times New Roman" w:hAnsi="Segoe UI" w:cs="Segoe UI"/>
                <w:b/>
                <w:bCs/>
                <w:color w:val="666666"/>
                <w:sz w:val="16"/>
                <w:szCs w:val="16"/>
              </w:rPr>
              <w:t>Items</w:t>
            </w:r>
          </w:p>
        </w:tc>
        <w:tc>
          <w:tcPr>
            <w:tcW w:w="1040" w:type="dxa"/>
            <w:tcBorders>
              <w:top w:val="single" w:sz="4" w:space="0" w:color="auto"/>
              <w:left w:val="nil"/>
              <w:bottom w:val="single" w:sz="4" w:space="0" w:color="auto"/>
              <w:right w:val="nil"/>
            </w:tcBorders>
            <w:shd w:val="clear" w:color="auto" w:fill="auto"/>
            <w:vAlign w:val="center"/>
            <w:hideMark/>
          </w:tcPr>
          <w:p w14:paraId="7E2F4D44" w14:textId="77777777" w:rsidR="00CA040B" w:rsidRPr="008205FD" w:rsidRDefault="00CA040B" w:rsidP="00622A00">
            <w:pPr>
              <w:spacing w:after="0" w:line="240" w:lineRule="auto"/>
              <w:jc w:val="right"/>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w:t>
            </w:r>
            <w:r w:rsidR="007C1D4D">
              <w:rPr>
                <w:rFonts w:ascii="Segoe UI" w:eastAsia="Times New Roman" w:hAnsi="Segoe UI" w:cs="Segoe UI"/>
                <w:b/>
                <w:bCs/>
                <w:color w:val="666666"/>
                <w:sz w:val="16"/>
                <w:szCs w:val="16"/>
              </w:rPr>
              <w:t>(</w:t>
            </w:r>
            <w:r w:rsidRPr="008205FD">
              <w:rPr>
                <w:rFonts w:ascii="Segoe UI" w:eastAsia="Times New Roman" w:hAnsi="Segoe UI" w:cs="Segoe UI"/>
                <w:b/>
                <w:bCs/>
                <w:color w:val="666666"/>
                <w:sz w:val="16"/>
                <w:szCs w:val="16"/>
              </w:rPr>
              <w:t>38)</w:t>
            </w:r>
          </w:p>
        </w:tc>
        <w:tc>
          <w:tcPr>
            <w:tcW w:w="1040" w:type="dxa"/>
            <w:tcBorders>
              <w:top w:val="single" w:sz="4" w:space="0" w:color="auto"/>
              <w:left w:val="nil"/>
              <w:bottom w:val="single" w:sz="4" w:space="0" w:color="auto"/>
              <w:right w:val="nil"/>
            </w:tcBorders>
            <w:shd w:val="clear" w:color="auto" w:fill="auto"/>
            <w:vAlign w:val="center"/>
            <w:hideMark/>
          </w:tcPr>
          <w:p w14:paraId="77B4227C" w14:textId="77777777" w:rsidR="00CA040B" w:rsidRPr="008205FD" w:rsidRDefault="00CA040B" w:rsidP="00622A00">
            <w:pPr>
              <w:spacing w:after="0" w:line="240" w:lineRule="auto"/>
              <w:jc w:val="right"/>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w:t>
            </w:r>
            <w:r w:rsidR="007C1D4D">
              <w:rPr>
                <w:rFonts w:ascii="Segoe UI" w:eastAsia="Times New Roman" w:hAnsi="Segoe UI" w:cs="Segoe UI"/>
                <w:b/>
                <w:bCs/>
                <w:color w:val="666666"/>
                <w:sz w:val="16"/>
                <w:szCs w:val="16"/>
              </w:rPr>
              <w:t>(</w:t>
            </w:r>
            <w:r w:rsidRPr="008205FD">
              <w:rPr>
                <w:rFonts w:ascii="Segoe UI" w:eastAsia="Times New Roman" w:hAnsi="Segoe UI" w:cs="Segoe UI"/>
                <w:b/>
                <w:bCs/>
                <w:color w:val="666666"/>
                <w:sz w:val="16"/>
                <w:szCs w:val="16"/>
              </w:rPr>
              <w:t>900)</w:t>
            </w:r>
          </w:p>
        </w:tc>
        <w:tc>
          <w:tcPr>
            <w:tcW w:w="1040" w:type="dxa"/>
            <w:tcBorders>
              <w:top w:val="single" w:sz="4" w:space="0" w:color="auto"/>
              <w:left w:val="nil"/>
              <w:bottom w:val="single" w:sz="4" w:space="0" w:color="auto"/>
              <w:right w:val="nil"/>
            </w:tcBorders>
            <w:shd w:val="clear" w:color="auto" w:fill="auto"/>
            <w:vAlign w:val="center"/>
            <w:hideMark/>
          </w:tcPr>
          <w:p w14:paraId="549BE7C1" w14:textId="77777777" w:rsidR="00CA040B" w:rsidRPr="008205FD" w:rsidRDefault="00CA040B" w:rsidP="00622A00">
            <w:pPr>
              <w:spacing w:after="0" w:line="240" w:lineRule="auto"/>
              <w:jc w:val="right"/>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w:t>
            </w:r>
            <w:r w:rsidR="007C1D4D">
              <w:rPr>
                <w:rFonts w:ascii="Segoe UI" w:eastAsia="Times New Roman" w:hAnsi="Segoe UI" w:cs="Segoe UI"/>
                <w:b/>
                <w:bCs/>
                <w:color w:val="666666"/>
                <w:sz w:val="16"/>
                <w:szCs w:val="16"/>
              </w:rPr>
              <w:t>(</w:t>
            </w:r>
            <w:r w:rsidRPr="008205FD">
              <w:rPr>
                <w:rFonts w:ascii="Segoe UI" w:eastAsia="Times New Roman" w:hAnsi="Segoe UI" w:cs="Segoe UI"/>
                <w:b/>
                <w:bCs/>
                <w:color w:val="666666"/>
                <w:sz w:val="16"/>
                <w:szCs w:val="16"/>
              </w:rPr>
              <w:t>900)</w:t>
            </w:r>
          </w:p>
        </w:tc>
        <w:tc>
          <w:tcPr>
            <w:tcW w:w="1040" w:type="dxa"/>
            <w:tcBorders>
              <w:top w:val="single" w:sz="4" w:space="0" w:color="auto"/>
              <w:left w:val="nil"/>
              <w:bottom w:val="single" w:sz="4" w:space="0" w:color="auto"/>
              <w:right w:val="nil"/>
            </w:tcBorders>
            <w:shd w:val="clear" w:color="auto" w:fill="auto"/>
            <w:vAlign w:val="center"/>
            <w:hideMark/>
          </w:tcPr>
          <w:p w14:paraId="7C16C8ED" w14:textId="77777777" w:rsidR="00CA040B" w:rsidRPr="008205FD" w:rsidRDefault="00CA040B" w:rsidP="00622A00">
            <w:pPr>
              <w:spacing w:after="0" w:line="240" w:lineRule="auto"/>
              <w:jc w:val="right"/>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w:t>
            </w:r>
            <w:r w:rsidR="007C1D4D">
              <w:rPr>
                <w:rFonts w:ascii="Segoe UI" w:eastAsia="Times New Roman" w:hAnsi="Segoe UI" w:cs="Segoe UI"/>
                <w:b/>
                <w:bCs/>
                <w:color w:val="666666"/>
                <w:sz w:val="16"/>
                <w:szCs w:val="16"/>
              </w:rPr>
              <w:t>(</w:t>
            </w:r>
            <w:r w:rsidRPr="008205FD">
              <w:rPr>
                <w:rFonts w:ascii="Segoe UI" w:eastAsia="Times New Roman" w:hAnsi="Segoe UI" w:cs="Segoe UI"/>
                <w:b/>
                <w:bCs/>
                <w:color w:val="666666"/>
                <w:sz w:val="16"/>
                <w:szCs w:val="16"/>
              </w:rPr>
              <w:t>0.07)</w:t>
            </w:r>
          </w:p>
        </w:tc>
      </w:tr>
      <w:tr w:rsidR="00CA040B" w:rsidRPr="008205FD" w14:paraId="7ACCAAA0" w14:textId="77777777" w:rsidTr="00622A00">
        <w:trPr>
          <w:trHeight w:val="288"/>
        </w:trPr>
        <w:tc>
          <w:tcPr>
            <w:tcW w:w="3321" w:type="dxa"/>
            <w:tcBorders>
              <w:top w:val="nil"/>
              <w:left w:val="nil"/>
              <w:bottom w:val="nil"/>
              <w:right w:val="nil"/>
            </w:tcBorders>
            <w:shd w:val="clear" w:color="auto" w:fill="auto"/>
            <w:noWrap/>
            <w:vAlign w:val="center"/>
            <w:hideMark/>
          </w:tcPr>
          <w:p w14:paraId="2659FD9E" w14:textId="77777777" w:rsidR="00CA040B" w:rsidRPr="008205FD" w:rsidRDefault="00CA040B" w:rsidP="00622A00">
            <w:pPr>
              <w:spacing w:after="0" w:line="240" w:lineRule="auto"/>
              <w:ind w:firstLineChars="200" w:firstLine="320"/>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End of Nokia Commercial Agreement</w:t>
            </w:r>
          </w:p>
        </w:tc>
        <w:tc>
          <w:tcPr>
            <w:tcW w:w="1040" w:type="dxa"/>
            <w:tcBorders>
              <w:top w:val="nil"/>
              <w:left w:val="nil"/>
              <w:bottom w:val="nil"/>
              <w:right w:val="nil"/>
            </w:tcBorders>
            <w:shd w:val="clear" w:color="auto" w:fill="auto"/>
            <w:vAlign w:val="center"/>
            <w:hideMark/>
          </w:tcPr>
          <w:p w14:paraId="656350FE" w14:textId="77777777" w:rsidR="00CA040B" w:rsidRPr="008205FD" w:rsidRDefault="00CA040B" w:rsidP="00815A8C">
            <w:pPr>
              <w:spacing w:after="0" w:line="240" w:lineRule="auto"/>
              <w:jc w:val="right"/>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$38</w:t>
            </w:r>
            <w:r w:rsidR="007A65AE">
              <w:rPr>
                <w:rFonts w:ascii="Segoe UI" w:eastAsia="Times New Roman" w:hAnsi="Segoe UI" w:cs="Segoe UI"/>
                <w:color w:val="666666"/>
                <w:sz w:val="16"/>
                <w:szCs w:val="16"/>
              </w:rPr>
              <w:t>2</w:t>
            </w:r>
            <w:r w:rsidRPr="008205FD">
              <w:rPr>
                <w:rFonts w:ascii="Segoe UI" w:eastAsia="Times New Roman" w:hAnsi="Segoe UI" w:cs="Segoe UI"/>
                <w:color w:val="666666"/>
                <w:sz w:val="16"/>
                <w:szCs w:val="16"/>
              </w:rPr>
              <w:t xml:space="preserve"> </w:t>
            </w:r>
          </w:p>
        </w:tc>
        <w:tc>
          <w:tcPr>
            <w:tcW w:w="1040" w:type="dxa"/>
            <w:tcBorders>
              <w:top w:val="nil"/>
              <w:left w:val="nil"/>
              <w:bottom w:val="nil"/>
              <w:right w:val="nil"/>
            </w:tcBorders>
            <w:shd w:val="clear" w:color="auto" w:fill="auto"/>
            <w:vAlign w:val="center"/>
            <w:hideMark/>
          </w:tcPr>
          <w:p w14:paraId="2E26FBC3" w14:textId="77777777" w:rsidR="00CA040B" w:rsidRPr="008205FD" w:rsidRDefault="00CA040B" w:rsidP="00815A8C">
            <w:pPr>
              <w:spacing w:after="0" w:line="240" w:lineRule="auto"/>
              <w:jc w:val="right"/>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$38</w:t>
            </w:r>
            <w:r w:rsidR="007A65AE">
              <w:rPr>
                <w:rFonts w:ascii="Segoe UI" w:eastAsia="Times New Roman" w:hAnsi="Segoe UI" w:cs="Segoe UI"/>
                <w:color w:val="666666"/>
                <w:sz w:val="16"/>
                <w:szCs w:val="16"/>
              </w:rPr>
              <w:t>2</w:t>
            </w:r>
            <w:r w:rsidRPr="008205FD">
              <w:rPr>
                <w:rFonts w:ascii="Segoe UI" w:eastAsia="Times New Roman" w:hAnsi="Segoe UI" w:cs="Segoe UI"/>
                <w:color w:val="666666"/>
                <w:sz w:val="16"/>
                <w:szCs w:val="16"/>
              </w:rPr>
              <w:t xml:space="preserve"> </w:t>
            </w:r>
          </w:p>
        </w:tc>
        <w:tc>
          <w:tcPr>
            <w:tcW w:w="1040" w:type="dxa"/>
            <w:tcBorders>
              <w:top w:val="nil"/>
              <w:left w:val="nil"/>
              <w:bottom w:val="nil"/>
              <w:right w:val="nil"/>
            </w:tcBorders>
            <w:shd w:val="clear" w:color="auto" w:fill="auto"/>
            <w:vAlign w:val="center"/>
            <w:hideMark/>
          </w:tcPr>
          <w:p w14:paraId="2895395D" w14:textId="77777777" w:rsidR="00CA040B" w:rsidRPr="008205FD" w:rsidRDefault="00CA040B" w:rsidP="00622A00">
            <w:pPr>
              <w:spacing w:after="0" w:line="240" w:lineRule="auto"/>
              <w:jc w:val="right"/>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$38</w:t>
            </w:r>
            <w:r w:rsidR="007A65AE">
              <w:rPr>
                <w:rFonts w:ascii="Segoe UI" w:eastAsia="Times New Roman" w:hAnsi="Segoe UI" w:cs="Segoe UI"/>
                <w:color w:val="666666"/>
                <w:sz w:val="16"/>
                <w:szCs w:val="16"/>
              </w:rPr>
              <w:t>2</w:t>
            </w:r>
            <w:r w:rsidRPr="008205FD">
              <w:rPr>
                <w:rFonts w:ascii="Segoe UI" w:eastAsia="Times New Roman" w:hAnsi="Segoe UI" w:cs="Segoe UI"/>
                <w:color w:val="666666"/>
                <w:sz w:val="16"/>
                <w:szCs w:val="16"/>
              </w:rPr>
              <w:t xml:space="preserve"> </w:t>
            </w:r>
          </w:p>
        </w:tc>
        <w:tc>
          <w:tcPr>
            <w:tcW w:w="1040" w:type="dxa"/>
            <w:tcBorders>
              <w:top w:val="nil"/>
              <w:left w:val="nil"/>
              <w:bottom w:val="nil"/>
              <w:right w:val="nil"/>
            </w:tcBorders>
            <w:shd w:val="clear" w:color="auto" w:fill="auto"/>
            <w:vAlign w:val="center"/>
            <w:hideMark/>
          </w:tcPr>
          <w:p w14:paraId="7FC6703C" w14:textId="77777777" w:rsidR="00CA040B" w:rsidRPr="00815A8C" w:rsidRDefault="00CA040B" w:rsidP="00622A00">
            <w:pPr>
              <w:spacing w:after="0" w:line="240" w:lineRule="auto"/>
              <w:jc w:val="right"/>
              <w:rPr>
                <w:rFonts w:ascii="Segoe UI" w:eastAsia="Times New Roman" w:hAnsi="Segoe UI" w:cs="Segoe UI"/>
                <w:color w:val="666666"/>
                <w:sz w:val="16"/>
                <w:szCs w:val="16"/>
              </w:rPr>
            </w:pPr>
            <w:r w:rsidRPr="00815A8C">
              <w:rPr>
                <w:rFonts w:ascii="Segoe UI" w:eastAsia="Times New Roman" w:hAnsi="Segoe UI" w:cs="Segoe UI"/>
                <w:color w:val="666666"/>
                <w:sz w:val="16"/>
                <w:szCs w:val="16"/>
              </w:rPr>
              <w:t xml:space="preserve">$0.04 </w:t>
            </w:r>
          </w:p>
        </w:tc>
      </w:tr>
      <w:tr w:rsidR="00CA040B" w:rsidRPr="008205FD" w14:paraId="51F79C7A" w14:textId="77777777" w:rsidTr="00622A00">
        <w:trPr>
          <w:trHeight w:val="288"/>
        </w:trPr>
        <w:tc>
          <w:tcPr>
            <w:tcW w:w="3321" w:type="dxa"/>
            <w:tcBorders>
              <w:top w:val="nil"/>
              <w:left w:val="nil"/>
              <w:bottom w:val="nil"/>
              <w:right w:val="nil"/>
            </w:tcBorders>
            <w:shd w:val="clear" w:color="auto" w:fill="auto"/>
            <w:noWrap/>
            <w:vAlign w:val="center"/>
            <w:hideMark/>
          </w:tcPr>
          <w:p w14:paraId="18BAADA5" w14:textId="77777777" w:rsidR="00CA040B" w:rsidRPr="008205FD" w:rsidRDefault="00CA040B" w:rsidP="00622A00">
            <w:pPr>
              <w:spacing w:after="0" w:line="240" w:lineRule="auto"/>
              <w:ind w:firstLineChars="200" w:firstLine="320"/>
              <w:rPr>
                <w:rFonts w:ascii="Segoe UI" w:eastAsia="Times New Roman" w:hAnsi="Segoe UI" w:cs="Segoe UI"/>
                <w:color w:val="666666"/>
                <w:sz w:val="16"/>
                <w:szCs w:val="16"/>
              </w:rPr>
            </w:pPr>
            <w:r w:rsidRPr="008205FD">
              <w:rPr>
                <w:rFonts w:ascii="Segoe UI" w:eastAsia="Times New Roman" w:hAnsi="Segoe UI" w:cs="Segoe UI"/>
                <w:color w:val="666666"/>
                <w:sz w:val="16"/>
                <w:szCs w:val="16"/>
              </w:rPr>
              <w:t>Integration and Restructuring</w:t>
            </w:r>
          </w:p>
        </w:tc>
        <w:tc>
          <w:tcPr>
            <w:tcW w:w="1040" w:type="dxa"/>
            <w:tcBorders>
              <w:top w:val="nil"/>
              <w:left w:val="nil"/>
              <w:bottom w:val="nil"/>
              <w:right w:val="nil"/>
            </w:tcBorders>
            <w:shd w:val="clear" w:color="auto" w:fill="auto"/>
            <w:vAlign w:val="center"/>
            <w:hideMark/>
          </w:tcPr>
          <w:p w14:paraId="4CA44D9C" w14:textId="77777777" w:rsidR="00CA040B" w:rsidRPr="00815A8C" w:rsidRDefault="008F4EAD" w:rsidP="00622A00">
            <w:pPr>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r w:rsidR="00CA040B" w:rsidRPr="00815A8C">
              <w:rPr>
                <w:rFonts w:ascii="Segoe UI" w:eastAsia="Times New Roman" w:hAnsi="Segoe UI" w:cs="Segoe UI"/>
                <w:color w:val="666666"/>
                <w:sz w:val="16"/>
                <w:szCs w:val="16"/>
              </w:rPr>
              <w:t xml:space="preserve"> </w:t>
            </w:r>
          </w:p>
        </w:tc>
        <w:tc>
          <w:tcPr>
            <w:tcW w:w="1040" w:type="dxa"/>
            <w:tcBorders>
              <w:top w:val="nil"/>
              <w:left w:val="nil"/>
              <w:bottom w:val="nil"/>
              <w:right w:val="nil"/>
            </w:tcBorders>
            <w:shd w:val="clear" w:color="auto" w:fill="auto"/>
            <w:vAlign w:val="center"/>
            <w:hideMark/>
          </w:tcPr>
          <w:p w14:paraId="56423C20" w14:textId="77777777" w:rsidR="00CA040B" w:rsidRPr="00815A8C" w:rsidRDefault="008F4EAD" w:rsidP="00622A00">
            <w:pPr>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r w:rsidR="00CA040B" w:rsidRPr="00815A8C">
              <w:rPr>
                <w:rFonts w:ascii="Segoe UI" w:eastAsia="Times New Roman" w:hAnsi="Segoe UI" w:cs="Segoe UI"/>
                <w:color w:val="666666"/>
                <w:sz w:val="16"/>
                <w:szCs w:val="16"/>
              </w:rPr>
              <w:t xml:space="preserve"> </w:t>
            </w:r>
          </w:p>
        </w:tc>
        <w:tc>
          <w:tcPr>
            <w:tcW w:w="1040" w:type="dxa"/>
            <w:tcBorders>
              <w:top w:val="nil"/>
              <w:left w:val="nil"/>
              <w:bottom w:val="nil"/>
              <w:right w:val="nil"/>
            </w:tcBorders>
            <w:shd w:val="clear" w:color="auto" w:fill="auto"/>
            <w:vAlign w:val="center"/>
            <w:hideMark/>
          </w:tcPr>
          <w:p w14:paraId="46098B64" w14:textId="77777777" w:rsidR="00CA040B" w:rsidRPr="00815A8C" w:rsidRDefault="00CA040B" w:rsidP="00622A00">
            <w:pPr>
              <w:spacing w:after="0" w:line="240" w:lineRule="auto"/>
              <w:jc w:val="right"/>
              <w:rPr>
                <w:rFonts w:ascii="Segoe UI" w:eastAsia="Times New Roman" w:hAnsi="Segoe UI" w:cs="Segoe UI"/>
                <w:color w:val="666666"/>
                <w:sz w:val="16"/>
                <w:szCs w:val="16"/>
              </w:rPr>
            </w:pPr>
            <w:r w:rsidRPr="00815A8C">
              <w:rPr>
                <w:rFonts w:ascii="Segoe UI" w:eastAsia="Times New Roman" w:hAnsi="Segoe UI" w:cs="Segoe UI"/>
                <w:color w:val="666666"/>
                <w:sz w:val="16"/>
                <w:szCs w:val="16"/>
              </w:rPr>
              <w:t>$</w:t>
            </w:r>
            <w:r w:rsidR="007C1D4D" w:rsidRPr="00815A8C">
              <w:rPr>
                <w:rFonts w:ascii="Segoe UI" w:eastAsia="Times New Roman" w:hAnsi="Segoe UI" w:cs="Segoe UI"/>
                <w:color w:val="666666"/>
                <w:sz w:val="16"/>
                <w:szCs w:val="16"/>
              </w:rPr>
              <w:t>(</w:t>
            </w:r>
            <w:r w:rsidRPr="00815A8C">
              <w:rPr>
                <w:rFonts w:ascii="Segoe UI" w:eastAsia="Times New Roman" w:hAnsi="Segoe UI" w:cs="Segoe UI"/>
                <w:color w:val="666666"/>
                <w:sz w:val="16"/>
                <w:szCs w:val="16"/>
              </w:rPr>
              <w:t>127)</w:t>
            </w:r>
          </w:p>
        </w:tc>
        <w:tc>
          <w:tcPr>
            <w:tcW w:w="1040" w:type="dxa"/>
            <w:tcBorders>
              <w:top w:val="nil"/>
              <w:left w:val="nil"/>
              <w:bottom w:val="nil"/>
              <w:right w:val="nil"/>
            </w:tcBorders>
            <w:shd w:val="clear" w:color="auto" w:fill="auto"/>
            <w:vAlign w:val="center"/>
            <w:hideMark/>
          </w:tcPr>
          <w:p w14:paraId="77354727" w14:textId="77777777" w:rsidR="00CA040B" w:rsidRPr="00815A8C" w:rsidRDefault="00CA040B" w:rsidP="00622A00">
            <w:pPr>
              <w:spacing w:after="0" w:line="240" w:lineRule="auto"/>
              <w:jc w:val="right"/>
              <w:rPr>
                <w:rFonts w:ascii="Segoe UI" w:eastAsia="Times New Roman" w:hAnsi="Segoe UI" w:cs="Segoe UI"/>
                <w:color w:val="666666"/>
                <w:sz w:val="16"/>
                <w:szCs w:val="16"/>
              </w:rPr>
            </w:pPr>
            <w:r w:rsidRPr="00815A8C">
              <w:rPr>
                <w:rFonts w:ascii="Segoe UI" w:eastAsia="Times New Roman" w:hAnsi="Segoe UI" w:cs="Segoe UI"/>
                <w:color w:val="666666"/>
                <w:sz w:val="16"/>
                <w:szCs w:val="16"/>
              </w:rPr>
              <w:t>$</w:t>
            </w:r>
            <w:r w:rsidR="007C1D4D" w:rsidRPr="00815A8C">
              <w:rPr>
                <w:rFonts w:ascii="Segoe UI" w:eastAsia="Times New Roman" w:hAnsi="Segoe UI" w:cs="Segoe UI"/>
                <w:color w:val="666666"/>
                <w:sz w:val="16"/>
                <w:szCs w:val="16"/>
              </w:rPr>
              <w:t>(</w:t>
            </w:r>
            <w:r w:rsidRPr="00815A8C">
              <w:rPr>
                <w:rFonts w:ascii="Segoe UI" w:eastAsia="Times New Roman" w:hAnsi="Segoe UI" w:cs="Segoe UI"/>
                <w:color w:val="666666"/>
                <w:sz w:val="16"/>
                <w:szCs w:val="16"/>
              </w:rPr>
              <w:t>0.02)</w:t>
            </w:r>
          </w:p>
        </w:tc>
      </w:tr>
      <w:tr w:rsidR="00CA040B" w:rsidRPr="008205FD" w14:paraId="030B6139" w14:textId="77777777" w:rsidTr="00622A00">
        <w:trPr>
          <w:trHeight w:val="288"/>
        </w:trPr>
        <w:tc>
          <w:tcPr>
            <w:tcW w:w="3321" w:type="dxa"/>
            <w:tcBorders>
              <w:top w:val="nil"/>
              <w:left w:val="nil"/>
              <w:bottom w:val="nil"/>
              <w:right w:val="nil"/>
            </w:tcBorders>
            <w:shd w:val="clear" w:color="auto" w:fill="auto"/>
            <w:noWrap/>
            <w:vAlign w:val="center"/>
            <w:hideMark/>
          </w:tcPr>
          <w:p w14:paraId="233AD129" w14:textId="77777777" w:rsidR="00CA040B" w:rsidRPr="008205FD" w:rsidRDefault="00224EDC" w:rsidP="00622A00">
            <w:pPr>
              <w:spacing w:after="0" w:line="240" w:lineRule="auto"/>
              <w:ind w:firstLineChars="200" w:firstLine="320"/>
              <w:rPr>
                <w:rFonts w:ascii="Segoe UI" w:eastAsia="Times New Roman" w:hAnsi="Segoe UI" w:cs="Segoe UI"/>
                <w:color w:val="666666"/>
                <w:sz w:val="16"/>
                <w:szCs w:val="16"/>
              </w:rPr>
            </w:pPr>
            <w:r>
              <w:rPr>
                <w:rFonts w:ascii="Segoe UI" w:eastAsia="Times New Roman" w:hAnsi="Segoe UI" w:cs="Segoe UI"/>
                <w:color w:val="666666"/>
                <w:sz w:val="16"/>
                <w:szCs w:val="16"/>
              </w:rPr>
              <w:t>Adjustment to Prior Year</w:t>
            </w:r>
            <w:r w:rsidR="00A84C10">
              <w:rPr>
                <w:rFonts w:ascii="Segoe UI" w:eastAsia="Times New Roman" w:hAnsi="Segoe UI" w:cs="Segoe UI"/>
                <w:color w:val="666666"/>
                <w:sz w:val="16"/>
                <w:szCs w:val="16"/>
              </w:rPr>
              <w:t>s’</w:t>
            </w:r>
            <w:r>
              <w:rPr>
                <w:rFonts w:ascii="Segoe UI" w:eastAsia="Times New Roman" w:hAnsi="Segoe UI" w:cs="Segoe UI"/>
                <w:color w:val="666666"/>
                <w:sz w:val="16"/>
                <w:szCs w:val="16"/>
              </w:rPr>
              <w:t xml:space="preserve"> Taxes</w:t>
            </w:r>
          </w:p>
        </w:tc>
        <w:tc>
          <w:tcPr>
            <w:tcW w:w="1040" w:type="dxa"/>
            <w:tcBorders>
              <w:top w:val="nil"/>
              <w:left w:val="nil"/>
              <w:bottom w:val="nil"/>
              <w:right w:val="nil"/>
            </w:tcBorders>
            <w:shd w:val="clear" w:color="auto" w:fill="auto"/>
            <w:vAlign w:val="center"/>
            <w:hideMark/>
          </w:tcPr>
          <w:p w14:paraId="2276C765" w14:textId="77777777" w:rsidR="00CA040B" w:rsidRPr="00815A8C" w:rsidRDefault="0076015A" w:rsidP="00622A00">
            <w:pPr>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r w:rsidR="00CA040B" w:rsidRPr="00815A8C">
              <w:rPr>
                <w:rFonts w:ascii="Segoe UI" w:eastAsia="Times New Roman" w:hAnsi="Segoe UI" w:cs="Segoe UI"/>
                <w:color w:val="666666"/>
                <w:sz w:val="16"/>
                <w:szCs w:val="16"/>
              </w:rPr>
              <w:t xml:space="preserve"> </w:t>
            </w:r>
          </w:p>
        </w:tc>
        <w:tc>
          <w:tcPr>
            <w:tcW w:w="1040" w:type="dxa"/>
            <w:tcBorders>
              <w:top w:val="nil"/>
              <w:left w:val="nil"/>
              <w:bottom w:val="nil"/>
              <w:right w:val="nil"/>
            </w:tcBorders>
            <w:shd w:val="clear" w:color="auto" w:fill="auto"/>
            <w:vAlign w:val="center"/>
            <w:hideMark/>
          </w:tcPr>
          <w:p w14:paraId="41CC3BB1" w14:textId="77777777" w:rsidR="00CA040B" w:rsidRPr="00815A8C" w:rsidRDefault="0076015A" w:rsidP="00622A00">
            <w:pPr>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r w:rsidR="00CA040B" w:rsidRPr="00815A8C">
              <w:rPr>
                <w:rFonts w:ascii="Segoe UI" w:eastAsia="Times New Roman" w:hAnsi="Segoe UI" w:cs="Segoe UI"/>
                <w:color w:val="666666"/>
                <w:sz w:val="16"/>
                <w:szCs w:val="16"/>
              </w:rPr>
              <w:t xml:space="preserve"> </w:t>
            </w:r>
          </w:p>
        </w:tc>
        <w:tc>
          <w:tcPr>
            <w:tcW w:w="1040" w:type="dxa"/>
            <w:tcBorders>
              <w:top w:val="nil"/>
              <w:left w:val="nil"/>
              <w:bottom w:val="nil"/>
              <w:right w:val="nil"/>
            </w:tcBorders>
            <w:shd w:val="clear" w:color="auto" w:fill="auto"/>
            <w:vAlign w:val="center"/>
            <w:hideMark/>
          </w:tcPr>
          <w:p w14:paraId="531AD283" w14:textId="77777777" w:rsidR="00CA040B" w:rsidRPr="00815A8C" w:rsidRDefault="0076015A" w:rsidP="00622A00">
            <w:pPr>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r w:rsidR="00CA040B" w:rsidRPr="00815A8C">
              <w:rPr>
                <w:rFonts w:ascii="Segoe UI" w:eastAsia="Times New Roman" w:hAnsi="Segoe UI" w:cs="Segoe UI"/>
                <w:color w:val="666666"/>
                <w:sz w:val="16"/>
                <w:szCs w:val="16"/>
              </w:rPr>
              <w:t xml:space="preserve"> </w:t>
            </w:r>
          </w:p>
        </w:tc>
        <w:tc>
          <w:tcPr>
            <w:tcW w:w="1040" w:type="dxa"/>
            <w:tcBorders>
              <w:top w:val="nil"/>
              <w:left w:val="nil"/>
              <w:bottom w:val="nil"/>
              <w:right w:val="nil"/>
            </w:tcBorders>
            <w:shd w:val="clear" w:color="auto" w:fill="auto"/>
            <w:vAlign w:val="center"/>
            <w:hideMark/>
          </w:tcPr>
          <w:p w14:paraId="470AC3EE" w14:textId="77777777" w:rsidR="00CA040B" w:rsidRPr="00815A8C" w:rsidRDefault="00CA040B" w:rsidP="00622A00">
            <w:pPr>
              <w:spacing w:after="0" w:line="240" w:lineRule="auto"/>
              <w:jc w:val="right"/>
              <w:rPr>
                <w:rFonts w:ascii="Segoe UI" w:eastAsia="Times New Roman" w:hAnsi="Segoe UI" w:cs="Segoe UI"/>
                <w:color w:val="666666"/>
                <w:sz w:val="16"/>
                <w:szCs w:val="16"/>
              </w:rPr>
            </w:pPr>
            <w:r w:rsidRPr="00815A8C">
              <w:rPr>
                <w:rFonts w:ascii="Segoe UI" w:eastAsia="Times New Roman" w:hAnsi="Segoe UI" w:cs="Segoe UI"/>
                <w:color w:val="666666"/>
                <w:sz w:val="16"/>
                <w:szCs w:val="16"/>
              </w:rPr>
              <w:t>$</w:t>
            </w:r>
            <w:r w:rsidR="007C1D4D" w:rsidRPr="00815A8C">
              <w:rPr>
                <w:rFonts w:ascii="Segoe UI" w:eastAsia="Times New Roman" w:hAnsi="Segoe UI" w:cs="Segoe UI"/>
                <w:color w:val="666666"/>
                <w:sz w:val="16"/>
                <w:szCs w:val="16"/>
              </w:rPr>
              <w:t>(</w:t>
            </w:r>
            <w:r w:rsidRPr="00815A8C">
              <w:rPr>
                <w:rFonts w:ascii="Segoe UI" w:eastAsia="Times New Roman" w:hAnsi="Segoe UI" w:cs="Segoe UI"/>
                <w:color w:val="666666"/>
                <w:sz w:val="16"/>
                <w:szCs w:val="16"/>
              </w:rPr>
              <w:t>0.0</w:t>
            </w:r>
            <w:r w:rsidR="00C0268E" w:rsidRPr="00815A8C">
              <w:rPr>
                <w:rFonts w:ascii="Segoe UI" w:eastAsia="Times New Roman" w:hAnsi="Segoe UI" w:cs="Segoe UI"/>
                <w:color w:val="666666"/>
                <w:sz w:val="16"/>
                <w:szCs w:val="16"/>
              </w:rPr>
              <w:t>5</w:t>
            </w:r>
            <w:r w:rsidRPr="00815A8C">
              <w:rPr>
                <w:rFonts w:ascii="Segoe UI" w:eastAsia="Times New Roman" w:hAnsi="Segoe UI" w:cs="Segoe UI"/>
                <w:color w:val="666666"/>
                <w:sz w:val="16"/>
                <w:szCs w:val="16"/>
              </w:rPr>
              <w:t>)</w:t>
            </w:r>
          </w:p>
        </w:tc>
      </w:tr>
      <w:tr w:rsidR="00CA040B" w:rsidRPr="008205FD" w14:paraId="6D09FD37" w14:textId="77777777" w:rsidTr="00622A00">
        <w:trPr>
          <w:trHeight w:val="288"/>
        </w:trPr>
        <w:tc>
          <w:tcPr>
            <w:tcW w:w="3321" w:type="dxa"/>
            <w:tcBorders>
              <w:top w:val="single" w:sz="4" w:space="0" w:color="auto"/>
              <w:left w:val="nil"/>
              <w:bottom w:val="single" w:sz="4" w:space="0" w:color="auto"/>
              <w:right w:val="nil"/>
            </w:tcBorders>
            <w:shd w:val="clear" w:color="auto" w:fill="auto"/>
            <w:noWrap/>
            <w:vAlign w:val="center"/>
            <w:hideMark/>
          </w:tcPr>
          <w:p w14:paraId="669D806D" w14:textId="77777777" w:rsidR="00CA040B" w:rsidRPr="008205FD" w:rsidRDefault="00CA040B">
            <w:pPr>
              <w:spacing w:after="0" w:line="240" w:lineRule="auto"/>
              <w:rPr>
                <w:rFonts w:ascii="Segoe UI" w:eastAsia="Times New Roman" w:hAnsi="Segoe UI" w:cs="Segoe UI"/>
                <w:b/>
                <w:bCs/>
                <w:color w:val="666666"/>
                <w:sz w:val="16"/>
                <w:szCs w:val="16"/>
              </w:rPr>
            </w:pPr>
            <w:r w:rsidRPr="008205FD">
              <w:rPr>
                <w:rFonts w:ascii="Segoe UI" w:eastAsia="Times New Roman" w:hAnsi="Segoe UI" w:cs="Segoe UI"/>
                <w:b/>
                <w:bCs/>
                <w:color w:val="666666"/>
                <w:sz w:val="16"/>
                <w:szCs w:val="16"/>
              </w:rPr>
              <w:t xml:space="preserve">2014 Impact of </w:t>
            </w:r>
            <w:r w:rsidR="00E93497">
              <w:rPr>
                <w:rFonts w:ascii="Segoe UI" w:eastAsia="Times New Roman" w:hAnsi="Segoe UI" w:cs="Segoe UI"/>
                <w:b/>
                <w:bCs/>
                <w:color w:val="666666"/>
                <w:sz w:val="16"/>
                <w:szCs w:val="16"/>
              </w:rPr>
              <w:t>Noted</w:t>
            </w:r>
            <w:r w:rsidRPr="008205FD">
              <w:rPr>
                <w:rFonts w:ascii="Segoe UI" w:eastAsia="Times New Roman" w:hAnsi="Segoe UI" w:cs="Segoe UI"/>
                <w:b/>
                <w:bCs/>
                <w:color w:val="666666"/>
                <w:sz w:val="16"/>
                <w:szCs w:val="16"/>
              </w:rPr>
              <w:t xml:space="preserve"> Items</w:t>
            </w:r>
          </w:p>
        </w:tc>
        <w:tc>
          <w:tcPr>
            <w:tcW w:w="1040" w:type="dxa"/>
            <w:tcBorders>
              <w:top w:val="single" w:sz="4" w:space="0" w:color="auto"/>
              <w:left w:val="nil"/>
              <w:bottom w:val="single" w:sz="4" w:space="0" w:color="auto"/>
              <w:right w:val="nil"/>
            </w:tcBorders>
            <w:shd w:val="clear" w:color="auto" w:fill="auto"/>
            <w:vAlign w:val="center"/>
            <w:hideMark/>
          </w:tcPr>
          <w:p w14:paraId="4354C2B2" w14:textId="77777777" w:rsidR="00CA040B" w:rsidRPr="00815A8C" w:rsidRDefault="00CA040B"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$38</w:t>
            </w:r>
            <w:r w:rsidR="007A65AE" w:rsidRPr="00815A8C">
              <w:rPr>
                <w:rFonts w:ascii="Segoe UI" w:eastAsia="Times New Roman" w:hAnsi="Segoe UI" w:cs="Segoe UI"/>
                <w:b/>
                <w:bCs/>
                <w:color w:val="666666"/>
                <w:sz w:val="16"/>
                <w:szCs w:val="16"/>
              </w:rPr>
              <w:t>2</w:t>
            </w:r>
            <w:r w:rsidRPr="00815A8C">
              <w:rPr>
                <w:rFonts w:ascii="Segoe UI" w:eastAsia="Times New Roman" w:hAnsi="Segoe UI" w:cs="Segoe UI"/>
                <w:b/>
                <w:bCs/>
                <w:color w:val="666666"/>
                <w:sz w:val="16"/>
                <w:szCs w:val="16"/>
              </w:rPr>
              <w:t xml:space="preserve"> </w:t>
            </w:r>
          </w:p>
        </w:tc>
        <w:tc>
          <w:tcPr>
            <w:tcW w:w="1040" w:type="dxa"/>
            <w:tcBorders>
              <w:top w:val="single" w:sz="4" w:space="0" w:color="auto"/>
              <w:left w:val="nil"/>
              <w:bottom w:val="single" w:sz="4" w:space="0" w:color="auto"/>
              <w:right w:val="nil"/>
            </w:tcBorders>
            <w:shd w:val="clear" w:color="auto" w:fill="auto"/>
            <w:vAlign w:val="center"/>
            <w:hideMark/>
          </w:tcPr>
          <w:p w14:paraId="25BE0321" w14:textId="77777777" w:rsidR="00CA040B" w:rsidRPr="00815A8C" w:rsidRDefault="00CA040B"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$38</w:t>
            </w:r>
            <w:r w:rsidR="007A65AE" w:rsidRPr="00815A8C">
              <w:rPr>
                <w:rFonts w:ascii="Segoe UI" w:eastAsia="Times New Roman" w:hAnsi="Segoe UI" w:cs="Segoe UI"/>
                <w:b/>
                <w:bCs/>
                <w:color w:val="666666"/>
                <w:sz w:val="16"/>
                <w:szCs w:val="16"/>
              </w:rPr>
              <w:t>2</w:t>
            </w:r>
            <w:r w:rsidRPr="00815A8C">
              <w:rPr>
                <w:rFonts w:ascii="Segoe UI" w:eastAsia="Times New Roman" w:hAnsi="Segoe UI" w:cs="Segoe UI"/>
                <w:b/>
                <w:bCs/>
                <w:color w:val="666666"/>
                <w:sz w:val="16"/>
                <w:szCs w:val="16"/>
              </w:rPr>
              <w:t xml:space="preserve"> </w:t>
            </w:r>
          </w:p>
        </w:tc>
        <w:tc>
          <w:tcPr>
            <w:tcW w:w="1040" w:type="dxa"/>
            <w:tcBorders>
              <w:top w:val="single" w:sz="4" w:space="0" w:color="auto"/>
              <w:left w:val="nil"/>
              <w:bottom w:val="single" w:sz="4" w:space="0" w:color="auto"/>
              <w:right w:val="nil"/>
            </w:tcBorders>
            <w:shd w:val="clear" w:color="auto" w:fill="auto"/>
            <w:vAlign w:val="center"/>
            <w:hideMark/>
          </w:tcPr>
          <w:p w14:paraId="058AC203" w14:textId="5F3FC71C" w:rsidR="00CA040B" w:rsidRPr="00815A8C" w:rsidRDefault="00CA040B"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$25</w:t>
            </w:r>
            <w:r w:rsidR="00E12EC6">
              <w:rPr>
                <w:rFonts w:ascii="Segoe UI" w:eastAsia="Times New Roman" w:hAnsi="Segoe UI" w:cs="Segoe UI"/>
                <w:b/>
                <w:bCs/>
                <w:color w:val="666666"/>
                <w:sz w:val="16"/>
                <w:szCs w:val="16"/>
              </w:rPr>
              <w:t>5</w:t>
            </w:r>
            <w:r w:rsidRPr="00815A8C">
              <w:rPr>
                <w:rFonts w:ascii="Segoe UI" w:eastAsia="Times New Roman" w:hAnsi="Segoe UI" w:cs="Segoe UI"/>
                <w:b/>
                <w:bCs/>
                <w:color w:val="666666"/>
                <w:sz w:val="16"/>
                <w:szCs w:val="16"/>
              </w:rPr>
              <w:t xml:space="preserve"> </w:t>
            </w:r>
          </w:p>
        </w:tc>
        <w:tc>
          <w:tcPr>
            <w:tcW w:w="1040" w:type="dxa"/>
            <w:tcBorders>
              <w:top w:val="single" w:sz="4" w:space="0" w:color="auto"/>
              <w:left w:val="nil"/>
              <w:bottom w:val="single" w:sz="4" w:space="0" w:color="auto"/>
              <w:right w:val="nil"/>
            </w:tcBorders>
            <w:shd w:val="clear" w:color="auto" w:fill="auto"/>
            <w:vAlign w:val="center"/>
            <w:hideMark/>
          </w:tcPr>
          <w:p w14:paraId="3741A955" w14:textId="77777777" w:rsidR="00CA040B" w:rsidRPr="00815A8C" w:rsidRDefault="00CA040B" w:rsidP="00622A00">
            <w:pPr>
              <w:spacing w:after="0" w:line="240" w:lineRule="auto"/>
              <w:jc w:val="right"/>
              <w:rPr>
                <w:rFonts w:ascii="Segoe UI" w:eastAsia="Times New Roman" w:hAnsi="Segoe UI" w:cs="Segoe UI"/>
                <w:b/>
                <w:bCs/>
                <w:color w:val="666666"/>
                <w:sz w:val="16"/>
                <w:szCs w:val="16"/>
              </w:rPr>
            </w:pPr>
            <w:r w:rsidRPr="00815A8C">
              <w:rPr>
                <w:rFonts w:ascii="Segoe UI" w:eastAsia="Times New Roman" w:hAnsi="Segoe UI" w:cs="Segoe UI"/>
                <w:b/>
                <w:bCs/>
                <w:color w:val="666666"/>
                <w:sz w:val="16"/>
                <w:szCs w:val="16"/>
              </w:rPr>
              <w:t>$</w:t>
            </w:r>
            <w:r w:rsidR="007C1D4D" w:rsidRPr="00815A8C">
              <w:rPr>
                <w:rFonts w:ascii="Segoe UI" w:eastAsia="Times New Roman" w:hAnsi="Segoe UI" w:cs="Segoe UI"/>
                <w:b/>
                <w:bCs/>
                <w:color w:val="666666"/>
                <w:sz w:val="16"/>
                <w:szCs w:val="16"/>
              </w:rPr>
              <w:t>(</w:t>
            </w:r>
            <w:r w:rsidRPr="00815A8C">
              <w:rPr>
                <w:rFonts w:ascii="Segoe UI" w:eastAsia="Times New Roman" w:hAnsi="Segoe UI" w:cs="Segoe UI"/>
                <w:b/>
                <w:bCs/>
                <w:color w:val="666666"/>
                <w:sz w:val="16"/>
                <w:szCs w:val="16"/>
              </w:rPr>
              <w:t>0.0</w:t>
            </w:r>
            <w:r w:rsidR="00C0268E" w:rsidRPr="00815A8C">
              <w:rPr>
                <w:rFonts w:ascii="Segoe UI" w:eastAsia="Times New Roman" w:hAnsi="Segoe UI" w:cs="Segoe UI"/>
                <w:b/>
                <w:bCs/>
                <w:color w:val="666666"/>
                <w:sz w:val="16"/>
                <w:szCs w:val="16"/>
              </w:rPr>
              <w:t>3</w:t>
            </w:r>
            <w:r w:rsidRPr="00815A8C">
              <w:rPr>
                <w:rFonts w:ascii="Segoe UI" w:eastAsia="Times New Roman" w:hAnsi="Segoe UI" w:cs="Segoe UI"/>
                <w:b/>
                <w:bCs/>
                <w:color w:val="666666"/>
                <w:sz w:val="16"/>
                <w:szCs w:val="16"/>
              </w:rPr>
              <w:t>)</w:t>
            </w:r>
          </w:p>
        </w:tc>
      </w:tr>
    </w:tbl>
    <w:p w14:paraId="334410EE" w14:textId="77777777" w:rsidR="00CA040B" w:rsidRDefault="00CA040B" w:rsidP="00CA040B">
      <w:pPr>
        <w:spacing w:line="280" w:lineRule="exact"/>
        <w:rPr>
          <w:rFonts w:ascii="Segoe UI" w:hAnsi="Segoe UI" w:cs="Segoe UI"/>
          <w:color w:val="666666"/>
          <w:sz w:val="20"/>
          <w:szCs w:val="20"/>
        </w:rPr>
      </w:pPr>
    </w:p>
    <w:p w14:paraId="554A4E4E" w14:textId="69EDAEFE" w:rsidR="00CA040B" w:rsidRPr="00E06C86" w:rsidRDefault="00CA040B" w:rsidP="00CA040B">
      <w:pPr>
        <w:spacing w:line="280" w:lineRule="exact"/>
        <w:rPr>
          <w:rFonts w:ascii="Segoe UI" w:hAnsi="Segoe UI" w:cs="Segoe UI"/>
          <w:color w:val="666666"/>
          <w:sz w:val="20"/>
          <w:szCs w:val="20"/>
        </w:rPr>
      </w:pPr>
      <w:r w:rsidRPr="00E06C86">
        <w:rPr>
          <w:rFonts w:ascii="Segoe UI" w:hAnsi="Segoe UI" w:cs="Segoe UI"/>
          <w:color w:val="666666"/>
          <w:sz w:val="20"/>
          <w:szCs w:val="20"/>
        </w:rPr>
        <w:t>Devices and Consumer revenue grew 42% to $10.00 billion, with the following business highlights:</w:t>
      </w:r>
    </w:p>
    <w:p w14:paraId="1EAAE9FE" w14:textId="77777777" w:rsidR="00CA040B" w:rsidRPr="00E06C86" w:rsidRDefault="00CA040B" w:rsidP="00CA040B">
      <w:pPr>
        <w:pStyle w:val="ListParagraph"/>
        <w:numPr>
          <w:ilvl w:val="0"/>
          <w:numId w:val="2"/>
        </w:numPr>
        <w:spacing w:line="280" w:lineRule="exact"/>
        <w:rPr>
          <w:rFonts w:ascii="Segoe UI" w:hAnsi="Segoe UI" w:cs="Segoe UI"/>
          <w:color w:val="666666"/>
          <w:sz w:val="20"/>
          <w:szCs w:val="20"/>
        </w:rPr>
      </w:pPr>
      <w:r w:rsidRPr="00E06C86">
        <w:rPr>
          <w:rFonts w:ascii="Segoe UI" w:hAnsi="Segoe UI" w:cs="Segoe UI"/>
          <w:color w:val="666666"/>
          <w:sz w:val="20"/>
          <w:szCs w:val="20"/>
        </w:rPr>
        <w:t>Windows OEM revenue grew 3%, driven by 11% growth in Windows OEM Pro revenue</w:t>
      </w:r>
      <w:r w:rsidR="00031A74" w:rsidRPr="00E06C86">
        <w:rPr>
          <w:rFonts w:ascii="Segoe UI" w:hAnsi="Segoe UI" w:cs="Segoe UI"/>
          <w:color w:val="666666"/>
          <w:sz w:val="20"/>
          <w:szCs w:val="20"/>
        </w:rPr>
        <w:t>.</w:t>
      </w:r>
    </w:p>
    <w:p w14:paraId="1DDF7F15" w14:textId="579F86C6" w:rsidR="00CA040B" w:rsidRPr="00E06C86" w:rsidRDefault="00CA040B" w:rsidP="00CA040B">
      <w:pPr>
        <w:pStyle w:val="ListParagraph"/>
        <w:numPr>
          <w:ilvl w:val="0"/>
          <w:numId w:val="2"/>
        </w:numPr>
        <w:spacing w:line="280" w:lineRule="exact"/>
        <w:rPr>
          <w:rFonts w:ascii="Segoe UI" w:hAnsi="Segoe UI" w:cs="Segoe UI"/>
          <w:color w:val="666666"/>
          <w:sz w:val="20"/>
          <w:szCs w:val="20"/>
        </w:rPr>
      </w:pPr>
      <w:r w:rsidRPr="00E06C86">
        <w:rPr>
          <w:rFonts w:ascii="Segoe UI" w:hAnsi="Segoe UI" w:cs="Segoe UI"/>
          <w:color w:val="666666"/>
          <w:sz w:val="20"/>
          <w:szCs w:val="20"/>
        </w:rPr>
        <w:t xml:space="preserve">Office 365 Home and Personal </w:t>
      </w:r>
      <w:r w:rsidR="0091358F" w:rsidRPr="00E06C86">
        <w:rPr>
          <w:rFonts w:ascii="Segoe UI" w:hAnsi="Segoe UI" w:cs="Segoe UI"/>
          <w:color w:val="666666"/>
          <w:sz w:val="20"/>
          <w:szCs w:val="20"/>
        </w:rPr>
        <w:t>subscribers total</w:t>
      </w:r>
      <w:r w:rsidR="005F3081">
        <w:rPr>
          <w:rFonts w:ascii="Segoe UI" w:hAnsi="Segoe UI" w:cs="Segoe UI"/>
          <w:color w:val="666666"/>
          <w:sz w:val="20"/>
          <w:szCs w:val="20"/>
        </w:rPr>
        <w:t>ed</w:t>
      </w:r>
      <w:r w:rsidR="0091358F" w:rsidRPr="00E06C86">
        <w:rPr>
          <w:rFonts w:ascii="Segoe UI" w:hAnsi="Segoe UI" w:cs="Segoe UI"/>
          <w:color w:val="666666"/>
          <w:sz w:val="20"/>
          <w:szCs w:val="20"/>
        </w:rPr>
        <w:t xml:space="preserve"> more than 5.6 million, adding more </w:t>
      </w:r>
      <w:r w:rsidR="002D57BB" w:rsidRPr="00E06C86">
        <w:rPr>
          <w:rFonts w:ascii="Segoe UI" w:hAnsi="Segoe UI" w:cs="Segoe UI"/>
          <w:color w:val="666666"/>
          <w:sz w:val="20"/>
          <w:szCs w:val="20"/>
        </w:rPr>
        <w:t xml:space="preserve">than </w:t>
      </w:r>
      <w:r w:rsidR="0091358F" w:rsidRPr="00E06C86">
        <w:rPr>
          <w:rFonts w:ascii="Segoe UI" w:hAnsi="Segoe UI" w:cs="Segoe UI"/>
          <w:color w:val="666666"/>
          <w:sz w:val="20"/>
          <w:szCs w:val="20"/>
        </w:rPr>
        <w:t>1 million subscribers again this quarter</w:t>
      </w:r>
      <w:r w:rsidR="00031A74" w:rsidRPr="00E06C86">
        <w:rPr>
          <w:rFonts w:ascii="Segoe UI" w:hAnsi="Segoe UI" w:cs="Segoe UI"/>
          <w:color w:val="666666"/>
          <w:sz w:val="20"/>
          <w:szCs w:val="20"/>
        </w:rPr>
        <w:t>.</w:t>
      </w:r>
    </w:p>
    <w:p w14:paraId="25FBF82F" w14:textId="1CD94226" w:rsidR="0025168C" w:rsidRPr="00E06C86" w:rsidRDefault="0025168C" w:rsidP="00CA040B">
      <w:pPr>
        <w:pStyle w:val="ListParagraph"/>
        <w:numPr>
          <w:ilvl w:val="0"/>
          <w:numId w:val="2"/>
        </w:numPr>
        <w:spacing w:line="280" w:lineRule="exact"/>
        <w:rPr>
          <w:rFonts w:ascii="Segoe UI" w:hAnsi="Segoe UI" w:cs="Segoe UI"/>
          <w:color w:val="666666"/>
          <w:sz w:val="20"/>
          <w:szCs w:val="20"/>
        </w:rPr>
      </w:pPr>
      <w:r>
        <w:rPr>
          <w:rFonts w:ascii="Segoe UI" w:hAnsi="Segoe UI" w:cs="Segoe UI"/>
          <w:color w:val="666666"/>
          <w:sz w:val="20"/>
          <w:szCs w:val="20"/>
        </w:rPr>
        <w:t xml:space="preserve">The acquired Phone Hardware business contributed $1.99 billion to </w:t>
      </w:r>
      <w:r w:rsidR="006D5396">
        <w:rPr>
          <w:rFonts w:ascii="Segoe UI" w:hAnsi="Segoe UI" w:cs="Segoe UI"/>
          <w:color w:val="666666"/>
          <w:sz w:val="20"/>
          <w:szCs w:val="20"/>
        </w:rPr>
        <w:t>current year</w:t>
      </w:r>
      <w:r>
        <w:rPr>
          <w:rFonts w:ascii="Segoe UI" w:hAnsi="Segoe UI" w:cs="Segoe UI"/>
          <w:color w:val="666666"/>
          <w:sz w:val="20"/>
          <w:szCs w:val="20"/>
        </w:rPr>
        <w:t xml:space="preserve"> revenue.</w:t>
      </w:r>
    </w:p>
    <w:p w14:paraId="221AF8E3" w14:textId="21A2DB00" w:rsidR="00417094" w:rsidRPr="00854E7A" w:rsidRDefault="00CA040B" w:rsidP="00854E7A">
      <w:pPr>
        <w:pStyle w:val="ListParagraph"/>
        <w:numPr>
          <w:ilvl w:val="0"/>
          <w:numId w:val="2"/>
        </w:numPr>
        <w:spacing w:line="280" w:lineRule="exact"/>
        <w:rPr>
          <w:rFonts w:ascii="Segoe UI" w:hAnsi="Segoe UI" w:cs="Segoe UI"/>
          <w:color w:val="666666"/>
          <w:sz w:val="20"/>
          <w:szCs w:val="20"/>
        </w:rPr>
      </w:pPr>
      <w:r w:rsidRPr="00E06C86">
        <w:rPr>
          <w:rFonts w:ascii="Segoe UI" w:hAnsi="Segoe UI" w:cs="Segoe UI"/>
          <w:color w:val="666666"/>
          <w:sz w:val="20"/>
          <w:szCs w:val="20"/>
        </w:rPr>
        <w:t xml:space="preserve">Bing </w:t>
      </w:r>
      <w:r w:rsidR="002B0732" w:rsidRPr="00E06C86">
        <w:rPr>
          <w:rFonts w:ascii="Segoe UI" w:hAnsi="Segoe UI" w:cs="Segoe UI"/>
          <w:color w:val="666666"/>
          <w:sz w:val="20"/>
          <w:szCs w:val="20"/>
        </w:rPr>
        <w:t>search advertising revenue grew 40%</w:t>
      </w:r>
      <w:r w:rsidR="00802C0D">
        <w:rPr>
          <w:rFonts w:ascii="Segoe UI" w:hAnsi="Segoe UI" w:cs="Segoe UI"/>
          <w:color w:val="666666"/>
          <w:sz w:val="20"/>
          <w:szCs w:val="20"/>
        </w:rPr>
        <w:t>,</w:t>
      </w:r>
      <w:r w:rsidR="002B0732" w:rsidRPr="00E06C86">
        <w:rPr>
          <w:rFonts w:ascii="Segoe UI" w:hAnsi="Segoe UI" w:cs="Segoe UI"/>
          <w:color w:val="666666"/>
          <w:sz w:val="20"/>
          <w:szCs w:val="20"/>
        </w:rPr>
        <w:t xml:space="preserve"> and</w:t>
      </w:r>
      <w:r w:rsidRPr="00E06C86">
        <w:rPr>
          <w:rFonts w:ascii="Segoe UI" w:hAnsi="Segoe UI" w:cs="Segoe UI"/>
          <w:color w:val="666666"/>
          <w:sz w:val="20"/>
          <w:szCs w:val="20"/>
        </w:rPr>
        <w:t xml:space="preserve"> U.S. search</w:t>
      </w:r>
      <w:r w:rsidR="00D16EE1" w:rsidRPr="00E06C86">
        <w:rPr>
          <w:rFonts w:ascii="Segoe UI" w:hAnsi="Segoe UI" w:cs="Segoe UI"/>
          <w:color w:val="666666"/>
          <w:sz w:val="20"/>
          <w:szCs w:val="20"/>
        </w:rPr>
        <w:t xml:space="preserve"> share grew to</w:t>
      </w:r>
      <w:r w:rsidR="00F768FB">
        <w:rPr>
          <w:rFonts w:ascii="Segoe UI" w:hAnsi="Segoe UI" w:cs="Segoe UI"/>
          <w:color w:val="666666"/>
          <w:sz w:val="20"/>
          <w:szCs w:val="20"/>
        </w:rPr>
        <w:t xml:space="preserve"> 19.2%</w:t>
      </w:r>
      <w:r w:rsidR="007B1949">
        <w:rPr>
          <w:rFonts w:ascii="Segoe UI" w:hAnsi="Segoe UI" w:cs="Segoe UI"/>
          <w:color w:val="666666"/>
          <w:sz w:val="20"/>
          <w:szCs w:val="20"/>
        </w:rPr>
        <w:t>.</w:t>
      </w:r>
    </w:p>
    <w:p w14:paraId="7FCACF0A" w14:textId="77777777" w:rsidR="00CA040B" w:rsidRPr="00E06C86" w:rsidRDefault="00CA040B" w:rsidP="00CA040B">
      <w:pPr>
        <w:spacing w:line="280" w:lineRule="exact"/>
        <w:rPr>
          <w:rFonts w:ascii="Segoe UI" w:hAnsi="Segoe UI" w:cs="Segoe UI"/>
          <w:color w:val="666666"/>
          <w:sz w:val="20"/>
          <w:szCs w:val="20"/>
          <w:highlight w:val="yellow"/>
        </w:rPr>
      </w:pPr>
      <w:r w:rsidRPr="00E06C86">
        <w:rPr>
          <w:rFonts w:ascii="Segoe UI" w:hAnsi="Segoe UI" w:cs="Segoe UI"/>
          <w:color w:val="666666"/>
          <w:sz w:val="20"/>
          <w:szCs w:val="20"/>
        </w:rPr>
        <w:t>Commercial revenue grew 11% to $13.</w:t>
      </w:r>
      <w:r w:rsidR="00C0268E" w:rsidRPr="00E06C86">
        <w:rPr>
          <w:rFonts w:ascii="Segoe UI" w:hAnsi="Segoe UI" w:cs="Segoe UI"/>
          <w:color w:val="666666"/>
          <w:sz w:val="20"/>
          <w:szCs w:val="20"/>
        </w:rPr>
        <w:t xml:space="preserve">48 </w:t>
      </w:r>
      <w:r w:rsidRPr="00E06C86">
        <w:rPr>
          <w:rFonts w:ascii="Segoe UI" w:hAnsi="Segoe UI" w:cs="Segoe UI"/>
          <w:color w:val="666666"/>
          <w:sz w:val="20"/>
          <w:szCs w:val="20"/>
        </w:rPr>
        <w:t>billion, with the following business highlights:</w:t>
      </w:r>
    </w:p>
    <w:p w14:paraId="2275A3C7" w14:textId="77777777" w:rsidR="00CA040B" w:rsidRPr="00E06C86" w:rsidRDefault="002E65D2" w:rsidP="00CA040B">
      <w:pPr>
        <w:pStyle w:val="ListParagraph"/>
        <w:numPr>
          <w:ilvl w:val="0"/>
          <w:numId w:val="2"/>
        </w:numPr>
        <w:spacing w:line="280" w:lineRule="exact"/>
        <w:rPr>
          <w:rFonts w:ascii="Segoe UI" w:hAnsi="Segoe UI" w:cs="Segoe UI"/>
          <w:color w:val="666666"/>
          <w:sz w:val="20"/>
          <w:szCs w:val="20"/>
        </w:rPr>
      </w:pPr>
      <w:r w:rsidRPr="00E06C86">
        <w:rPr>
          <w:rFonts w:ascii="Segoe UI" w:hAnsi="Segoe UI" w:cs="Segoe UI"/>
          <w:color w:val="666666"/>
          <w:sz w:val="20"/>
          <w:szCs w:val="20"/>
        </w:rPr>
        <w:t>C</w:t>
      </w:r>
      <w:r w:rsidR="00164784" w:rsidRPr="00E06C86">
        <w:rPr>
          <w:rFonts w:ascii="Segoe UI" w:hAnsi="Segoe UI" w:cs="Segoe UI"/>
          <w:color w:val="666666"/>
          <w:sz w:val="20"/>
          <w:szCs w:val="20"/>
        </w:rPr>
        <w:t xml:space="preserve">ommercial cloud </w:t>
      </w:r>
      <w:r w:rsidR="002B0732" w:rsidRPr="00E06C86">
        <w:rPr>
          <w:rFonts w:ascii="Segoe UI" w:hAnsi="Segoe UI" w:cs="Segoe UI"/>
          <w:color w:val="666666"/>
          <w:sz w:val="20"/>
          <w:szCs w:val="20"/>
        </w:rPr>
        <w:t>revenue grew 147% with an annual</w:t>
      </w:r>
      <w:r w:rsidR="00196A2F" w:rsidRPr="00E06C86">
        <w:rPr>
          <w:rFonts w:ascii="Segoe UI" w:hAnsi="Segoe UI" w:cs="Segoe UI"/>
          <w:color w:val="666666"/>
          <w:sz w:val="20"/>
          <w:szCs w:val="20"/>
        </w:rPr>
        <w:t xml:space="preserve">ized </w:t>
      </w:r>
      <w:r w:rsidR="002B0732" w:rsidRPr="00E06C86">
        <w:rPr>
          <w:rFonts w:ascii="Segoe UI" w:hAnsi="Segoe UI" w:cs="Segoe UI"/>
          <w:color w:val="666666"/>
          <w:sz w:val="20"/>
          <w:szCs w:val="20"/>
        </w:rPr>
        <w:t xml:space="preserve">run rate that exceeds </w:t>
      </w:r>
      <w:r w:rsidR="00164784" w:rsidRPr="00E06C86">
        <w:rPr>
          <w:rFonts w:ascii="Segoe UI" w:hAnsi="Segoe UI" w:cs="Segoe UI"/>
          <w:color w:val="666666"/>
          <w:sz w:val="20"/>
          <w:szCs w:val="20"/>
        </w:rPr>
        <w:t>$4.</w:t>
      </w:r>
      <w:r w:rsidR="009A7042" w:rsidRPr="00E06C86">
        <w:rPr>
          <w:rFonts w:ascii="Segoe UI" w:hAnsi="Segoe UI" w:cs="Segoe UI"/>
          <w:color w:val="666666"/>
          <w:sz w:val="20"/>
          <w:szCs w:val="20"/>
        </w:rPr>
        <w:t>4</w:t>
      </w:r>
      <w:r w:rsidR="00164784" w:rsidRPr="00E06C86">
        <w:rPr>
          <w:rFonts w:ascii="Segoe UI" w:hAnsi="Segoe UI" w:cs="Segoe UI"/>
          <w:color w:val="666666"/>
          <w:sz w:val="20"/>
          <w:szCs w:val="20"/>
        </w:rPr>
        <w:t xml:space="preserve"> billion</w:t>
      </w:r>
      <w:r w:rsidR="002B0732" w:rsidRPr="00E06C86">
        <w:rPr>
          <w:rFonts w:ascii="Segoe UI" w:hAnsi="Segoe UI" w:cs="Segoe UI"/>
          <w:color w:val="666666"/>
          <w:sz w:val="20"/>
          <w:szCs w:val="20"/>
        </w:rPr>
        <w:t>.</w:t>
      </w:r>
    </w:p>
    <w:p w14:paraId="1618C790" w14:textId="77777777" w:rsidR="00CA040B" w:rsidRPr="00E06C86" w:rsidRDefault="00CA040B" w:rsidP="00CA040B">
      <w:pPr>
        <w:pStyle w:val="ListParagraph"/>
        <w:numPr>
          <w:ilvl w:val="0"/>
          <w:numId w:val="2"/>
        </w:numPr>
        <w:spacing w:line="280" w:lineRule="exact"/>
        <w:rPr>
          <w:rFonts w:ascii="Segoe UI" w:hAnsi="Segoe UI" w:cs="Segoe UI"/>
          <w:color w:val="666666"/>
          <w:sz w:val="20"/>
          <w:szCs w:val="20"/>
        </w:rPr>
      </w:pPr>
      <w:r w:rsidRPr="00E06C86">
        <w:rPr>
          <w:rFonts w:ascii="Segoe UI" w:hAnsi="Segoe UI" w:cs="Segoe UI"/>
          <w:color w:val="666666"/>
          <w:sz w:val="20"/>
          <w:szCs w:val="20"/>
        </w:rPr>
        <w:t>Windows volume licensing revenue grew 11%</w:t>
      </w:r>
      <w:r w:rsidR="00854E7A" w:rsidRPr="00E06C86">
        <w:rPr>
          <w:rFonts w:ascii="Segoe UI" w:hAnsi="Segoe UI" w:cs="Segoe UI"/>
          <w:color w:val="666666"/>
          <w:sz w:val="20"/>
          <w:szCs w:val="20"/>
        </w:rPr>
        <w:t>.</w:t>
      </w:r>
    </w:p>
    <w:p w14:paraId="4FAC909D" w14:textId="5FC1A39C" w:rsidR="00CA040B" w:rsidRPr="00E06C86" w:rsidRDefault="0091358F" w:rsidP="00CA040B">
      <w:pPr>
        <w:pStyle w:val="ListParagraph"/>
        <w:numPr>
          <w:ilvl w:val="0"/>
          <w:numId w:val="2"/>
        </w:numPr>
        <w:spacing w:line="280" w:lineRule="exact"/>
        <w:rPr>
          <w:rFonts w:ascii="Segoe UI" w:hAnsi="Segoe UI" w:cs="Segoe UI"/>
          <w:color w:val="666666"/>
          <w:sz w:val="20"/>
          <w:szCs w:val="20"/>
        </w:rPr>
      </w:pPr>
      <w:r w:rsidRPr="00E06C86">
        <w:rPr>
          <w:rFonts w:ascii="Segoe UI" w:hAnsi="Segoe UI" w:cs="Segoe UI"/>
          <w:color w:val="666666"/>
          <w:sz w:val="20"/>
          <w:szCs w:val="20"/>
        </w:rPr>
        <w:t>Server product</w:t>
      </w:r>
      <w:r w:rsidR="006257FA">
        <w:rPr>
          <w:rFonts w:ascii="Segoe UI" w:hAnsi="Segoe UI" w:cs="Segoe UI"/>
          <w:color w:val="666666"/>
          <w:sz w:val="20"/>
          <w:szCs w:val="20"/>
        </w:rPr>
        <w:t>s</w:t>
      </w:r>
      <w:r w:rsidR="00C0268E" w:rsidRPr="00E06C86">
        <w:rPr>
          <w:rFonts w:ascii="Segoe UI" w:hAnsi="Segoe UI" w:cs="Segoe UI"/>
          <w:color w:val="666666"/>
          <w:sz w:val="20"/>
          <w:szCs w:val="20"/>
        </w:rPr>
        <w:t xml:space="preserve"> revenue</w:t>
      </w:r>
      <w:r w:rsidR="00D1410C" w:rsidRPr="00E06C86">
        <w:rPr>
          <w:rFonts w:ascii="Segoe UI" w:hAnsi="Segoe UI" w:cs="Segoe UI"/>
          <w:color w:val="666666"/>
          <w:sz w:val="20"/>
          <w:szCs w:val="20"/>
        </w:rPr>
        <w:t>, including Azure,</w:t>
      </w:r>
      <w:r w:rsidRPr="00E06C86">
        <w:rPr>
          <w:rFonts w:ascii="Segoe UI" w:hAnsi="Segoe UI" w:cs="Segoe UI"/>
          <w:color w:val="666666"/>
          <w:sz w:val="20"/>
          <w:szCs w:val="20"/>
        </w:rPr>
        <w:t xml:space="preserve"> </w:t>
      </w:r>
      <w:r w:rsidR="00BF0EC9" w:rsidRPr="00E06C86">
        <w:rPr>
          <w:rFonts w:ascii="Segoe UI" w:hAnsi="Segoe UI" w:cs="Segoe UI"/>
          <w:color w:val="666666"/>
          <w:sz w:val="20"/>
          <w:szCs w:val="20"/>
        </w:rPr>
        <w:t>grew 16%</w:t>
      </w:r>
      <w:r w:rsidRPr="00E06C86">
        <w:rPr>
          <w:rFonts w:ascii="Segoe UI" w:hAnsi="Segoe UI" w:cs="Segoe UI"/>
          <w:color w:val="666666"/>
          <w:sz w:val="20"/>
          <w:szCs w:val="20"/>
        </w:rPr>
        <w:t xml:space="preserve">, </w:t>
      </w:r>
      <w:r w:rsidR="0001030A" w:rsidRPr="00E06C86">
        <w:rPr>
          <w:rFonts w:ascii="Segoe UI" w:hAnsi="Segoe UI" w:cs="Segoe UI"/>
          <w:color w:val="666666"/>
          <w:sz w:val="20"/>
          <w:szCs w:val="20"/>
        </w:rPr>
        <w:t>with</w:t>
      </w:r>
      <w:r w:rsidRPr="00E06C86">
        <w:rPr>
          <w:rFonts w:ascii="Segoe UI" w:hAnsi="Segoe UI" w:cs="Segoe UI"/>
          <w:color w:val="666666"/>
          <w:sz w:val="20"/>
          <w:szCs w:val="20"/>
        </w:rPr>
        <w:t xml:space="preserve"> double</w:t>
      </w:r>
      <w:r w:rsidR="00C0268E" w:rsidRPr="00E06C86">
        <w:rPr>
          <w:rFonts w:ascii="Segoe UI" w:hAnsi="Segoe UI" w:cs="Segoe UI"/>
          <w:color w:val="666666"/>
          <w:sz w:val="20"/>
          <w:szCs w:val="20"/>
        </w:rPr>
        <w:t>-</w:t>
      </w:r>
      <w:r w:rsidRPr="00E06C86">
        <w:rPr>
          <w:rFonts w:ascii="Segoe UI" w:hAnsi="Segoe UI" w:cs="Segoe UI"/>
          <w:color w:val="666666"/>
          <w:sz w:val="20"/>
          <w:szCs w:val="20"/>
        </w:rPr>
        <w:t xml:space="preserve">digit growth </w:t>
      </w:r>
      <w:r w:rsidR="00D1410C" w:rsidRPr="00E06C86">
        <w:rPr>
          <w:rFonts w:ascii="Segoe UI" w:hAnsi="Segoe UI" w:cs="Segoe UI"/>
          <w:color w:val="666666"/>
          <w:sz w:val="20"/>
          <w:szCs w:val="20"/>
        </w:rPr>
        <w:t>for</w:t>
      </w:r>
      <w:r w:rsidRPr="00E06C86">
        <w:rPr>
          <w:rFonts w:ascii="Segoe UI" w:hAnsi="Segoe UI" w:cs="Segoe UI"/>
          <w:color w:val="666666"/>
          <w:sz w:val="20"/>
          <w:szCs w:val="20"/>
        </w:rPr>
        <w:t xml:space="preserve"> </w:t>
      </w:r>
      <w:r w:rsidR="00CA040B" w:rsidRPr="00E06C86">
        <w:rPr>
          <w:rFonts w:ascii="Segoe UI" w:hAnsi="Segoe UI" w:cs="Segoe UI"/>
          <w:color w:val="666666"/>
          <w:sz w:val="20"/>
          <w:szCs w:val="20"/>
        </w:rPr>
        <w:t>SQL Server and System Center</w:t>
      </w:r>
      <w:r w:rsidR="00C0268E" w:rsidRPr="00E06C86">
        <w:rPr>
          <w:rFonts w:ascii="Segoe UI" w:hAnsi="Segoe UI" w:cs="Segoe UI"/>
          <w:color w:val="666666"/>
          <w:sz w:val="20"/>
          <w:szCs w:val="20"/>
        </w:rPr>
        <w:t>.</w:t>
      </w:r>
    </w:p>
    <w:p w14:paraId="2A34C4CF" w14:textId="77777777" w:rsidR="00CA040B" w:rsidRPr="00E06C86" w:rsidRDefault="00CA040B" w:rsidP="00815A8C">
      <w:pPr>
        <w:spacing w:line="280" w:lineRule="exact"/>
        <w:rPr>
          <w:rFonts w:ascii="Segoe UI" w:hAnsi="Segoe UI" w:cs="Segoe UI"/>
          <w:color w:val="666666"/>
          <w:sz w:val="20"/>
          <w:szCs w:val="20"/>
        </w:rPr>
      </w:pPr>
      <w:r w:rsidRPr="00E06C86">
        <w:rPr>
          <w:rFonts w:ascii="Segoe UI" w:hAnsi="Segoe UI" w:cs="Segoe UI"/>
          <w:color w:val="666666"/>
          <w:sz w:val="20"/>
          <w:szCs w:val="20"/>
        </w:rPr>
        <w:t>“Our results reflect our customers’ long-term commitments to our products and services</w:t>
      </w:r>
      <w:r w:rsidR="00224EDC" w:rsidRPr="00E06C86">
        <w:rPr>
          <w:rFonts w:ascii="Segoe UI" w:hAnsi="Segoe UI" w:cs="Segoe UI"/>
          <w:color w:val="666666"/>
          <w:sz w:val="20"/>
          <w:szCs w:val="20"/>
        </w:rPr>
        <w:t>, and strong execution by our field teams</w:t>
      </w:r>
      <w:r w:rsidR="00995C19" w:rsidRPr="00E06C86">
        <w:rPr>
          <w:rFonts w:ascii="Segoe UI" w:hAnsi="Segoe UI" w:cs="Segoe UI"/>
          <w:color w:val="666666"/>
          <w:sz w:val="20"/>
          <w:szCs w:val="20"/>
        </w:rPr>
        <w:t xml:space="preserve">. We are thrilled with the </w:t>
      </w:r>
      <w:r w:rsidR="00614B91" w:rsidRPr="00E06C86">
        <w:rPr>
          <w:rFonts w:ascii="Segoe UI" w:hAnsi="Segoe UI" w:cs="Segoe UI"/>
          <w:color w:val="666666"/>
          <w:sz w:val="20"/>
          <w:szCs w:val="20"/>
        </w:rPr>
        <w:t>tremendous</w:t>
      </w:r>
      <w:r w:rsidR="00995C19" w:rsidRPr="00E06C86">
        <w:rPr>
          <w:rFonts w:ascii="Segoe UI" w:hAnsi="Segoe UI" w:cs="Segoe UI"/>
          <w:color w:val="666666"/>
          <w:sz w:val="20"/>
          <w:szCs w:val="20"/>
        </w:rPr>
        <w:t xml:space="preserve"> momentum of our cloud offerings with Office 365 and Azure both growing over 100% again</w:t>
      </w:r>
      <w:r w:rsidRPr="00E06C86">
        <w:rPr>
          <w:rFonts w:ascii="Segoe UI" w:hAnsi="Segoe UI" w:cs="Segoe UI"/>
          <w:color w:val="666666"/>
          <w:sz w:val="20"/>
          <w:szCs w:val="20"/>
        </w:rPr>
        <w:t>,” said Kevin Turner, chief operating officer at Microsoft. “Looking forward, we are excited by the amazing opportunities enabled by our technology roadmap and our stron</w:t>
      </w:r>
      <w:r w:rsidR="00BF0EC9" w:rsidRPr="00E06C86">
        <w:rPr>
          <w:rFonts w:ascii="Segoe UI" w:hAnsi="Segoe UI" w:cs="Segoe UI"/>
          <w:color w:val="666666"/>
          <w:sz w:val="20"/>
          <w:szCs w:val="20"/>
        </w:rPr>
        <w:t>g engagement across partners, customers</w:t>
      </w:r>
      <w:r w:rsidR="00854E7A" w:rsidRPr="00E06C86">
        <w:rPr>
          <w:rFonts w:ascii="Segoe UI" w:hAnsi="Segoe UI" w:cs="Segoe UI"/>
          <w:color w:val="666666"/>
          <w:sz w:val="20"/>
          <w:szCs w:val="20"/>
        </w:rPr>
        <w:t>,</w:t>
      </w:r>
      <w:r w:rsidR="00BF0EC9" w:rsidRPr="00E06C86">
        <w:rPr>
          <w:rFonts w:ascii="Segoe UI" w:hAnsi="Segoe UI" w:cs="Segoe UI"/>
          <w:color w:val="666666"/>
          <w:sz w:val="20"/>
          <w:szCs w:val="20"/>
        </w:rPr>
        <w:t xml:space="preserve"> </w:t>
      </w:r>
      <w:r w:rsidRPr="00E06C86">
        <w:rPr>
          <w:rFonts w:ascii="Segoe UI" w:hAnsi="Segoe UI" w:cs="Segoe UI"/>
          <w:color w:val="666666"/>
          <w:sz w:val="20"/>
          <w:szCs w:val="20"/>
        </w:rPr>
        <w:t>and developers.”</w:t>
      </w:r>
    </w:p>
    <w:p w14:paraId="456EF0A5" w14:textId="1FAB868F" w:rsidR="00EB6DAE" w:rsidRPr="00E06C86" w:rsidRDefault="00EB6DAE" w:rsidP="00CA040B">
      <w:pPr>
        <w:spacing w:line="280" w:lineRule="exact"/>
        <w:rPr>
          <w:rFonts w:ascii="Segoe UI" w:hAnsi="Segoe UI" w:cs="Segoe UI"/>
          <w:color w:val="666666"/>
          <w:sz w:val="20"/>
          <w:szCs w:val="20"/>
        </w:rPr>
      </w:pPr>
      <w:r w:rsidRPr="00E06C86">
        <w:rPr>
          <w:rFonts w:ascii="Segoe UI" w:hAnsi="Segoe UI" w:cs="Segoe UI"/>
          <w:color w:val="666666"/>
          <w:sz w:val="20"/>
          <w:szCs w:val="20"/>
        </w:rPr>
        <w:t xml:space="preserve">For Microsoft’s fiscal year 2014, the company’s revenue, gross margin, operating income, and diluted </w:t>
      </w:r>
      <w:r w:rsidR="0073645C">
        <w:rPr>
          <w:rFonts w:ascii="Segoe UI" w:hAnsi="Segoe UI" w:cs="Segoe UI"/>
          <w:color w:val="666666"/>
          <w:sz w:val="20"/>
          <w:szCs w:val="20"/>
        </w:rPr>
        <w:t>EPS</w:t>
      </w:r>
      <w:r w:rsidRPr="00E06C86">
        <w:rPr>
          <w:rFonts w:ascii="Segoe UI" w:hAnsi="Segoe UI" w:cs="Segoe UI"/>
          <w:color w:val="666666"/>
          <w:sz w:val="20"/>
          <w:szCs w:val="20"/>
        </w:rPr>
        <w:t xml:space="preserve"> were $86.83 billion, $59.9</w:t>
      </w:r>
      <w:r w:rsidR="00C0268E" w:rsidRPr="00E06C86">
        <w:rPr>
          <w:rFonts w:ascii="Segoe UI" w:hAnsi="Segoe UI" w:cs="Segoe UI"/>
          <w:color w:val="666666"/>
          <w:sz w:val="20"/>
          <w:szCs w:val="20"/>
        </w:rPr>
        <w:t>0</w:t>
      </w:r>
      <w:r w:rsidRPr="00E06C86">
        <w:rPr>
          <w:rFonts w:ascii="Segoe UI" w:hAnsi="Segoe UI" w:cs="Segoe UI"/>
          <w:color w:val="666666"/>
          <w:sz w:val="20"/>
          <w:szCs w:val="20"/>
        </w:rPr>
        <w:t xml:space="preserve"> billion, $27.76 billion</w:t>
      </w:r>
      <w:r w:rsidR="00CF2FC7" w:rsidRPr="00E06C86">
        <w:rPr>
          <w:rFonts w:ascii="Segoe UI" w:hAnsi="Segoe UI" w:cs="Segoe UI"/>
          <w:color w:val="666666"/>
          <w:sz w:val="20"/>
          <w:szCs w:val="20"/>
        </w:rPr>
        <w:t>,</w:t>
      </w:r>
      <w:r w:rsidRPr="00E06C86">
        <w:rPr>
          <w:rFonts w:ascii="Segoe UI" w:hAnsi="Segoe UI" w:cs="Segoe UI"/>
          <w:color w:val="666666"/>
          <w:sz w:val="20"/>
          <w:szCs w:val="20"/>
        </w:rPr>
        <w:t xml:space="preserve"> and $2.6</w:t>
      </w:r>
      <w:r w:rsidR="00C0268E" w:rsidRPr="00E06C86">
        <w:rPr>
          <w:rFonts w:ascii="Segoe UI" w:hAnsi="Segoe UI" w:cs="Segoe UI"/>
          <w:color w:val="666666"/>
          <w:sz w:val="20"/>
          <w:szCs w:val="20"/>
        </w:rPr>
        <w:t>3</w:t>
      </w:r>
      <w:r w:rsidR="00CF2FC7" w:rsidRPr="00E06C86">
        <w:rPr>
          <w:rFonts w:ascii="Segoe UI" w:hAnsi="Segoe UI" w:cs="Segoe UI"/>
          <w:color w:val="666666"/>
          <w:sz w:val="20"/>
          <w:szCs w:val="20"/>
        </w:rPr>
        <w:t xml:space="preserve"> per share, respectively.</w:t>
      </w:r>
    </w:p>
    <w:p w14:paraId="4C12D3AA" w14:textId="77777777" w:rsidR="00B006DE" w:rsidRPr="00E06C86" w:rsidRDefault="00CA040B" w:rsidP="00CA040B">
      <w:pPr>
        <w:spacing w:line="280" w:lineRule="exact"/>
        <w:rPr>
          <w:rFonts w:ascii="Segoe UI" w:hAnsi="Segoe UI" w:cs="Segoe UI"/>
          <w:color w:val="666666"/>
          <w:sz w:val="20"/>
          <w:szCs w:val="20"/>
        </w:rPr>
      </w:pPr>
      <w:r w:rsidRPr="00E06C86">
        <w:rPr>
          <w:rFonts w:ascii="Segoe UI" w:hAnsi="Segoe UI" w:cs="Segoe UI"/>
          <w:color w:val="666666"/>
          <w:sz w:val="20"/>
          <w:szCs w:val="20"/>
        </w:rPr>
        <w:t xml:space="preserve">The following table reconciles these financial results reported in </w:t>
      </w:r>
      <w:r w:rsidR="00E91555" w:rsidRPr="00E06C86">
        <w:rPr>
          <w:rFonts w:ascii="Segoe UI" w:hAnsi="Segoe UI" w:cs="Segoe UI"/>
          <w:color w:val="666666"/>
          <w:sz w:val="20"/>
          <w:szCs w:val="20"/>
        </w:rPr>
        <w:t xml:space="preserve">accordance with </w:t>
      </w:r>
      <w:r w:rsidRPr="00E06C86">
        <w:rPr>
          <w:rFonts w:ascii="Segoe UI" w:hAnsi="Segoe UI" w:cs="Segoe UI"/>
          <w:color w:val="666666"/>
          <w:sz w:val="20"/>
          <w:szCs w:val="20"/>
        </w:rPr>
        <w:t>GAAP to Non-GAAP financial results. We have provided this Non-GAAP financial information to aid investors in better understanding the company’s performance.</w:t>
      </w:r>
    </w:p>
    <w:tbl>
      <w:tblPr>
        <w:tblW w:w="7323" w:type="dxa"/>
        <w:tblLook w:val="04A0" w:firstRow="1" w:lastRow="0" w:firstColumn="1" w:lastColumn="0" w:noHBand="0" w:noVBand="1"/>
      </w:tblPr>
      <w:tblGrid>
        <w:gridCol w:w="3250"/>
        <w:gridCol w:w="1018"/>
        <w:gridCol w:w="1018"/>
        <w:gridCol w:w="1018"/>
        <w:gridCol w:w="1019"/>
      </w:tblGrid>
      <w:tr w:rsidR="00B006DE" w:rsidRPr="00B006DE" w14:paraId="7489B97D" w14:textId="77777777" w:rsidTr="00815A8C">
        <w:trPr>
          <w:trHeight w:val="293"/>
        </w:trPr>
        <w:tc>
          <w:tcPr>
            <w:tcW w:w="3250" w:type="dxa"/>
            <w:tcBorders>
              <w:top w:val="nil"/>
              <w:left w:val="nil"/>
              <w:bottom w:val="nil"/>
              <w:right w:val="nil"/>
            </w:tcBorders>
            <w:shd w:val="clear" w:color="auto" w:fill="auto"/>
            <w:noWrap/>
            <w:vAlign w:val="bottom"/>
            <w:hideMark/>
          </w:tcPr>
          <w:p w14:paraId="094F05EA" w14:textId="77777777" w:rsidR="00B006DE" w:rsidRPr="00B006DE" w:rsidRDefault="00B006DE" w:rsidP="00B006DE">
            <w:pPr>
              <w:spacing w:after="0" w:line="240" w:lineRule="auto"/>
              <w:rPr>
                <w:rFonts w:ascii="Times New Roman" w:eastAsia="Times New Roman" w:hAnsi="Times New Roman"/>
                <w:sz w:val="24"/>
                <w:szCs w:val="24"/>
              </w:rPr>
            </w:pPr>
          </w:p>
        </w:tc>
        <w:tc>
          <w:tcPr>
            <w:tcW w:w="4073" w:type="dxa"/>
            <w:gridSpan w:val="4"/>
            <w:tcBorders>
              <w:top w:val="nil"/>
              <w:left w:val="nil"/>
              <w:bottom w:val="single" w:sz="4" w:space="0" w:color="auto"/>
              <w:right w:val="nil"/>
            </w:tcBorders>
            <w:shd w:val="clear" w:color="auto" w:fill="auto"/>
            <w:noWrap/>
            <w:vAlign w:val="center"/>
            <w:hideMark/>
          </w:tcPr>
          <w:p w14:paraId="37A29DBA" w14:textId="77777777" w:rsidR="00B006DE" w:rsidRPr="00B006DE" w:rsidRDefault="00B006DE" w:rsidP="00B006DE">
            <w:pPr>
              <w:spacing w:after="0" w:line="240" w:lineRule="auto"/>
              <w:jc w:val="center"/>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Twelve Months Ended June 30,</w:t>
            </w:r>
          </w:p>
        </w:tc>
      </w:tr>
      <w:tr w:rsidR="00B006DE" w:rsidRPr="00B006DE" w14:paraId="77C4D97C" w14:textId="77777777" w:rsidTr="00815A8C">
        <w:trPr>
          <w:trHeight w:val="476"/>
        </w:trPr>
        <w:tc>
          <w:tcPr>
            <w:tcW w:w="3250" w:type="dxa"/>
            <w:tcBorders>
              <w:top w:val="nil"/>
              <w:left w:val="nil"/>
              <w:bottom w:val="single" w:sz="8" w:space="0" w:color="auto"/>
              <w:right w:val="nil"/>
            </w:tcBorders>
            <w:shd w:val="clear" w:color="auto" w:fill="auto"/>
            <w:vAlign w:val="center"/>
            <w:hideMark/>
          </w:tcPr>
          <w:p w14:paraId="629DF734" w14:textId="77777777" w:rsidR="00B006DE" w:rsidRPr="00B006DE" w:rsidRDefault="00B006DE" w:rsidP="00B006DE">
            <w:pPr>
              <w:spacing w:after="0" w:line="240" w:lineRule="auto"/>
              <w:rPr>
                <w:rFonts w:ascii="Segoe UI" w:eastAsia="Times New Roman" w:hAnsi="Segoe UI" w:cs="Segoe UI"/>
                <w:color w:val="666666"/>
                <w:sz w:val="16"/>
                <w:szCs w:val="16"/>
              </w:rPr>
            </w:pPr>
            <w:r w:rsidRPr="00B006DE">
              <w:rPr>
                <w:rFonts w:ascii="Segoe UI" w:eastAsia="Times New Roman" w:hAnsi="Segoe UI" w:cs="Segoe UI"/>
                <w:color w:val="666666"/>
                <w:sz w:val="16"/>
                <w:szCs w:val="16"/>
              </w:rPr>
              <w:t>($ in millions, except per share amounts)</w:t>
            </w:r>
          </w:p>
        </w:tc>
        <w:tc>
          <w:tcPr>
            <w:tcW w:w="1018" w:type="dxa"/>
            <w:tcBorders>
              <w:top w:val="nil"/>
              <w:left w:val="nil"/>
              <w:bottom w:val="single" w:sz="8" w:space="0" w:color="auto"/>
              <w:right w:val="nil"/>
            </w:tcBorders>
            <w:shd w:val="clear" w:color="auto" w:fill="auto"/>
            <w:vAlign w:val="center"/>
            <w:hideMark/>
          </w:tcPr>
          <w:p w14:paraId="61217D66" w14:textId="77777777" w:rsidR="00B006DE" w:rsidRPr="00B006DE" w:rsidRDefault="00B006DE" w:rsidP="00B006DE">
            <w:pPr>
              <w:spacing w:after="0" w:line="240" w:lineRule="auto"/>
              <w:jc w:val="center"/>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Revenue</w:t>
            </w:r>
          </w:p>
        </w:tc>
        <w:tc>
          <w:tcPr>
            <w:tcW w:w="1018" w:type="dxa"/>
            <w:tcBorders>
              <w:top w:val="nil"/>
              <w:left w:val="nil"/>
              <w:bottom w:val="single" w:sz="8" w:space="0" w:color="auto"/>
              <w:right w:val="nil"/>
            </w:tcBorders>
            <w:shd w:val="clear" w:color="auto" w:fill="auto"/>
            <w:vAlign w:val="center"/>
            <w:hideMark/>
          </w:tcPr>
          <w:p w14:paraId="5CD4A764" w14:textId="77777777" w:rsidR="00B006DE" w:rsidRPr="00B006DE" w:rsidRDefault="00B006DE" w:rsidP="00B006DE">
            <w:pPr>
              <w:spacing w:after="0" w:line="240" w:lineRule="auto"/>
              <w:jc w:val="center"/>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Gross Margin</w:t>
            </w:r>
          </w:p>
        </w:tc>
        <w:tc>
          <w:tcPr>
            <w:tcW w:w="1018" w:type="dxa"/>
            <w:tcBorders>
              <w:top w:val="nil"/>
              <w:left w:val="nil"/>
              <w:bottom w:val="single" w:sz="8" w:space="0" w:color="auto"/>
              <w:right w:val="nil"/>
            </w:tcBorders>
            <w:shd w:val="clear" w:color="auto" w:fill="auto"/>
            <w:vAlign w:val="center"/>
            <w:hideMark/>
          </w:tcPr>
          <w:p w14:paraId="65269266" w14:textId="77777777" w:rsidR="00B006DE" w:rsidRPr="00B006DE" w:rsidRDefault="00B006DE" w:rsidP="00B006DE">
            <w:pPr>
              <w:spacing w:after="0" w:line="240" w:lineRule="auto"/>
              <w:jc w:val="center"/>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Operating Income</w:t>
            </w:r>
          </w:p>
        </w:tc>
        <w:tc>
          <w:tcPr>
            <w:tcW w:w="1019" w:type="dxa"/>
            <w:tcBorders>
              <w:top w:val="nil"/>
              <w:left w:val="nil"/>
              <w:bottom w:val="single" w:sz="8" w:space="0" w:color="auto"/>
              <w:right w:val="nil"/>
            </w:tcBorders>
            <w:shd w:val="clear" w:color="auto" w:fill="auto"/>
            <w:vAlign w:val="center"/>
            <w:hideMark/>
          </w:tcPr>
          <w:p w14:paraId="13CB428D" w14:textId="77777777" w:rsidR="00B006DE" w:rsidRPr="00B006DE" w:rsidRDefault="00B006DE" w:rsidP="00B006DE">
            <w:pPr>
              <w:spacing w:after="0" w:line="240" w:lineRule="auto"/>
              <w:jc w:val="center"/>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Diluted EPS</w:t>
            </w:r>
          </w:p>
        </w:tc>
      </w:tr>
      <w:tr w:rsidR="00B006DE" w:rsidRPr="00B006DE" w14:paraId="15E96CB5" w14:textId="77777777" w:rsidTr="00815A8C">
        <w:trPr>
          <w:trHeight w:val="293"/>
        </w:trPr>
        <w:tc>
          <w:tcPr>
            <w:tcW w:w="3250" w:type="dxa"/>
            <w:tcBorders>
              <w:top w:val="nil"/>
              <w:left w:val="nil"/>
              <w:bottom w:val="single" w:sz="4" w:space="0" w:color="auto"/>
              <w:right w:val="nil"/>
            </w:tcBorders>
            <w:shd w:val="clear" w:color="auto" w:fill="auto"/>
            <w:noWrap/>
            <w:vAlign w:val="center"/>
            <w:hideMark/>
          </w:tcPr>
          <w:p w14:paraId="55D86813" w14:textId="77777777" w:rsidR="00B006DE" w:rsidRPr="00B006DE" w:rsidRDefault="00B006DE" w:rsidP="00B006DE">
            <w:pPr>
              <w:spacing w:after="0" w:line="240" w:lineRule="auto"/>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2013 As Reported (GAAP)</w:t>
            </w:r>
          </w:p>
        </w:tc>
        <w:tc>
          <w:tcPr>
            <w:tcW w:w="1018" w:type="dxa"/>
            <w:tcBorders>
              <w:top w:val="nil"/>
              <w:left w:val="nil"/>
              <w:bottom w:val="single" w:sz="4" w:space="0" w:color="auto"/>
              <w:right w:val="nil"/>
            </w:tcBorders>
            <w:shd w:val="clear" w:color="auto" w:fill="auto"/>
            <w:vAlign w:val="center"/>
            <w:hideMark/>
          </w:tcPr>
          <w:p w14:paraId="6A1D8ED2"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 xml:space="preserve">$77,849 </w:t>
            </w:r>
          </w:p>
        </w:tc>
        <w:tc>
          <w:tcPr>
            <w:tcW w:w="1018" w:type="dxa"/>
            <w:tcBorders>
              <w:top w:val="nil"/>
              <w:left w:val="nil"/>
              <w:bottom w:val="single" w:sz="4" w:space="0" w:color="auto"/>
              <w:right w:val="nil"/>
            </w:tcBorders>
            <w:shd w:val="clear" w:color="auto" w:fill="auto"/>
            <w:vAlign w:val="center"/>
            <w:hideMark/>
          </w:tcPr>
          <w:p w14:paraId="0AFCFA0A"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 xml:space="preserve">$57,600 </w:t>
            </w:r>
          </w:p>
        </w:tc>
        <w:tc>
          <w:tcPr>
            <w:tcW w:w="1018" w:type="dxa"/>
            <w:tcBorders>
              <w:top w:val="nil"/>
              <w:left w:val="nil"/>
              <w:bottom w:val="single" w:sz="4" w:space="0" w:color="auto"/>
              <w:right w:val="nil"/>
            </w:tcBorders>
            <w:shd w:val="clear" w:color="auto" w:fill="auto"/>
            <w:vAlign w:val="center"/>
            <w:hideMark/>
          </w:tcPr>
          <w:p w14:paraId="26110CC1"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 xml:space="preserve">$26,764 </w:t>
            </w:r>
          </w:p>
        </w:tc>
        <w:tc>
          <w:tcPr>
            <w:tcW w:w="1019" w:type="dxa"/>
            <w:tcBorders>
              <w:top w:val="nil"/>
              <w:left w:val="nil"/>
              <w:bottom w:val="single" w:sz="4" w:space="0" w:color="auto"/>
              <w:right w:val="nil"/>
            </w:tcBorders>
            <w:shd w:val="clear" w:color="auto" w:fill="auto"/>
            <w:vAlign w:val="center"/>
            <w:hideMark/>
          </w:tcPr>
          <w:p w14:paraId="772307A6"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 xml:space="preserve">$2.58 </w:t>
            </w:r>
          </w:p>
        </w:tc>
      </w:tr>
      <w:tr w:rsidR="00B006DE" w:rsidRPr="00B006DE" w14:paraId="66A9C57C" w14:textId="77777777" w:rsidTr="00815A8C">
        <w:trPr>
          <w:trHeight w:val="293"/>
        </w:trPr>
        <w:tc>
          <w:tcPr>
            <w:tcW w:w="3250" w:type="dxa"/>
            <w:tcBorders>
              <w:top w:val="nil"/>
              <w:left w:val="nil"/>
              <w:bottom w:val="nil"/>
              <w:right w:val="nil"/>
            </w:tcBorders>
            <w:shd w:val="clear" w:color="auto" w:fill="auto"/>
            <w:noWrap/>
            <w:vAlign w:val="center"/>
            <w:hideMark/>
          </w:tcPr>
          <w:p w14:paraId="36FC29E8" w14:textId="77777777" w:rsidR="00B006DE" w:rsidRPr="00B006DE" w:rsidRDefault="00B006DE" w:rsidP="00B006DE">
            <w:pPr>
              <w:spacing w:after="0" w:line="240" w:lineRule="auto"/>
              <w:ind w:firstLineChars="200" w:firstLine="320"/>
              <w:rPr>
                <w:rFonts w:ascii="Segoe UI" w:eastAsia="Times New Roman" w:hAnsi="Segoe UI" w:cs="Segoe UI"/>
                <w:color w:val="666666"/>
                <w:sz w:val="16"/>
                <w:szCs w:val="16"/>
              </w:rPr>
            </w:pPr>
            <w:r w:rsidRPr="00B006DE">
              <w:rPr>
                <w:rFonts w:ascii="Segoe UI" w:eastAsia="Times New Roman" w:hAnsi="Segoe UI" w:cs="Segoe UI"/>
                <w:color w:val="666666"/>
                <w:sz w:val="16"/>
                <w:szCs w:val="16"/>
              </w:rPr>
              <w:t>Windows Upgrade Offer</w:t>
            </w:r>
          </w:p>
        </w:tc>
        <w:tc>
          <w:tcPr>
            <w:tcW w:w="1018" w:type="dxa"/>
            <w:tcBorders>
              <w:top w:val="nil"/>
              <w:left w:val="nil"/>
              <w:bottom w:val="nil"/>
              <w:right w:val="nil"/>
            </w:tcBorders>
            <w:shd w:val="clear" w:color="auto" w:fill="auto"/>
            <w:vAlign w:val="center"/>
            <w:hideMark/>
          </w:tcPr>
          <w:p w14:paraId="02E06E12" w14:textId="77777777" w:rsidR="00B006DE" w:rsidRPr="00B006DE" w:rsidRDefault="000D33AA" w:rsidP="00815A8C">
            <w:pPr>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r w:rsidR="00B006DE" w:rsidRPr="00B006DE">
              <w:rPr>
                <w:rFonts w:ascii="Segoe UI" w:eastAsia="Times New Roman" w:hAnsi="Segoe UI" w:cs="Segoe UI"/>
                <w:color w:val="666666"/>
                <w:sz w:val="16"/>
                <w:szCs w:val="16"/>
              </w:rPr>
              <w:t>(540)</w:t>
            </w:r>
          </w:p>
        </w:tc>
        <w:tc>
          <w:tcPr>
            <w:tcW w:w="1018" w:type="dxa"/>
            <w:tcBorders>
              <w:top w:val="nil"/>
              <w:left w:val="nil"/>
              <w:bottom w:val="nil"/>
              <w:right w:val="nil"/>
            </w:tcBorders>
            <w:shd w:val="clear" w:color="auto" w:fill="auto"/>
            <w:vAlign w:val="center"/>
            <w:hideMark/>
          </w:tcPr>
          <w:p w14:paraId="76EB5245" w14:textId="77777777" w:rsidR="00B006DE" w:rsidRPr="00B006DE" w:rsidRDefault="000D33AA" w:rsidP="00815A8C">
            <w:pPr>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r w:rsidR="00B006DE" w:rsidRPr="00B006DE">
              <w:rPr>
                <w:rFonts w:ascii="Segoe UI" w:eastAsia="Times New Roman" w:hAnsi="Segoe UI" w:cs="Segoe UI"/>
                <w:color w:val="666666"/>
                <w:sz w:val="16"/>
                <w:szCs w:val="16"/>
              </w:rPr>
              <w:t>(540)</w:t>
            </w:r>
          </w:p>
        </w:tc>
        <w:tc>
          <w:tcPr>
            <w:tcW w:w="1018" w:type="dxa"/>
            <w:tcBorders>
              <w:top w:val="nil"/>
              <w:left w:val="nil"/>
              <w:bottom w:val="nil"/>
              <w:right w:val="nil"/>
            </w:tcBorders>
            <w:shd w:val="clear" w:color="auto" w:fill="auto"/>
            <w:vAlign w:val="center"/>
            <w:hideMark/>
          </w:tcPr>
          <w:p w14:paraId="3CC027F1" w14:textId="77777777" w:rsidR="00B006DE" w:rsidRPr="00B006DE" w:rsidRDefault="000D33AA" w:rsidP="00B006DE">
            <w:pPr>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r w:rsidR="00B006DE" w:rsidRPr="00B006DE">
              <w:rPr>
                <w:rFonts w:ascii="Segoe UI" w:eastAsia="Times New Roman" w:hAnsi="Segoe UI" w:cs="Segoe UI"/>
                <w:color w:val="666666"/>
                <w:sz w:val="16"/>
                <w:szCs w:val="16"/>
              </w:rPr>
              <w:t>540)</w:t>
            </w:r>
          </w:p>
        </w:tc>
        <w:tc>
          <w:tcPr>
            <w:tcW w:w="1019" w:type="dxa"/>
            <w:tcBorders>
              <w:top w:val="nil"/>
              <w:left w:val="nil"/>
              <w:bottom w:val="nil"/>
              <w:right w:val="nil"/>
            </w:tcBorders>
            <w:shd w:val="clear" w:color="auto" w:fill="auto"/>
            <w:vAlign w:val="center"/>
            <w:hideMark/>
          </w:tcPr>
          <w:p w14:paraId="32C9114F" w14:textId="77777777" w:rsidR="00B006DE" w:rsidRPr="00B006DE" w:rsidRDefault="000D33AA" w:rsidP="00B006DE">
            <w:pPr>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r w:rsidR="00B006DE" w:rsidRPr="00B006DE">
              <w:rPr>
                <w:rFonts w:ascii="Segoe UI" w:eastAsia="Times New Roman" w:hAnsi="Segoe UI" w:cs="Segoe UI"/>
                <w:color w:val="666666"/>
                <w:sz w:val="16"/>
                <w:szCs w:val="16"/>
              </w:rPr>
              <w:t>0.05)</w:t>
            </w:r>
          </w:p>
        </w:tc>
      </w:tr>
      <w:tr w:rsidR="00B006DE" w:rsidRPr="00B006DE" w14:paraId="721C98E1" w14:textId="77777777" w:rsidTr="00815A8C">
        <w:trPr>
          <w:trHeight w:val="293"/>
        </w:trPr>
        <w:tc>
          <w:tcPr>
            <w:tcW w:w="3250" w:type="dxa"/>
            <w:tcBorders>
              <w:top w:val="nil"/>
              <w:left w:val="nil"/>
              <w:bottom w:val="nil"/>
              <w:right w:val="nil"/>
            </w:tcBorders>
            <w:shd w:val="clear" w:color="auto" w:fill="auto"/>
            <w:noWrap/>
            <w:vAlign w:val="center"/>
            <w:hideMark/>
          </w:tcPr>
          <w:p w14:paraId="1A0A1252" w14:textId="77777777" w:rsidR="00B006DE" w:rsidRPr="00B006DE" w:rsidRDefault="00B006DE" w:rsidP="00B006DE">
            <w:pPr>
              <w:spacing w:after="0" w:line="240" w:lineRule="auto"/>
              <w:ind w:firstLineChars="200" w:firstLine="320"/>
              <w:rPr>
                <w:rFonts w:ascii="Segoe UI" w:eastAsia="Times New Roman" w:hAnsi="Segoe UI" w:cs="Segoe UI"/>
                <w:color w:val="666666"/>
                <w:sz w:val="16"/>
                <w:szCs w:val="16"/>
              </w:rPr>
            </w:pPr>
            <w:r w:rsidRPr="00B006DE">
              <w:rPr>
                <w:rFonts w:ascii="Segoe UI" w:eastAsia="Times New Roman" w:hAnsi="Segoe UI" w:cs="Segoe UI"/>
                <w:color w:val="666666"/>
                <w:sz w:val="16"/>
                <w:szCs w:val="16"/>
              </w:rPr>
              <w:t>European Commission Fine</w:t>
            </w:r>
          </w:p>
        </w:tc>
        <w:tc>
          <w:tcPr>
            <w:tcW w:w="1018" w:type="dxa"/>
            <w:tcBorders>
              <w:top w:val="nil"/>
              <w:left w:val="nil"/>
              <w:bottom w:val="nil"/>
              <w:right w:val="nil"/>
            </w:tcBorders>
            <w:shd w:val="clear" w:color="auto" w:fill="auto"/>
            <w:vAlign w:val="center"/>
            <w:hideMark/>
          </w:tcPr>
          <w:p w14:paraId="0F6D9953" w14:textId="33198CA8" w:rsidR="00B006DE" w:rsidRPr="00B006DE" w:rsidRDefault="007A77D8" w:rsidP="00B006DE">
            <w:pPr>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p>
        </w:tc>
        <w:tc>
          <w:tcPr>
            <w:tcW w:w="1018" w:type="dxa"/>
            <w:tcBorders>
              <w:top w:val="nil"/>
              <w:left w:val="nil"/>
              <w:bottom w:val="nil"/>
              <w:right w:val="nil"/>
            </w:tcBorders>
            <w:shd w:val="clear" w:color="auto" w:fill="auto"/>
            <w:vAlign w:val="center"/>
            <w:hideMark/>
          </w:tcPr>
          <w:p w14:paraId="7A9FCE34" w14:textId="0DBD4822" w:rsidR="00B006DE" w:rsidRPr="00B006DE" w:rsidRDefault="007A77D8" w:rsidP="00B006DE">
            <w:pPr>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r w:rsidR="00B006DE" w:rsidRPr="00B006DE">
              <w:rPr>
                <w:rFonts w:ascii="Segoe UI" w:eastAsia="Times New Roman" w:hAnsi="Segoe UI" w:cs="Segoe UI"/>
                <w:color w:val="666666"/>
                <w:sz w:val="16"/>
                <w:szCs w:val="16"/>
              </w:rPr>
              <w:t xml:space="preserve"> </w:t>
            </w:r>
          </w:p>
        </w:tc>
        <w:tc>
          <w:tcPr>
            <w:tcW w:w="1018" w:type="dxa"/>
            <w:tcBorders>
              <w:top w:val="nil"/>
              <w:left w:val="nil"/>
              <w:bottom w:val="nil"/>
              <w:right w:val="nil"/>
            </w:tcBorders>
            <w:shd w:val="clear" w:color="auto" w:fill="auto"/>
            <w:vAlign w:val="center"/>
            <w:hideMark/>
          </w:tcPr>
          <w:p w14:paraId="5FB6A4EA" w14:textId="77777777" w:rsidR="00B006DE" w:rsidRPr="00B006DE" w:rsidRDefault="00B006DE" w:rsidP="00B006DE">
            <w:pPr>
              <w:spacing w:after="0" w:line="240" w:lineRule="auto"/>
              <w:jc w:val="right"/>
              <w:rPr>
                <w:rFonts w:ascii="Segoe UI" w:eastAsia="Times New Roman" w:hAnsi="Segoe UI" w:cs="Segoe UI"/>
                <w:color w:val="666666"/>
                <w:sz w:val="16"/>
                <w:szCs w:val="16"/>
              </w:rPr>
            </w:pPr>
            <w:r w:rsidRPr="00B006DE">
              <w:rPr>
                <w:rFonts w:ascii="Segoe UI" w:eastAsia="Times New Roman" w:hAnsi="Segoe UI" w:cs="Segoe UI"/>
                <w:color w:val="666666"/>
                <w:sz w:val="16"/>
                <w:szCs w:val="16"/>
              </w:rPr>
              <w:t xml:space="preserve">$733 </w:t>
            </w:r>
          </w:p>
        </w:tc>
        <w:tc>
          <w:tcPr>
            <w:tcW w:w="1019" w:type="dxa"/>
            <w:tcBorders>
              <w:top w:val="nil"/>
              <w:left w:val="nil"/>
              <w:bottom w:val="nil"/>
              <w:right w:val="nil"/>
            </w:tcBorders>
            <w:shd w:val="clear" w:color="auto" w:fill="auto"/>
            <w:vAlign w:val="center"/>
            <w:hideMark/>
          </w:tcPr>
          <w:p w14:paraId="7CE180F1" w14:textId="77777777" w:rsidR="00B006DE" w:rsidRPr="00B006DE" w:rsidRDefault="00B006DE" w:rsidP="00B006DE">
            <w:pPr>
              <w:spacing w:after="0" w:line="240" w:lineRule="auto"/>
              <w:jc w:val="right"/>
              <w:rPr>
                <w:rFonts w:ascii="Segoe UI" w:eastAsia="Times New Roman" w:hAnsi="Segoe UI" w:cs="Segoe UI"/>
                <w:color w:val="666666"/>
                <w:sz w:val="16"/>
                <w:szCs w:val="16"/>
              </w:rPr>
            </w:pPr>
            <w:r w:rsidRPr="00B006DE">
              <w:rPr>
                <w:rFonts w:ascii="Segoe UI" w:eastAsia="Times New Roman" w:hAnsi="Segoe UI" w:cs="Segoe UI"/>
                <w:color w:val="666666"/>
                <w:sz w:val="16"/>
                <w:szCs w:val="16"/>
              </w:rPr>
              <w:t xml:space="preserve">$0.09 </w:t>
            </w:r>
          </w:p>
        </w:tc>
      </w:tr>
      <w:tr w:rsidR="00B006DE" w:rsidRPr="00B006DE" w14:paraId="2938D33D" w14:textId="77777777" w:rsidTr="00815A8C">
        <w:trPr>
          <w:trHeight w:val="293"/>
        </w:trPr>
        <w:tc>
          <w:tcPr>
            <w:tcW w:w="3250" w:type="dxa"/>
            <w:tcBorders>
              <w:top w:val="single" w:sz="4" w:space="0" w:color="auto"/>
              <w:left w:val="nil"/>
              <w:bottom w:val="single" w:sz="4" w:space="0" w:color="auto"/>
              <w:right w:val="nil"/>
            </w:tcBorders>
            <w:shd w:val="clear" w:color="auto" w:fill="auto"/>
            <w:noWrap/>
            <w:vAlign w:val="center"/>
            <w:hideMark/>
          </w:tcPr>
          <w:p w14:paraId="4E21EF57" w14:textId="77777777" w:rsidR="00B006DE" w:rsidRPr="00B006DE" w:rsidRDefault="00B006DE" w:rsidP="00B006DE">
            <w:pPr>
              <w:spacing w:after="0" w:line="240" w:lineRule="auto"/>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2013 As Adjusted (Non-GAAP)</w:t>
            </w:r>
          </w:p>
        </w:tc>
        <w:tc>
          <w:tcPr>
            <w:tcW w:w="1018" w:type="dxa"/>
            <w:tcBorders>
              <w:top w:val="single" w:sz="4" w:space="0" w:color="auto"/>
              <w:left w:val="nil"/>
              <w:bottom w:val="single" w:sz="4" w:space="0" w:color="auto"/>
              <w:right w:val="nil"/>
            </w:tcBorders>
            <w:shd w:val="clear" w:color="auto" w:fill="auto"/>
            <w:vAlign w:val="center"/>
            <w:hideMark/>
          </w:tcPr>
          <w:p w14:paraId="06E7C356"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 xml:space="preserve">$77,309 </w:t>
            </w:r>
          </w:p>
        </w:tc>
        <w:tc>
          <w:tcPr>
            <w:tcW w:w="1018" w:type="dxa"/>
            <w:tcBorders>
              <w:top w:val="single" w:sz="4" w:space="0" w:color="auto"/>
              <w:left w:val="nil"/>
              <w:bottom w:val="single" w:sz="4" w:space="0" w:color="auto"/>
              <w:right w:val="nil"/>
            </w:tcBorders>
            <w:shd w:val="clear" w:color="auto" w:fill="auto"/>
            <w:vAlign w:val="center"/>
            <w:hideMark/>
          </w:tcPr>
          <w:p w14:paraId="043D6ED9"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 xml:space="preserve">$57,060 </w:t>
            </w:r>
          </w:p>
        </w:tc>
        <w:tc>
          <w:tcPr>
            <w:tcW w:w="1018" w:type="dxa"/>
            <w:tcBorders>
              <w:top w:val="single" w:sz="4" w:space="0" w:color="auto"/>
              <w:left w:val="nil"/>
              <w:bottom w:val="single" w:sz="4" w:space="0" w:color="auto"/>
              <w:right w:val="nil"/>
            </w:tcBorders>
            <w:shd w:val="clear" w:color="auto" w:fill="auto"/>
            <w:vAlign w:val="center"/>
            <w:hideMark/>
          </w:tcPr>
          <w:p w14:paraId="43D21B93"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 xml:space="preserve">$26,957 </w:t>
            </w:r>
          </w:p>
        </w:tc>
        <w:tc>
          <w:tcPr>
            <w:tcW w:w="1019" w:type="dxa"/>
            <w:tcBorders>
              <w:top w:val="single" w:sz="4" w:space="0" w:color="auto"/>
              <w:left w:val="nil"/>
              <w:bottom w:val="single" w:sz="4" w:space="0" w:color="auto"/>
              <w:right w:val="nil"/>
            </w:tcBorders>
            <w:shd w:val="clear" w:color="auto" w:fill="auto"/>
            <w:vAlign w:val="center"/>
            <w:hideMark/>
          </w:tcPr>
          <w:p w14:paraId="6E78BEB3"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 xml:space="preserve">$2.62 </w:t>
            </w:r>
          </w:p>
        </w:tc>
      </w:tr>
      <w:tr w:rsidR="00B006DE" w:rsidRPr="00B006DE" w14:paraId="02B7CF74" w14:textId="77777777" w:rsidTr="00815A8C">
        <w:trPr>
          <w:trHeight w:val="293"/>
        </w:trPr>
        <w:tc>
          <w:tcPr>
            <w:tcW w:w="3250" w:type="dxa"/>
            <w:tcBorders>
              <w:top w:val="nil"/>
              <w:left w:val="nil"/>
              <w:bottom w:val="single" w:sz="4" w:space="0" w:color="auto"/>
              <w:right w:val="nil"/>
            </w:tcBorders>
            <w:shd w:val="clear" w:color="auto" w:fill="auto"/>
            <w:noWrap/>
            <w:vAlign w:val="center"/>
            <w:hideMark/>
          </w:tcPr>
          <w:p w14:paraId="040C8888" w14:textId="77777777" w:rsidR="00B006DE" w:rsidRPr="00B006DE" w:rsidRDefault="00B006DE" w:rsidP="00B006DE">
            <w:pPr>
              <w:spacing w:after="0" w:line="240" w:lineRule="auto"/>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2014 As Reported (GAAP)</w:t>
            </w:r>
            <w:r w:rsidRPr="00B006DE">
              <w:rPr>
                <w:rFonts w:ascii="Segoe UI" w:eastAsia="Times New Roman" w:hAnsi="Segoe UI" w:cs="Segoe UI"/>
                <w:b/>
                <w:bCs/>
                <w:color w:val="666666"/>
                <w:sz w:val="16"/>
                <w:szCs w:val="16"/>
                <w:vertAlign w:val="superscript"/>
              </w:rPr>
              <w:t>1</w:t>
            </w:r>
          </w:p>
        </w:tc>
        <w:tc>
          <w:tcPr>
            <w:tcW w:w="1018" w:type="dxa"/>
            <w:tcBorders>
              <w:top w:val="nil"/>
              <w:left w:val="nil"/>
              <w:bottom w:val="single" w:sz="4" w:space="0" w:color="auto"/>
              <w:right w:val="nil"/>
            </w:tcBorders>
            <w:shd w:val="clear" w:color="auto" w:fill="auto"/>
            <w:vAlign w:val="center"/>
            <w:hideMark/>
          </w:tcPr>
          <w:p w14:paraId="6FDE73D0"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 xml:space="preserve">$86,833 </w:t>
            </w:r>
          </w:p>
        </w:tc>
        <w:tc>
          <w:tcPr>
            <w:tcW w:w="1018" w:type="dxa"/>
            <w:tcBorders>
              <w:top w:val="nil"/>
              <w:left w:val="nil"/>
              <w:bottom w:val="single" w:sz="4" w:space="0" w:color="auto"/>
              <w:right w:val="nil"/>
            </w:tcBorders>
            <w:shd w:val="clear" w:color="auto" w:fill="auto"/>
            <w:vAlign w:val="center"/>
            <w:hideMark/>
          </w:tcPr>
          <w:p w14:paraId="440DEB6C"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 xml:space="preserve">$59,899 </w:t>
            </w:r>
          </w:p>
        </w:tc>
        <w:tc>
          <w:tcPr>
            <w:tcW w:w="1018" w:type="dxa"/>
            <w:tcBorders>
              <w:top w:val="nil"/>
              <w:left w:val="nil"/>
              <w:bottom w:val="single" w:sz="4" w:space="0" w:color="auto"/>
              <w:right w:val="nil"/>
            </w:tcBorders>
            <w:shd w:val="clear" w:color="auto" w:fill="auto"/>
            <w:vAlign w:val="center"/>
            <w:hideMark/>
          </w:tcPr>
          <w:p w14:paraId="650D679F"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 xml:space="preserve">$27,759 </w:t>
            </w:r>
          </w:p>
        </w:tc>
        <w:tc>
          <w:tcPr>
            <w:tcW w:w="1019" w:type="dxa"/>
            <w:tcBorders>
              <w:top w:val="nil"/>
              <w:left w:val="nil"/>
              <w:bottom w:val="single" w:sz="4" w:space="0" w:color="auto"/>
              <w:right w:val="nil"/>
            </w:tcBorders>
            <w:shd w:val="clear" w:color="auto" w:fill="auto"/>
            <w:vAlign w:val="center"/>
            <w:hideMark/>
          </w:tcPr>
          <w:p w14:paraId="4E4D3359"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 xml:space="preserve">$2.63 </w:t>
            </w:r>
          </w:p>
        </w:tc>
      </w:tr>
      <w:tr w:rsidR="00B006DE" w:rsidRPr="00B006DE" w14:paraId="45C8CEB3" w14:textId="77777777" w:rsidTr="00815A8C">
        <w:trPr>
          <w:trHeight w:val="293"/>
        </w:trPr>
        <w:tc>
          <w:tcPr>
            <w:tcW w:w="3250" w:type="dxa"/>
            <w:tcBorders>
              <w:top w:val="nil"/>
              <w:left w:val="nil"/>
              <w:bottom w:val="nil"/>
              <w:right w:val="nil"/>
            </w:tcBorders>
            <w:shd w:val="clear" w:color="auto" w:fill="auto"/>
            <w:noWrap/>
            <w:vAlign w:val="center"/>
            <w:hideMark/>
          </w:tcPr>
          <w:p w14:paraId="5BF8FE53" w14:textId="77777777" w:rsidR="00B006DE" w:rsidRPr="00B006DE" w:rsidRDefault="00B006DE" w:rsidP="00B006DE">
            <w:pPr>
              <w:spacing w:after="0" w:line="240" w:lineRule="auto"/>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lastRenderedPageBreak/>
              <w:t>%Y/Y (GAAP)</w:t>
            </w:r>
          </w:p>
        </w:tc>
        <w:tc>
          <w:tcPr>
            <w:tcW w:w="1018" w:type="dxa"/>
            <w:tcBorders>
              <w:top w:val="nil"/>
              <w:left w:val="nil"/>
              <w:bottom w:val="nil"/>
              <w:right w:val="nil"/>
            </w:tcBorders>
            <w:shd w:val="clear" w:color="auto" w:fill="auto"/>
            <w:vAlign w:val="center"/>
            <w:hideMark/>
          </w:tcPr>
          <w:p w14:paraId="7A4197DB"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12%</w:t>
            </w:r>
          </w:p>
        </w:tc>
        <w:tc>
          <w:tcPr>
            <w:tcW w:w="1018" w:type="dxa"/>
            <w:tcBorders>
              <w:top w:val="nil"/>
              <w:left w:val="nil"/>
              <w:bottom w:val="nil"/>
              <w:right w:val="nil"/>
            </w:tcBorders>
            <w:shd w:val="clear" w:color="auto" w:fill="auto"/>
            <w:vAlign w:val="center"/>
            <w:hideMark/>
          </w:tcPr>
          <w:p w14:paraId="416BA75E"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4%</w:t>
            </w:r>
          </w:p>
        </w:tc>
        <w:tc>
          <w:tcPr>
            <w:tcW w:w="1018" w:type="dxa"/>
            <w:tcBorders>
              <w:top w:val="nil"/>
              <w:left w:val="nil"/>
              <w:bottom w:val="nil"/>
              <w:right w:val="nil"/>
            </w:tcBorders>
            <w:shd w:val="clear" w:color="auto" w:fill="auto"/>
            <w:vAlign w:val="center"/>
            <w:hideMark/>
          </w:tcPr>
          <w:p w14:paraId="5A008FE6"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4%</w:t>
            </w:r>
          </w:p>
        </w:tc>
        <w:tc>
          <w:tcPr>
            <w:tcW w:w="1019" w:type="dxa"/>
            <w:tcBorders>
              <w:top w:val="nil"/>
              <w:left w:val="nil"/>
              <w:bottom w:val="nil"/>
              <w:right w:val="nil"/>
            </w:tcBorders>
            <w:shd w:val="clear" w:color="auto" w:fill="auto"/>
            <w:vAlign w:val="center"/>
            <w:hideMark/>
          </w:tcPr>
          <w:p w14:paraId="629D40B8"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2%</w:t>
            </w:r>
          </w:p>
        </w:tc>
      </w:tr>
      <w:tr w:rsidR="00B006DE" w:rsidRPr="00B006DE" w14:paraId="7A71DB75" w14:textId="77777777" w:rsidTr="00815A8C">
        <w:trPr>
          <w:trHeight w:val="293"/>
        </w:trPr>
        <w:tc>
          <w:tcPr>
            <w:tcW w:w="3250" w:type="dxa"/>
            <w:tcBorders>
              <w:top w:val="nil"/>
              <w:left w:val="nil"/>
              <w:bottom w:val="single" w:sz="4" w:space="0" w:color="auto"/>
              <w:right w:val="nil"/>
            </w:tcBorders>
            <w:shd w:val="clear" w:color="auto" w:fill="auto"/>
            <w:noWrap/>
            <w:vAlign w:val="center"/>
            <w:hideMark/>
          </w:tcPr>
          <w:p w14:paraId="43AE8C88" w14:textId="77777777" w:rsidR="00B006DE" w:rsidRPr="00B006DE" w:rsidRDefault="00B006DE" w:rsidP="00B006DE">
            <w:pPr>
              <w:spacing w:after="0" w:line="240" w:lineRule="auto"/>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%Y/Y (Non-GAAP)</w:t>
            </w:r>
          </w:p>
        </w:tc>
        <w:tc>
          <w:tcPr>
            <w:tcW w:w="1018" w:type="dxa"/>
            <w:tcBorders>
              <w:top w:val="nil"/>
              <w:left w:val="nil"/>
              <w:bottom w:val="single" w:sz="4" w:space="0" w:color="auto"/>
              <w:right w:val="nil"/>
            </w:tcBorders>
            <w:shd w:val="clear" w:color="auto" w:fill="auto"/>
            <w:vAlign w:val="center"/>
            <w:hideMark/>
          </w:tcPr>
          <w:p w14:paraId="1A521FA4"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12%</w:t>
            </w:r>
          </w:p>
        </w:tc>
        <w:tc>
          <w:tcPr>
            <w:tcW w:w="1018" w:type="dxa"/>
            <w:tcBorders>
              <w:top w:val="nil"/>
              <w:left w:val="nil"/>
              <w:bottom w:val="single" w:sz="4" w:space="0" w:color="auto"/>
              <w:right w:val="nil"/>
            </w:tcBorders>
            <w:shd w:val="clear" w:color="auto" w:fill="auto"/>
            <w:vAlign w:val="center"/>
            <w:hideMark/>
          </w:tcPr>
          <w:p w14:paraId="5B948F13"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5%</w:t>
            </w:r>
          </w:p>
        </w:tc>
        <w:tc>
          <w:tcPr>
            <w:tcW w:w="1018" w:type="dxa"/>
            <w:tcBorders>
              <w:top w:val="nil"/>
              <w:left w:val="nil"/>
              <w:bottom w:val="single" w:sz="4" w:space="0" w:color="auto"/>
              <w:right w:val="nil"/>
            </w:tcBorders>
            <w:shd w:val="clear" w:color="auto" w:fill="auto"/>
            <w:vAlign w:val="center"/>
            <w:hideMark/>
          </w:tcPr>
          <w:p w14:paraId="6D41A417" w14:textId="77777777" w:rsidR="00B006DE" w:rsidRPr="00B006DE" w:rsidRDefault="00B006DE" w:rsidP="00B006DE">
            <w:pPr>
              <w:spacing w:after="0" w:line="240" w:lineRule="auto"/>
              <w:jc w:val="right"/>
              <w:rPr>
                <w:rFonts w:ascii="Segoe UI" w:eastAsia="Times New Roman" w:hAnsi="Segoe UI" w:cs="Segoe UI"/>
                <w:b/>
                <w:bCs/>
                <w:color w:val="666666"/>
                <w:sz w:val="16"/>
                <w:szCs w:val="16"/>
              </w:rPr>
            </w:pPr>
            <w:r w:rsidRPr="00B006DE">
              <w:rPr>
                <w:rFonts w:ascii="Segoe UI" w:eastAsia="Times New Roman" w:hAnsi="Segoe UI" w:cs="Segoe UI"/>
                <w:b/>
                <w:bCs/>
                <w:color w:val="666666"/>
                <w:sz w:val="16"/>
                <w:szCs w:val="16"/>
              </w:rPr>
              <w:t>3%</w:t>
            </w:r>
          </w:p>
        </w:tc>
        <w:tc>
          <w:tcPr>
            <w:tcW w:w="1019" w:type="dxa"/>
            <w:tcBorders>
              <w:top w:val="nil"/>
              <w:left w:val="nil"/>
              <w:bottom w:val="single" w:sz="4" w:space="0" w:color="auto"/>
              <w:right w:val="nil"/>
            </w:tcBorders>
            <w:shd w:val="clear" w:color="auto" w:fill="auto"/>
            <w:vAlign w:val="center"/>
            <w:hideMark/>
          </w:tcPr>
          <w:p w14:paraId="0A40FE8B" w14:textId="430BF1A2" w:rsidR="00B006DE" w:rsidRPr="00B006DE" w:rsidRDefault="00CD3F86" w:rsidP="00B006DE">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w:t>
            </w:r>
            <w:r w:rsidR="00B006DE" w:rsidRPr="00B006DE">
              <w:rPr>
                <w:rFonts w:ascii="Segoe UI" w:eastAsia="Times New Roman" w:hAnsi="Segoe UI" w:cs="Segoe UI"/>
                <w:b/>
                <w:bCs/>
                <w:color w:val="666666"/>
                <w:sz w:val="16"/>
                <w:szCs w:val="16"/>
              </w:rPr>
              <w:t>%</w:t>
            </w:r>
          </w:p>
        </w:tc>
      </w:tr>
    </w:tbl>
    <w:p w14:paraId="7CFD03D9" w14:textId="4DA6F7CB" w:rsidR="00CA040B" w:rsidRPr="00E06C86" w:rsidRDefault="00B006DE" w:rsidP="00815A8C">
      <w:pPr>
        <w:spacing w:after="0" w:line="280" w:lineRule="exact"/>
        <w:rPr>
          <w:rFonts w:ascii="Segoe UI" w:hAnsi="Segoe UI" w:cs="Segoe UI"/>
          <w:color w:val="666666"/>
          <w:sz w:val="16"/>
          <w:szCs w:val="16"/>
        </w:rPr>
      </w:pPr>
      <w:r w:rsidRPr="00E06C86">
        <w:rPr>
          <w:rFonts w:ascii="Segoe UI" w:hAnsi="Segoe UI" w:cs="Segoe UI"/>
          <w:color w:val="666666"/>
          <w:sz w:val="16"/>
          <w:szCs w:val="16"/>
        </w:rPr>
        <w:t>¹</w:t>
      </w:r>
      <w:r w:rsidR="009C5B81">
        <w:rPr>
          <w:rFonts w:ascii="Segoe UI" w:hAnsi="Segoe UI" w:cs="Segoe UI"/>
          <w:color w:val="666666"/>
          <w:sz w:val="16"/>
          <w:szCs w:val="16"/>
        </w:rPr>
        <w:t>Fiscal year 2014</w:t>
      </w:r>
      <w:r w:rsidRPr="00E06C86">
        <w:rPr>
          <w:rFonts w:ascii="Segoe UI" w:hAnsi="Segoe UI" w:cs="Segoe UI"/>
          <w:color w:val="666666"/>
          <w:sz w:val="16"/>
          <w:szCs w:val="16"/>
        </w:rPr>
        <w:t xml:space="preserve"> includes </w:t>
      </w:r>
      <w:r w:rsidR="009318B9" w:rsidRPr="00E06C86">
        <w:rPr>
          <w:rFonts w:ascii="Segoe UI" w:hAnsi="Segoe UI" w:cs="Segoe UI"/>
          <w:color w:val="666666"/>
          <w:sz w:val="16"/>
          <w:szCs w:val="16"/>
        </w:rPr>
        <w:t xml:space="preserve">the results </w:t>
      </w:r>
      <w:r w:rsidR="00113F25">
        <w:rPr>
          <w:rFonts w:ascii="Segoe UI" w:hAnsi="Segoe UI" w:cs="Segoe UI"/>
          <w:color w:val="666666"/>
          <w:sz w:val="16"/>
          <w:szCs w:val="16"/>
        </w:rPr>
        <w:t xml:space="preserve">of </w:t>
      </w:r>
      <w:r w:rsidR="00BC7FE7" w:rsidRPr="00E06C86">
        <w:rPr>
          <w:rFonts w:ascii="Segoe UI" w:hAnsi="Segoe UI" w:cs="Segoe UI"/>
          <w:color w:val="666666"/>
          <w:sz w:val="16"/>
          <w:szCs w:val="16"/>
        </w:rPr>
        <w:t xml:space="preserve">the NDS </w:t>
      </w:r>
      <w:r w:rsidR="009318B9" w:rsidRPr="00E06C86">
        <w:rPr>
          <w:rFonts w:ascii="Segoe UI" w:hAnsi="Segoe UI" w:cs="Segoe UI"/>
          <w:color w:val="666666"/>
          <w:sz w:val="16"/>
          <w:szCs w:val="16"/>
        </w:rPr>
        <w:t xml:space="preserve">business for the period </w:t>
      </w:r>
      <w:r w:rsidR="00541021" w:rsidRPr="00E06C86">
        <w:rPr>
          <w:rFonts w:ascii="Segoe UI" w:hAnsi="Segoe UI" w:cs="Segoe UI"/>
          <w:color w:val="666666"/>
          <w:sz w:val="16"/>
          <w:szCs w:val="16"/>
        </w:rPr>
        <w:t>beginning on</w:t>
      </w:r>
      <w:r w:rsidR="009318B9" w:rsidRPr="00E06C86">
        <w:rPr>
          <w:rFonts w:ascii="Segoe UI" w:hAnsi="Segoe UI" w:cs="Segoe UI"/>
          <w:color w:val="666666"/>
          <w:sz w:val="16"/>
          <w:szCs w:val="16"/>
        </w:rPr>
        <w:t xml:space="preserve"> April 25, 2014</w:t>
      </w:r>
      <w:r w:rsidRPr="00E06C86">
        <w:rPr>
          <w:rFonts w:ascii="Segoe UI" w:hAnsi="Segoe UI" w:cs="Segoe UI"/>
          <w:color w:val="666666"/>
          <w:sz w:val="16"/>
          <w:szCs w:val="16"/>
        </w:rPr>
        <w:t>.</w:t>
      </w:r>
    </w:p>
    <w:p w14:paraId="11898EDA" w14:textId="67FD6BE6" w:rsidR="00CA040B" w:rsidRPr="00E06C86" w:rsidRDefault="00F1510B" w:rsidP="00540544">
      <w:pPr>
        <w:spacing w:before="200" w:line="280" w:lineRule="exact"/>
        <w:rPr>
          <w:rFonts w:ascii="Segoe UI" w:hAnsi="Segoe UI" w:cs="Segoe UI"/>
          <w:color w:val="666666"/>
          <w:sz w:val="20"/>
          <w:szCs w:val="20"/>
        </w:rPr>
      </w:pPr>
      <w:r w:rsidRPr="00E06C86">
        <w:rPr>
          <w:rFonts w:ascii="Segoe UI" w:hAnsi="Segoe UI" w:cs="Segoe UI"/>
          <w:color w:val="666666"/>
          <w:sz w:val="20"/>
          <w:szCs w:val="20"/>
        </w:rPr>
        <w:t>T</w:t>
      </w:r>
      <w:r w:rsidR="00CA040B" w:rsidRPr="00E06C86">
        <w:rPr>
          <w:rFonts w:ascii="Segoe UI" w:hAnsi="Segoe UI" w:cs="Segoe UI"/>
          <w:color w:val="666666"/>
          <w:sz w:val="20"/>
          <w:szCs w:val="20"/>
        </w:rPr>
        <w:t xml:space="preserve">he impact of </w:t>
      </w:r>
      <w:r w:rsidR="00E93497" w:rsidRPr="00E06C86">
        <w:rPr>
          <w:rFonts w:ascii="Segoe UI" w:hAnsi="Segoe UI" w:cs="Segoe UI"/>
          <w:color w:val="666666"/>
          <w:sz w:val="20"/>
          <w:szCs w:val="20"/>
        </w:rPr>
        <w:t xml:space="preserve">Noted </w:t>
      </w:r>
      <w:r w:rsidR="00C0268E" w:rsidRPr="00E06C86">
        <w:rPr>
          <w:rFonts w:ascii="Segoe UI" w:hAnsi="Segoe UI" w:cs="Segoe UI"/>
          <w:color w:val="666666"/>
          <w:sz w:val="20"/>
          <w:szCs w:val="20"/>
        </w:rPr>
        <w:t>I</w:t>
      </w:r>
      <w:r w:rsidR="00CA040B" w:rsidRPr="00E06C86">
        <w:rPr>
          <w:rFonts w:ascii="Segoe UI" w:hAnsi="Segoe UI" w:cs="Segoe UI"/>
          <w:color w:val="666666"/>
          <w:sz w:val="20"/>
          <w:szCs w:val="20"/>
        </w:rPr>
        <w:t>tems</w:t>
      </w:r>
      <w:r w:rsidRPr="00E06C86">
        <w:rPr>
          <w:rFonts w:ascii="Segoe UI" w:hAnsi="Segoe UI" w:cs="Segoe UI"/>
          <w:color w:val="666666"/>
          <w:sz w:val="20"/>
          <w:szCs w:val="20"/>
        </w:rPr>
        <w:t xml:space="preserve"> on the financial results</w:t>
      </w:r>
      <w:r w:rsidR="00CA040B" w:rsidRPr="00E06C86">
        <w:rPr>
          <w:rFonts w:ascii="Segoe UI" w:hAnsi="Segoe UI" w:cs="Segoe UI"/>
          <w:color w:val="666666"/>
          <w:sz w:val="20"/>
          <w:szCs w:val="20"/>
        </w:rPr>
        <w:t xml:space="preserve"> </w:t>
      </w:r>
      <w:r w:rsidRPr="00E06C86">
        <w:rPr>
          <w:rFonts w:ascii="Segoe UI" w:hAnsi="Segoe UI" w:cs="Segoe UI"/>
          <w:color w:val="666666"/>
          <w:sz w:val="20"/>
          <w:szCs w:val="20"/>
        </w:rPr>
        <w:t xml:space="preserve">was the same for </w:t>
      </w:r>
      <w:r w:rsidR="00622A00" w:rsidRPr="00E06C86">
        <w:rPr>
          <w:rFonts w:ascii="Segoe UI" w:hAnsi="Segoe UI" w:cs="Segoe UI"/>
          <w:color w:val="666666"/>
          <w:sz w:val="20"/>
          <w:szCs w:val="20"/>
        </w:rPr>
        <w:t xml:space="preserve">the </w:t>
      </w:r>
      <w:r w:rsidRPr="00E06C86">
        <w:rPr>
          <w:rFonts w:ascii="Segoe UI" w:hAnsi="Segoe UI" w:cs="Segoe UI"/>
          <w:color w:val="666666"/>
          <w:sz w:val="20"/>
          <w:szCs w:val="20"/>
        </w:rPr>
        <w:t>fourth quarter and for fiscal year 2014.</w:t>
      </w:r>
    </w:p>
    <w:p w14:paraId="6539EDC7" w14:textId="77777777" w:rsidR="00CA040B" w:rsidRPr="00123413" w:rsidRDefault="00CA040B" w:rsidP="00CA040B">
      <w:pPr>
        <w:spacing w:before="240" w:line="280" w:lineRule="exact"/>
        <w:rPr>
          <w:rFonts w:ascii="Segoe UI" w:hAnsi="Segoe UI" w:cs="Segoe UI"/>
          <w:b/>
          <w:color w:val="666666"/>
          <w:sz w:val="20"/>
          <w:szCs w:val="20"/>
        </w:rPr>
      </w:pPr>
      <w:bookmarkStart w:id="1" w:name="_MailEndCompose"/>
      <w:bookmarkEnd w:id="1"/>
      <w:r w:rsidRPr="00123413">
        <w:rPr>
          <w:rFonts w:ascii="Segoe UI" w:hAnsi="Segoe UI" w:cs="Segoe UI"/>
          <w:b/>
          <w:color w:val="666666"/>
          <w:sz w:val="20"/>
          <w:szCs w:val="20"/>
        </w:rPr>
        <w:t>Business Outlook</w:t>
      </w:r>
    </w:p>
    <w:p w14:paraId="7A63C80D" w14:textId="77777777" w:rsidR="00CA040B" w:rsidRPr="00E2793B" w:rsidRDefault="00CA040B" w:rsidP="00CA040B">
      <w:pPr>
        <w:spacing w:line="280" w:lineRule="exact"/>
        <w:rPr>
          <w:rFonts w:ascii="Segoe UI" w:hAnsi="Segoe UI" w:cs="Segoe UI"/>
          <w:color w:val="666666"/>
          <w:sz w:val="20"/>
          <w:szCs w:val="20"/>
        </w:rPr>
      </w:pPr>
      <w:r w:rsidRPr="00E06C86">
        <w:rPr>
          <w:rFonts w:ascii="Segoe UI" w:hAnsi="Segoe UI" w:cs="Segoe UI"/>
          <w:color w:val="666666"/>
          <w:sz w:val="20"/>
          <w:szCs w:val="20"/>
        </w:rPr>
        <w:t xml:space="preserve">Microsoft will provide forward-looking guidance in connection with this quarterly earnings announcement </w:t>
      </w:r>
      <w:r w:rsidRPr="00E2793B">
        <w:rPr>
          <w:rFonts w:ascii="Segoe UI" w:hAnsi="Segoe UI" w:cs="Segoe UI"/>
          <w:color w:val="666666"/>
          <w:sz w:val="20"/>
          <w:szCs w:val="20"/>
        </w:rPr>
        <w:t>on its earnings conference call and webcast.</w:t>
      </w:r>
    </w:p>
    <w:p w14:paraId="51D895F2" w14:textId="141866BA" w:rsidR="00CF5800" w:rsidRPr="00E2793B" w:rsidRDefault="00CF5800" w:rsidP="00CA040B">
      <w:pPr>
        <w:spacing w:line="280" w:lineRule="exact"/>
        <w:rPr>
          <w:rFonts w:ascii="Segoe UI" w:hAnsi="Segoe UI" w:cs="Segoe UI"/>
          <w:color w:val="666666"/>
          <w:sz w:val="20"/>
          <w:szCs w:val="20"/>
        </w:rPr>
      </w:pPr>
      <w:r w:rsidRPr="00E2793B">
        <w:rPr>
          <w:rFonts w:ascii="Segoe UI" w:hAnsi="Segoe UI" w:cs="Segoe UI"/>
          <w:color w:val="666666"/>
          <w:sz w:val="20"/>
          <w:szCs w:val="20"/>
        </w:rPr>
        <w:t xml:space="preserve">On July 17, 2014, Microsoft announced a </w:t>
      </w:r>
      <w:r w:rsidR="00C54485" w:rsidRPr="00E2793B">
        <w:rPr>
          <w:rFonts w:ascii="Segoe UI" w:hAnsi="Segoe UI" w:cs="Segoe UI"/>
          <w:color w:val="666666"/>
          <w:sz w:val="20"/>
          <w:szCs w:val="20"/>
        </w:rPr>
        <w:t>restructuring</w:t>
      </w:r>
      <w:r w:rsidRPr="00E2793B">
        <w:rPr>
          <w:rFonts w:ascii="Segoe UI" w:hAnsi="Segoe UI" w:cs="Segoe UI"/>
          <w:color w:val="666666"/>
          <w:sz w:val="20"/>
          <w:szCs w:val="20"/>
        </w:rPr>
        <w:t xml:space="preserve"> plan to streamline and simplify its operations and align the recently acquired </w:t>
      </w:r>
      <w:r w:rsidR="0073645C">
        <w:rPr>
          <w:rFonts w:ascii="Segoe UI" w:hAnsi="Segoe UI" w:cs="Segoe UI"/>
          <w:color w:val="666666"/>
          <w:sz w:val="20"/>
          <w:szCs w:val="20"/>
        </w:rPr>
        <w:t>NDS</w:t>
      </w:r>
      <w:r w:rsidRPr="00E2793B">
        <w:rPr>
          <w:rFonts w:ascii="Segoe UI" w:hAnsi="Segoe UI" w:cs="Segoe UI"/>
          <w:color w:val="666666"/>
          <w:sz w:val="20"/>
          <w:szCs w:val="20"/>
        </w:rPr>
        <w:t xml:space="preserve"> business with the company’s overall strategy. The pre-tax costs associated with this plan are estimated to be between $1.1 billion and $1.6 billion </w:t>
      </w:r>
      <w:r w:rsidR="0034602F" w:rsidRPr="00E2793B">
        <w:rPr>
          <w:rFonts w:ascii="Segoe UI" w:hAnsi="Segoe UI" w:cs="Segoe UI"/>
          <w:color w:val="666666"/>
          <w:sz w:val="20"/>
          <w:szCs w:val="20"/>
        </w:rPr>
        <w:t>and will be recorded in fiscal year 2015, substantially in the first half of the fiscal year</w:t>
      </w:r>
      <w:r w:rsidRPr="00E2793B">
        <w:rPr>
          <w:rFonts w:ascii="Segoe UI" w:hAnsi="Segoe UI" w:cs="Segoe UI"/>
          <w:color w:val="666666"/>
          <w:sz w:val="20"/>
          <w:szCs w:val="20"/>
        </w:rPr>
        <w:t>.</w:t>
      </w:r>
    </w:p>
    <w:p w14:paraId="60FE95FA" w14:textId="77777777" w:rsidR="00CA040B" w:rsidRPr="00123413" w:rsidRDefault="00CA040B" w:rsidP="00CA040B">
      <w:pPr>
        <w:spacing w:before="240" w:line="280" w:lineRule="exact"/>
        <w:rPr>
          <w:rFonts w:ascii="Segoe UI" w:hAnsi="Segoe UI" w:cs="Segoe UI"/>
          <w:b/>
          <w:color w:val="666666"/>
          <w:sz w:val="20"/>
          <w:szCs w:val="20"/>
        </w:rPr>
      </w:pPr>
      <w:bookmarkStart w:id="2" w:name="RANGE!A1:D14"/>
      <w:bookmarkEnd w:id="2"/>
      <w:r w:rsidRPr="00E2793B">
        <w:rPr>
          <w:rFonts w:ascii="Segoe UI" w:hAnsi="Segoe UI" w:cs="Segoe UI"/>
          <w:b/>
          <w:color w:val="666666"/>
          <w:sz w:val="20"/>
          <w:szCs w:val="20"/>
        </w:rPr>
        <w:t>Webcast</w:t>
      </w:r>
      <w:r w:rsidRPr="00123413">
        <w:rPr>
          <w:rFonts w:ascii="Segoe UI" w:hAnsi="Segoe UI" w:cs="Segoe UI"/>
          <w:b/>
          <w:color w:val="666666"/>
          <w:sz w:val="20"/>
          <w:szCs w:val="20"/>
        </w:rPr>
        <w:t xml:space="preserve"> Details</w:t>
      </w:r>
    </w:p>
    <w:p w14:paraId="21CC9062" w14:textId="77777777" w:rsidR="00CA040B" w:rsidRPr="007B1666" w:rsidRDefault="00CA040B" w:rsidP="00CA040B">
      <w:pPr>
        <w:spacing w:line="280" w:lineRule="exact"/>
        <w:rPr>
          <w:rFonts w:ascii="Segoe UI" w:hAnsi="Segoe UI" w:cs="Segoe UI"/>
          <w:color w:val="666666"/>
          <w:sz w:val="20"/>
          <w:szCs w:val="20"/>
        </w:rPr>
      </w:pPr>
      <w:r w:rsidRPr="00E06C86">
        <w:rPr>
          <w:rFonts w:ascii="Segoe UI" w:hAnsi="Segoe UI" w:cs="Segoe UI"/>
          <w:color w:val="666666"/>
          <w:sz w:val="20"/>
          <w:szCs w:val="20"/>
        </w:rPr>
        <w:t>Satya Nadella, chief executive officer, Amy Hood, executive vice president and chief financial officer, Frank Brod, chief accounting officer, John Seethoff, deputy general counsel, and Chris Suh, general manager of Investor Relations, will host a conference call and webcast at 2:30 p.m. PDT (5:30 p.m. EDT) today to discuss details of the company’s performance for the quarter and certain forward-looking information. The session may be accessed at</w:t>
      </w:r>
      <w:r w:rsidRPr="00123413">
        <w:rPr>
          <w:rFonts w:ascii="Segoe UI" w:hAnsi="Segoe UI" w:cs="Segoe UI"/>
          <w:color w:val="666666"/>
          <w:sz w:val="20"/>
          <w:szCs w:val="20"/>
        </w:rPr>
        <w:t xml:space="preserve"> </w:t>
      </w:r>
      <w:hyperlink r:id="rId7" w:tgtFrame="_blank" w:history="1">
        <w:r w:rsidRPr="009D378A">
          <w:rPr>
            <w:rStyle w:val="Hyperlink"/>
            <w:rFonts w:cs="Segoe UI"/>
            <w:szCs w:val="20"/>
          </w:rPr>
          <w:t>http://www.microsoft.com/investor</w:t>
        </w:r>
      </w:hyperlink>
      <w:r w:rsidRPr="00123413">
        <w:rPr>
          <w:rFonts w:ascii="Segoe UI" w:hAnsi="Segoe UI" w:cs="Segoe UI"/>
          <w:color w:val="666666"/>
          <w:sz w:val="20"/>
          <w:szCs w:val="20"/>
        </w:rPr>
        <w:t xml:space="preserve">. </w:t>
      </w:r>
      <w:r w:rsidRPr="00E06C86">
        <w:rPr>
          <w:rFonts w:ascii="Segoe UI" w:hAnsi="Segoe UI" w:cs="Segoe UI"/>
          <w:color w:val="666666"/>
          <w:sz w:val="20"/>
          <w:szCs w:val="20"/>
        </w:rPr>
        <w:t>The webcast will be available for replay through the close of business on July 22, 2015.</w:t>
      </w:r>
    </w:p>
    <w:p w14:paraId="3FCBBD0B" w14:textId="77777777" w:rsidR="00CA040B" w:rsidRPr="001514F4" w:rsidRDefault="00CA040B" w:rsidP="00CA040B">
      <w:pPr>
        <w:pStyle w:val="NormalWeb"/>
        <w:keepNext/>
        <w:spacing w:before="270" w:after="0"/>
        <w:rPr>
          <w:rFonts w:ascii="Segoe UI" w:hAnsi="Segoe UI" w:cs="Segoe UI"/>
          <w:b/>
          <w:bCs/>
          <w:color w:val="666666"/>
          <w:sz w:val="20"/>
          <w:szCs w:val="20"/>
        </w:rPr>
      </w:pPr>
      <w:r w:rsidRPr="001514F4">
        <w:rPr>
          <w:rFonts w:ascii="Segoe UI" w:hAnsi="Segoe UI" w:cs="Segoe UI"/>
          <w:b/>
          <w:bCs/>
          <w:color w:val="666666"/>
          <w:sz w:val="20"/>
          <w:szCs w:val="20"/>
        </w:rPr>
        <w:t xml:space="preserve">Adjusted Financial Results and Non-GAAP Measures </w:t>
      </w:r>
    </w:p>
    <w:p w14:paraId="062026BE" w14:textId="2A3A2332" w:rsidR="00CA040B" w:rsidRPr="00E06C86" w:rsidRDefault="00CA040B" w:rsidP="00173636">
      <w:pPr>
        <w:pStyle w:val="NormalWeb"/>
        <w:spacing w:before="0" w:beforeAutospacing="0" w:after="0" w:afterAutospacing="0" w:line="280" w:lineRule="exact"/>
        <w:jc w:val="left"/>
        <w:rPr>
          <w:rFonts w:ascii="Segoe UI" w:eastAsia="Calibri" w:hAnsi="Segoe UI" w:cs="Segoe UI"/>
          <w:color w:val="666666"/>
          <w:sz w:val="20"/>
          <w:szCs w:val="20"/>
        </w:rPr>
      </w:pPr>
      <w:r w:rsidRPr="00E06C86">
        <w:rPr>
          <w:rFonts w:ascii="Segoe UI" w:eastAsia="Calibri" w:hAnsi="Segoe UI" w:cs="Segoe UI"/>
          <w:color w:val="666666"/>
          <w:sz w:val="20"/>
          <w:szCs w:val="20"/>
        </w:rPr>
        <w:t xml:space="preserve">During the fourth quarter of fiscal year 2013, GAAP revenue, gross margin, operating income, and diluted </w:t>
      </w:r>
      <w:r w:rsidR="0073645C">
        <w:rPr>
          <w:rFonts w:ascii="Segoe UI" w:eastAsia="Calibri" w:hAnsi="Segoe UI" w:cs="Segoe UI"/>
          <w:color w:val="666666"/>
          <w:sz w:val="20"/>
          <w:szCs w:val="20"/>
        </w:rPr>
        <w:t>EPS</w:t>
      </w:r>
      <w:r w:rsidRPr="00E06C86">
        <w:rPr>
          <w:rFonts w:ascii="Segoe UI" w:eastAsia="Calibri" w:hAnsi="Segoe UI" w:cs="Segoe UI"/>
          <w:color w:val="666666"/>
          <w:sz w:val="20"/>
          <w:szCs w:val="20"/>
        </w:rPr>
        <w:t xml:space="preserve"> included the recognition of previously deferred revenue for the Office Upgrade Offer. For fiscal year 2013, the financial results included the recognition of previously deferred revenue related to the Windows Upgrade Offer as well as the European Commission Fine. These items are defined below. In addition to these financial results reported in accordance with </w:t>
      </w:r>
      <w:r w:rsidR="00113F25">
        <w:rPr>
          <w:rFonts w:ascii="Segoe UI" w:eastAsia="Calibri" w:hAnsi="Segoe UI" w:cs="Segoe UI"/>
          <w:color w:val="666666"/>
          <w:sz w:val="20"/>
          <w:szCs w:val="20"/>
        </w:rPr>
        <w:t>GAAP, we have provided certain N</w:t>
      </w:r>
      <w:r w:rsidRPr="00E06C86">
        <w:rPr>
          <w:rFonts w:ascii="Segoe UI" w:eastAsia="Calibri" w:hAnsi="Segoe UI" w:cs="Segoe UI"/>
          <w:color w:val="666666"/>
          <w:sz w:val="20"/>
          <w:szCs w:val="20"/>
        </w:rPr>
        <w:t>on-GAAP financial information to aid investors in better understanding the company’s performance. Presenting these measures without the impact of these items gives additional insight into operational performance and helps clarify trends affecting the company’s business. For comparability of reporting, management considers this information in conjunction with GAAP amounts in evaluati</w:t>
      </w:r>
      <w:r w:rsidR="00113F25">
        <w:rPr>
          <w:rFonts w:ascii="Segoe UI" w:eastAsia="Calibri" w:hAnsi="Segoe UI" w:cs="Segoe UI"/>
          <w:color w:val="666666"/>
          <w:sz w:val="20"/>
          <w:szCs w:val="20"/>
        </w:rPr>
        <w:t>ng business performance. These N</w:t>
      </w:r>
      <w:r w:rsidRPr="00E06C86">
        <w:rPr>
          <w:rFonts w:ascii="Segoe UI" w:eastAsia="Calibri" w:hAnsi="Segoe UI" w:cs="Segoe UI"/>
          <w:color w:val="666666"/>
          <w:sz w:val="20"/>
          <w:szCs w:val="20"/>
        </w:rPr>
        <w:t>on-GAAP financial measures should not be considered as a substitute for, or superior to, the measures of financial performance prepared in accordance with GAAP.</w:t>
      </w:r>
    </w:p>
    <w:p w14:paraId="1A7AEF0A" w14:textId="77777777" w:rsidR="00CA040B" w:rsidRPr="00262EDD" w:rsidRDefault="00CA040B" w:rsidP="00CA040B">
      <w:pPr>
        <w:pStyle w:val="NormalWeb"/>
        <w:keepNext/>
        <w:spacing w:before="270" w:beforeAutospacing="0" w:after="270" w:afterAutospacing="0"/>
        <w:jc w:val="left"/>
        <w:rPr>
          <w:rFonts w:ascii="Segoe UI" w:hAnsi="Segoe UI" w:cs="Segoe UI"/>
          <w:b/>
          <w:bCs/>
          <w:color w:val="666666"/>
          <w:sz w:val="20"/>
          <w:szCs w:val="20"/>
        </w:rPr>
      </w:pPr>
      <w:r w:rsidRPr="00262EDD">
        <w:rPr>
          <w:rFonts w:ascii="Segoe UI" w:hAnsi="Segoe UI" w:cs="Segoe UI"/>
          <w:b/>
          <w:bCs/>
          <w:color w:val="666666"/>
          <w:sz w:val="20"/>
          <w:szCs w:val="20"/>
        </w:rPr>
        <w:t>Non-GAAP Definitions</w:t>
      </w:r>
    </w:p>
    <w:p w14:paraId="793105F5" w14:textId="77777777" w:rsidR="00BC7FE7" w:rsidRPr="00E06C86" w:rsidRDefault="00BC7FE7" w:rsidP="00BC7FE7">
      <w:pPr>
        <w:pStyle w:val="NormalWeb"/>
        <w:spacing w:before="0" w:beforeAutospacing="0" w:after="0" w:afterAutospacing="0" w:line="280" w:lineRule="exact"/>
        <w:jc w:val="left"/>
        <w:rPr>
          <w:rFonts w:ascii="Segoe UI" w:eastAsia="Calibri" w:hAnsi="Segoe UI" w:cs="Segoe UI"/>
          <w:color w:val="666666"/>
          <w:sz w:val="20"/>
          <w:szCs w:val="20"/>
        </w:rPr>
      </w:pPr>
      <w:r w:rsidRPr="00E06C86">
        <w:rPr>
          <w:rFonts w:ascii="Segoe UI" w:eastAsia="Calibri" w:hAnsi="Segoe UI" w:cs="Segoe UI"/>
          <w:color w:val="666666"/>
          <w:sz w:val="20"/>
          <w:szCs w:val="20"/>
        </w:rPr>
        <w:t>Revenue recognition of $782 million in the fourth quarter of fiscal year 2013 related to the revenue deferred on sales of the previous version of the Microsoft Office system with a guarantee to be upgraded to the new Office at minimal or no cost (“Office Upgrade Offer”).</w:t>
      </w:r>
    </w:p>
    <w:p w14:paraId="68BE721A" w14:textId="77777777" w:rsidR="00BC7FE7" w:rsidRPr="00E06C86" w:rsidRDefault="00BC7FE7" w:rsidP="00BC7FE7">
      <w:pPr>
        <w:pStyle w:val="NormalWeb"/>
        <w:spacing w:before="0" w:beforeAutospacing="0" w:after="0" w:afterAutospacing="0" w:line="280" w:lineRule="exact"/>
        <w:jc w:val="left"/>
        <w:rPr>
          <w:rFonts w:ascii="Segoe UI" w:eastAsia="Calibri" w:hAnsi="Segoe UI" w:cs="Segoe UI"/>
          <w:color w:val="666666"/>
          <w:sz w:val="20"/>
          <w:szCs w:val="20"/>
        </w:rPr>
      </w:pPr>
    </w:p>
    <w:p w14:paraId="6D2C3113" w14:textId="5291EAE2" w:rsidR="00BC7FE7" w:rsidRPr="00E06C86" w:rsidRDefault="00BC7FE7" w:rsidP="00BC7FE7">
      <w:pPr>
        <w:pStyle w:val="NormalWeb"/>
        <w:spacing w:before="0" w:beforeAutospacing="0" w:after="0" w:afterAutospacing="0" w:line="280" w:lineRule="exact"/>
        <w:jc w:val="left"/>
        <w:rPr>
          <w:rFonts w:ascii="Segoe UI" w:eastAsia="Calibri" w:hAnsi="Segoe UI" w:cs="Segoe UI"/>
          <w:color w:val="666666"/>
          <w:sz w:val="20"/>
          <w:szCs w:val="20"/>
        </w:rPr>
      </w:pPr>
      <w:r w:rsidRPr="00E06C86">
        <w:rPr>
          <w:rFonts w:ascii="Segoe UI" w:eastAsia="Calibri" w:hAnsi="Segoe UI" w:cs="Segoe UI"/>
          <w:color w:val="666666"/>
          <w:sz w:val="20"/>
          <w:szCs w:val="20"/>
        </w:rPr>
        <w:t>Revenue recognition of $540 million in fiscal year 2013 related to the revenue deferred on sales of Windows 7 with an option to upgrade to Windows 8 Pro at a discounted price (“Windows Upgrade Offer”).</w:t>
      </w:r>
    </w:p>
    <w:p w14:paraId="536399BE" w14:textId="77777777" w:rsidR="00BC7FE7" w:rsidRPr="00E06C86" w:rsidRDefault="00BC7FE7" w:rsidP="00BC7FE7">
      <w:pPr>
        <w:pStyle w:val="NormalWeb"/>
        <w:spacing w:before="0" w:beforeAutospacing="0" w:after="0" w:afterAutospacing="0" w:line="280" w:lineRule="exact"/>
        <w:jc w:val="left"/>
        <w:rPr>
          <w:rFonts w:ascii="Segoe UI" w:eastAsia="Calibri" w:hAnsi="Segoe UI" w:cs="Segoe UI"/>
          <w:color w:val="666666"/>
          <w:sz w:val="20"/>
          <w:szCs w:val="20"/>
        </w:rPr>
      </w:pPr>
    </w:p>
    <w:p w14:paraId="2F0DE0F8" w14:textId="6F696B9D" w:rsidR="00BC7FE7" w:rsidRPr="00E06C86" w:rsidRDefault="00BC7FE7" w:rsidP="00BC7FE7">
      <w:pPr>
        <w:pStyle w:val="NormalWeb"/>
        <w:spacing w:before="0" w:beforeAutospacing="0" w:after="0" w:afterAutospacing="0" w:line="280" w:lineRule="exact"/>
        <w:jc w:val="left"/>
        <w:rPr>
          <w:rFonts w:ascii="Segoe UI" w:eastAsia="Calibri" w:hAnsi="Segoe UI" w:cs="Segoe UI"/>
          <w:color w:val="666666"/>
          <w:sz w:val="20"/>
          <w:szCs w:val="20"/>
        </w:rPr>
      </w:pPr>
      <w:r w:rsidRPr="00E06C86">
        <w:rPr>
          <w:rFonts w:ascii="Segoe UI" w:eastAsia="Calibri" w:hAnsi="Segoe UI" w:cs="Segoe UI"/>
          <w:color w:val="666666"/>
          <w:sz w:val="20"/>
          <w:szCs w:val="20"/>
        </w:rPr>
        <w:lastRenderedPageBreak/>
        <w:t>Fine of €561 million ($733 million) assessed by the European Commission in</w:t>
      </w:r>
      <w:r w:rsidR="00CF5800">
        <w:rPr>
          <w:rFonts w:ascii="Segoe UI" w:eastAsia="Calibri" w:hAnsi="Segoe UI" w:cs="Segoe UI"/>
          <w:color w:val="666666"/>
          <w:sz w:val="20"/>
          <w:szCs w:val="20"/>
        </w:rPr>
        <w:t xml:space="preserve"> the</w:t>
      </w:r>
      <w:r w:rsidRPr="00E06C86">
        <w:rPr>
          <w:rFonts w:ascii="Segoe UI" w:eastAsia="Calibri" w:hAnsi="Segoe UI" w:cs="Segoe UI"/>
          <w:color w:val="666666"/>
          <w:sz w:val="20"/>
          <w:szCs w:val="20"/>
        </w:rPr>
        <w:t xml:space="preserve"> third quarter of fiscal year 2013 for violation of an order to provide a browser choice screen with Internet Explorer on PCs sold in Europe (“European Commission Fine”).</w:t>
      </w:r>
    </w:p>
    <w:p w14:paraId="66519843" w14:textId="77777777" w:rsidR="002F14BD" w:rsidRPr="00262EDD" w:rsidRDefault="00E93497" w:rsidP="002F14BD">
      <w:pPr>
        <w:pStyle w:val="NormalWeb"/>
        <w:keepNext/>
        <w:spacing w:before="270" w:beforeAutospacing="0" w:after="270" w:afterAutospacing="0"/>
        <w:jc w:val="left"/>
        <w:rPr>
          <w:rFonts w:ascii="Segoe UI" w:hAnsi="Segoe UI" w:cs="Segoe UI"/>
          <w:b/>
          <w:bCs/>
          <w:color w:val="666666"/>
          <w:sz w:val="20"/>
          <w:szCs w:val="20"/>
        </w:rPr>
      </w:pPr>
      <w:r>
        <w:rPr>
          <w:rFonts w:ascii="Segoe UI" w:hAnsi="Segoe UI" w:cs="Segoe UI"/>
          <w:b/>
          <w:bCs/>
          <w:color w:val="666666"/>
          <w:sz w:val="20"/>
          <w:szCs w:val="20"/>
        </w:rPr>
        <w:t xml:space="preserve">Noted </w:t>
      </w:r>
      <w:r w:rsidR="002F14BD">
        <w:rPr>
          <w:rFonts w:ascii="Segoe UI" w:hAnsi="Segoe UI" w:cs="Segoe UI"/>
          <w:b/>
          <w:bCs/>
          <w:color w:val="666666"/>
          <w:sz w:val="20"/>
          <w:szCs w:val="20"/>
        </w:rPr>
        <w:t>Items</w:t>
      </w:r>
      <w:r w:rsidR="002F14BD" w:rsidRPr="00262EDD">
        <w:rPr>
          <w:rFonts w:ascii="Segoe UI" w:hAnsi="Segoe UI" w:cs="Segoe UI"/>
          <w:b/>
          <w:bCs/>
          <w:color w:val="666666"/>
          <w:sz w:val="20"/>
          <w:szCs w:val="20"/>
        </w:rPr>
        <w:t xml:space="preserve"> Definitions</w:t>
      </w:r>
    </w:p>
    <w:p w14:paraId="634B1F2D" w14:textId="77777777" w:rsidR="00786C93" w:rsidRPr="00E06C86" w:rsidRDefault="00786C93" w:rsidP="00CA040B">
      <w:pPr>
        <w:pStyle w:val="NormalWeb"/>
        <w:spacing w:before="0" w:beforeAutospacing="0" w:after="0" w:afterAutospacing="0" w:line="280" w:lineRule="exact"/>
        <w:jc w:val="left"/>
        <w:rPr>
          <w:rFonts w:ascii="Segoe UI" w:eastAsia="Calibri" w:hAnsi="Segoe UI" w:cs="Segoe UI"/>
          <w:color w:val="666666"/>
          <w:sz w:val="20"/>
          <w:szCs w:val="20"/>
        </w:rPr>
      </w:pPr>
      <w:r w:rsidRPr="00E06C86">
        <w:rPr>
          <w:rFonts w:ascii="Segoe UI" w:eastAsia="Calibri" w:hAnsi="Segoe UI" w:cs="Segoe UI"/>
          <w:color w:val="666666"/>
          <w:sz w:val="20"/>
          <w:szCs w:val="20"/>
        </w:rPr>
        <w:t>Charge of $900 million recorded in the fourth quarter of fiscal year 2013 for Surface RT Inventory Adjustments (“Surface RT Inventory Adjustments”).</w:t>
      </w:r>
    </w:p>
    <w:p w14:paraId="53F7DD35" w14:textId="77777777" w:rsidR="00786C93" w:rsidRPr="00E06C86" w:rsidRDefault="00786C93" w:rsidP="00CA040B">
      <w:pPr>
        <w:pStyle w:val="NormalWeb"/>
        <w:spacing w:before="0" w:beforeAutospacing="0" w:after="0" w:afterAutospacing="0" w:line="280" w:lineRule="exact"/>
        <w:jc w:val="left"/>
        <w:rPr>
          <w:rFonts w:ascii="Segoe UI" w:eastAsia="Calibri" w:hAnsi="Segoe UI" w:cs="Segoe UI"/>
          <w:color w:val="666666"/>
          <w:sz w:val="20"/>
          <w:szCs w:val="20"/>
        </w:rPr>
      </w:pPr>
    </w:p>
    <w:p w14:paraId="66EE2E9E" w14:textId="14B017BA" w:rsidR="002F14BD" w:rsidRPr="00E06C86" w:rsidRDefault="007F43D7" w:rsidP="00CA040B">
      <w:pPr>
        <w:pStyle w:val="NormalWeb"/>
        <w:spacing w:before="0" w:beforeAutospacing="0" w:after="0" w:afterAutospacing="0" w:line="280" w:lineRule="exact"/>
        <w:jc w:val="left"/>
        <w:rPr>
          <w:rFonts w:ascii="Segoe UI" w:eastAsia="Calibri" w:hAnsi="Segoe UI" w:cs="Segoe UI"/>
          <w:color w:val="666666"/>
          <w:sz w:val="20"/>
          <w:szCs w:val="20"/>
        </w:rPr>
      </w:pPr>
      <w:r w:rsidRPr="00E2793B">
        <w:rPr>
          <w:rFonts w:ascii="Segoe UI" w:eastAsia="Calibri" w:hAnsi="Segoe UI" w:cs="Segoe UI"/>
          <w:color w:val="666666"/>
          <w:sz w:val="20"/>
          <w:szCs w:val="20"/>
        </w:rPr>
        <w:t xml:space="preserve">Revenue recognition of $382 million in the fourth quarter of fiscal year 2014 from the </w:t>
      </w:r>
      <w:r w:rsidR="002069C6" w:rsidRPr="00E2793B">
        <w:rPr>
          <w:rFonts w:ascii="Segoe UI" w:eastAsia="Calibri" w:hAnsi="Segoe UI" w:cs="Segoe UI"/>
          <w:color w:val="666666"/>
          <w:sz w:val="20"/>
          <w:szCs w:val="20"/>
        </w:rPr>
        <w:t xml:space="preserve">contractual relationship between Nokia and Microsoft related to joint strategic initiatives </w:t>
      </w:r>
      <w:r w:rsidR="00651549" w:rsidRPr="00E2793B">
        <w:rPr>
          <w:rFonts w:ascii="Segoe UI" w:eastAsia="Calibri" w:hAnsi="Segoe UI" w:cs="Segoe UI"/>
          <w:color w:val="666666"/>
          <w:sz w:val="20"/>
          <w:szCs w:val="20"/>
        </w:rPr>
        <w:t xml:space="preserve">which </w:t>
      </w:r>
      <w:r w:rsidR="00394A8F" w:rsidRPr="00E2793B">
        <w:rPr>
          <w:rFonts w:ascii="Segoe UI" w:eastAsia="Calibri" w:hAnsi="Segoe UI" w:cs="Segoe UI"/>
          <w:color w:val="666666"/>
          <w:sz w:val="20"/>
          <w:szCs w:val="20"/>
        </w:rPr>
        <w:t xml:space="preserve">was </w:t>
      </w:r>
      <w:r w:rsidR="002069C6" w:rsidRPr="00E2793B">
        <w:rPr>
          <w:rFonts w:ascii="Segoe UI" w:eastAsia="Calibri" w:hAnsi="Segoe UI" w:cs="Segoe UI"/>
          <w:color w:val="666666"/>
          <w:sz w:val="20"/>
          <w:szCs w:val="20"/>
        </w:rPr>
        <w:t>terminated in conjunction with the acquisition</w:t>
      </w:r>
      <w:r w:rsidR="00CF5800" w:rsidRPr="00E2793B">
        <w:rPr>
          <w:rFonts w:ascii="Segoe UI" w:eastAsia="Calibri" w:hAnsi="Segoe UI" w:cs="Segoe UI"/>
          <w:color w:val="666666"/>
          <w:sz w:val="20"/>
          <w:szCs w:val="20"/>
        </w:rPr>
        <w:t xml:space="preserve"> of substantially all of the </w:t>
      </w:r>
      <w:r w:rsidR="00865B34">
        <w:rPr>
          <w:rFonts w:ascii="Segoe UI" w:eastAsia="Calibri" w:hAnsi="Segoe UI" w:cs="Segoe UI"/>
          <w:color w:val="666666"/>
          <w:sz w:val="20"/>
          <w:szCs w:val="20"/>
        </w:rPr>
        <w:t>NDS</w:t>
      </w:r>
      <w:r w:rsidR="00CF5800" w:rsidRPr="00E2793B">
        <w:rPr>
          <w:rFonts w:ascii="Segoe UI" w:eastAsia="Calibri" w:hAnsi="Segoe UI" w:cs="Segoe UI"/>
          <w:color w:val="666666"/>
          <w:sz w:val="20"/>
          <w:szCs w:val="20"/>
        </w:rPr>
        <w:t xml:space="preserve"> business</w:t>
      </w:r>
      <w:r w:rsidR="002069C6" w:rsidRPr="00E2793B">
        <w:rPr>
          <w:rFonts w:ascii="Segoe UI" w:eastAsia="Calibri" w:hAnsi="Segoe UI" w:cs="Segoe UI"/>
          <w:color w:val="666666"/>
          <w:sz w:val="20"/>
          <w:szCs w:val="20"/>
        </w:rPr>
        <w:t xml:space="preserve"> (“End of Nokia Commercial Agreement”).</w:t>
      </w:r>
    </w:p>
    <w:p w14:paraId="5A7F409C" w14:textId="77777777" w:rsidR="00437F11" w:rsidRPr="00E06C86" w:rsidRDefault="00437F11" w:rsidP="00CA040B">
      <w:pPr>
        <w:pStyle w:val="NormalWeb"/>
        <w:spacing w:before="0" w:beforeAutospacing="0" w:after="0" w:afterAutospacing="0" w:line="280" w:lineRule="exact"/>
        <w:jc w:val="left"/>
        <w:rPr>
          <w:rFonts w:ascii="Segoe UI" w:eastAsia="Calibri" w:hAnsi="Segoe UI" w:cs="Segoe UI"/>
          <w:color w:val="666666"/>
          <w:sz w:val="20"/>
          <w:szCs w:val="20"/>
        </w:rPr>
      </w:pPr>
    </w:p>
    <w:p w14:paraId="5EDE7903" w14:textId="5EC1EFF4" w:rsidR="00437F11" w:rsidRPr="00E06C86" w:rsidRDefault="00437F11" w:rsidP="00CA040B">
      <w:pPr>
        <w:pStyle w:val="NormalWeb"/>
        <w:spacing w:before="0" w:beforeAutospacing="0" w:after="0" w:afterAutospacing="0" w:line="280" w:lineRule="exact"/>
        <w:jc w:val="left"/>
        <w:rPr>
          <w:rFonts w:ascii="Segoe UI" w:eastAsia="Calibri" w:hAnsi="Segoe UI" w:cs="Segoe UI"/>
          <w:color w:val="666666"/>
          <w:sz w:val="20"/>
          <w:szCs w:val="20"/>
        </w:rPr>
      </w:pPr>
      <w:r w:rsidRPr="00E06C86">
        <w:rPr>
          <w:rFonts w:ascii="Segoe UI" w:eastAsia="Calibri" w:hAnsi="Segoe UI" w:cs="Segoe UI"/>
          <w:color w:val="666666"/>
          <w:sz w:val="20"/>
          <w:szCs w:val="20"/>
        </w:rPr>
        <w:t xml:space="preserve">Expenses </w:t>
      </w:r>
      <w:r w:rsidR="00651549" w:rsidRPr="00E06C86">
        <w:rPr>
          <w:rFonts w:ascii="Segoe UI" w:eastAsia="Calibri" w:hAnsi="Segoe UI" w:cs="Segoe UI"/>
          <w:color w:val="666666"/>
          <w:sz w:val="20"/>
          <w:szCs w:val="20"/>
        </w:rPr>
        <w:t xml:space="preserve">of $127 million </w:t>
      </w:r>
      <w:r w:rsidR="00BC7FE7" w:rsidRPr="00E06C86">
        <w:rPr>
          <w:rFonts w:ascii="Segoe UI" w:eastAsia="Calibri" w:hAnsi="Segoe UI" w:cs="Segoe UI"/>
          <w:color w:val="666666"/>
          <w:sz w:val="20"/>
          <w:szCs w:val="20"/>
        </w:rPr>
        <w:t xml:space="preserve">in the fourth quarter of fiscal year 2014 </w:t>
      </w:r>
      <w:r w:rsidRPr="00E06C86">
        <w:rPr>
          <w:rFonts w:ascii="Segoe UI" w:eastAsia="Calibri" w:hAnsi="Segoe UI" w:cs="Segoe UI"/>
          <w:color w:val="666666"/>
          <w:sz w:val="20"/>
          <w:szCs w:val="20"/>
        </w:rPr>
        <w:t xml:space="preserve">associated with the acquisition and integration of </w:t>
      </w:r>
      <w:r w:rsidR="0073645C">
        <w:rPr>
          <w:rFonts w:ascii="Segoe UI" w:eastAsia="Calibri" w:hAnsi="Segoe UI" w:cs="Segoe UI"/>
          <w:color w:val="666666"/>
          <w:sz w:val="20"/>
          <w:szCs w:val="20"/>
        </w:rPr>
        <w:t>NDS</w:t>
      </w:r>
      <w:r w:rsidRPr="00E06C86">
        <w:rPr>
          <w:rFonts w:ascii="Segoe UI" w:eastAsia="Calibri" w:hAnsi="Segoe UI" w:cs="Segoe UI"/>
          <w:color w:val="666666"/>
          <w:sz w:val="20"/>
          <w:szCs w:val="20"/>
        </w:rPr>
        <w:t>. These expenses consist of transaction fees and direct acquisition costs, including legal, finance, consult</w:t>
      </w:r>
      <w:r w:rsidR="00D443BB">
        <w:rPr>
          <w:rFonts w:ascii="Segoe UI" w:eastAsia="Calibri" w:hAnsi="Segoe UI" w:cs="Segoe UI"/>
          <w:color w:val="666666"/>
          <w:sz w:val="20"/>
          <w:szCs w:val="20"/>
        </w:rPr>
        <w:t>ing and other professional fees</w:t>
      </w:r>
      <w:r w:rsidR="009546A6">
        <w:rPr>
          <w:rFonts w:ascii="Segoe UI" w:eastAsia="Calibri" w:hAnsi="Segoe UI" w:cs="Segoe UI"/>
          <w:color w:val="666666"/>
          <w:sz w:val="20"/>
          <w:szCs w:val="20"/>
        </w:rPr>
        <w:t xml:space="preserve">. </w:t>
      </w:r>
      <w:r w:rsidR="009546A6" w:rsidRPr="00E06C86">
        <w:rPr>
          <w:rFonts w:ascii="Segoe UI" w:eastAsia="Calibri" w:hAnsi="Segoe UI" w:cs="Segoe UI"/>
          <w:color w:val="666666"/>
          <w:sz w:val="20"/>
          <w:szCs w:val="20"/>
        </w:rPr>
        <w:t>These costs also include employee compensation and termination costs associated with certain reorganization activities</w:t>
      </w:r>
      <w:r w:rsidR="009546A6">
        <w:rPr>
          <w:rFonts w:ascii="Segoe UI" w:eastAsia="Calibri" w:hAnsi="Segoe UI" w:cs="Segoe UI"/>
          <w:color w:val="666666"/>
          <w:sz w:val="20"/>
          <w:szCs w:val="20"/>
        </w:rPr>
        <w:t xml:space="preserve"> </w:t>
      </w:r>
      <w:r w:rsidRPr="00E06C86">
        <w:rPr>
          <w:rFonts w:ascii="Segoe UI" w:eastAsia="Calibri" w:hAnsi="Segoe UI" w:cs="Segoe UI"/>
          <w:color w:val="666666"/>
          <w:sz w:val="20"/>
          <w:szCs w:val="20"/>
        </w:rPr>
        <w:t>("Integration and Restructuring”).</w:t>
      </w:r>
    </w:p>
    <w:p w14:paraId="17D547DA" w14:textId="77777777" w:rsidR="004B3E79" w:rsidRDefault="004B3E79" w:rsidP="00CA040B">
      <w:pPr>
        <w:pStyle w:val="NormalWeb"/>
        <w:spacing w:before="0" w:beforeAutospacing="0" w:after="0" w:afterAutospacing="0" w:line="280" w:lineRule="exact"/>
        <w:jc w:val="left"/>
        <w:rPr>
          <w:rFonts w:ascii="Segoe UI" w:eastAsia="Calibri" w:hAnsi="Segoe UI" w:cs="Segoe UI"/>
          <w:color w:val="666666"/>
          <w:sz w:val="20"/>
          <w:szCs w:val="20"/>
        </w:rPr>
      </w:pPr>
    </w:p>
    <w:p w14:paraId="6C322EEA" w14:textId="53FF3728" w:rsidR="004B3E79" w:rsidRPr="00E06C86" w:rsidRDefault="00AA41FA" w:rsidP="00CA040B">
      <w:pPr>
        <w:pStyle w:val="NormalWeb"/>
        <w:spacing w:before="0" w:beforeAutospacing="0" w:after="0" w:afterAutospacing="0" w:line="280" w:lineRule="exact"/>
        <w:jc w:val="left"/>
        <w:rPr>
          <w:rFonts w:ascii="Segoe UI" w:eastAsia="Calibri" w:hAnsi="Segoe UI" w:cs="Segoe UI"/>
          <w:color w:val="666666"/>
          <w:sz w:val="20"/>
          <w:szCs w:val="20"/>
        </w:rPr>
      </w:pPr>
      <w:r w:rsidRPr="00E06C86">
        <w:rPr>
          <w:rFonts w:ascii="Segoe UI" w:eastAsia="Calibri" w:hAnsi="Segoe UI" w:cs="Segoe UI"/>
          <w:color w:val="666666"/>
          <w:sz w:val="20"/>
          <w:szCs w:val="20"/>
        </w:rPr>
        <w:t>Tax provision a</w:t>
      </w:r>
      <w:r w:rsidR="004B3E79" w:rsidRPr="00E06C86">
        <w:rPr>
          <w:rFonts w:ascii="Segoe UI" w:eastAsia="Calibri" w:hAnsi="Segoe UI" w:cs="Segoe UI"/>
          <w:color w:val="666666"/>
          <w:sz w:val="20"/>
          <w:szCs w:val="20"/>
        </w:rPr>
        <w:t>djustment</w:t>
      </w:r>
      <w:r w:rsidR="00CD0A7E" w:rsidRPr="00E06C86">
        <w:rPr>
          <w:rFonts w:ascii="Segoe UI" w:eastAsia="Calibri" w:hAnsi="Segoe UI" w:cs="Segoe UI"/>
          <w:color w:val="666666"/>
          <w:sz w:val="20"/>
          <w:szCs w:val="20"/>
        </w:rPr>
        <w:t xml:space="preserve"> of $4</w:t>
      </w:r>
      <w:r w:rsidRPr="00E06C86">
        <w:rPr>
          <w:rFonts w:ascii="Segoe UI" w:eastAsia="Calibri" w:hAnsi="Segoe UI" w:cs="Segoe UI"/>
          <w:color w:val="666666"/>
          <w:sz w:val="20"/>
          <w:szCs w:val="20"/>
        </w:rPr>
        <w:t>58</w:t>
      </w:r>
      <w:r w:rsidR="00CD0A7E" w:rsidRPr="00E06C86">
        <w:rPr>
          <w:rFonts w:ascii="Segoe UI" w:eastAsia="Calibri" w:hAnsi="Segoe UI" w:cs="Segoe UI"/>
          <w:color w:val="666666"/>
          <w:sz w:val="20"/>
          <w:szCs w:val="20"/>
        </w:rPr>
        <w:t xml:space="preserve"> million</w:t>
      </w:r>
      <w:r w:rsidRPr="00E06C86">
        <w:rPr>
          <w:rFonts w:ascii="Segoe UI" w:eastAsia="Calibri" w:hAnsi="Segoe UI" w:cs="Segoe UI"/>
          <w:color w:val="666666"/>
          <w:sz w:val="20"/>
          <w:szCs w:val="20"/>
        </w:rPr>
        <w:t xml:space="preserve">, or </w:t>
      </w:r>
      <w:r w:rsidR="00C5742C" w:rsidRPr="00E06C86">
        <w:rPr>
          <w:rFonts w:ascii="Segoe UI" w:eastAsia="Calibri" w:hAnsi="Segoe UI" w:cs="Segoe UI"/>
          <w:color w:val="666666"/>
          <w:sz w:val="20"/>
          <w:szCs w:val="20"/>
        </w:rPr>
        <w:t xml:space="preserve">a </w:t>
      </w:r>
      <w:r w:rsidRPr="00E06C86">
        <w:rPr>
          <w:rFonts w:ascii="Segoe UI" w:eastAsia="Calibri" w:hAnsi="Segoe UI" w:cs="Segoe UI"/>
          <w:color w:val="666666"/>
          <w:sz w:val="20"/>
          <w:szCs w:val="20"/>
        </w:rPr>
        <w:t xml:space="preserve">$(0.05) </w:t>
      </w:r>
      <w:r w:rsidR="00C5742C" w:rsidRPr="00E06C86">
        <w:rPr>
          <w:rFonts w:ascii="Segoe UI" w:eastAsia="Calibri" w:hAnsi="Segoe UI" w:cs="Segoe UI"/>
          <w:color w:val="666666"/>
          <w:sz w:val="20"/>
          <w:szCs w:val="20"/>
        </w:rPr>
        <w:t>per share impact</w:t>
      </w:r>
      <w:r w:rsidR="00CA0E7C" w:rsidRPr="00E06C86">
        <w:rPr>
          <w:rFonts w:ascii="Segoe UI" w:eastAsia="Calibri" w:hAnsi="Segoe UI" w:cs="Segoe UI"/>
          <w:color w:val="666666"/>
          <w:sz w:val="20"/>
          <w:szCs w:val="20"/>
        </w:rPr>
        <w:t>,</w:t>
      </w:r>
      <w:r w:rsidR="00BC7FE7" w:rsidRPr="00E06C86">
        <w:rPr>
          <w:rFonts w:ascii="Segoe UI" w:eastAsia="Calibri" w:hAnsi="Segoe UI" w:cs="Segoe UI"/>
          <w:color w:val="666666"/>
          <w:sz w:val="20"/>
          <w:szCs w:val="20"/>
        </w:rPr>
        <w:t xml:space="preserve"> in the fourth quarter of fiscal 2014</w:t>
      </w:r>
      <w:r w:rsidR="00CD0A7E" w:rsidRPr="00E06C86">
        <w:rPr>
          <w:rFonts w:ascii="Segoe UI" w:eastAsia="Calibri" w:hAnsi="Segoe UI" w:cs="Segoe UI"/>
          <w:color w:val="666666"/>
          <w:sz w:val="20"/>
          <w:szCs w:val="20"/>
        </w:rPr>
        <w:t xml:space="preserve"> related</w:t>
      </w:r>
      <w:r w:rsidR="004B3E79" w:rsidRPr="00E06C86">
        <w:rPr>
          <w:rFonts w:ascii="Segoe UI" w:eastAsia="Calibri" w:hAnsi="Segoe UI" w:cs="Segoe UI"/>
          <w:color w:val="666666"/>
          <w:sz w:val="20"/>
          <w:szCs w:val="20"/>
        </w:rPr>
        <w:t xml:space="preserve"> </w:t>
      </w:r>
      <w:r w:rsidR="00EA084D" w:rsidRPr="00E06C86">
        <w:rPr>
          <w:rFonts w:ascii="Segoe UI" w:eastAsia="Calibri" w:hAnsi="Segoe UI" w:cs="Segoe UI"/>
          <w:color w:val="666666"/>
          <w:sz w:val="20"/>
          <w:szCs w:val="20"/>
        </w:rPr>
        <w:t>to adjustments to prior year</w:t>
      </w:r>
      <w:r w:rsidR="00CA0E7C" w:rsidRPr="00E06C86">
        <w:rPr>
          <w:rFonts w:ascii="Segoe UI" w:eastAsia="Calibri" w:hAnsi="Segoe UI" w:cs="Segoe UI"/>
          <w:color w:val="666666"/>
          <w:sz w:val="20"/>
          <w:szCs w:val="20"/>
        </w:rPr>
        <w:t>s</w:t>
      </w:r>
      <w:r w:rsidR="00D82196" w:rsidRPr="00E06C86">
        <w:rPr>
          <w:rFonts w:ascii="Segoe UI" w:eastAsia="Calibri" w:hAnsi="Segoe UI" w:cs="Segoe UI"/>
          <w:color w:val="666666"/>
          <w:sz w:val="20"/>
          <w:szCs w:val="20"/>
        </w:rPr>
        <w:t>’</w:t>
      </w:r>
      <w:r w:rsidR="00EA084D" w:rsidRPr="00E06C86">
        <w:rPr>
          <w:rFonts w:ascii="Segoe UI" w:eastAsia="Calibri" w:hAnsi="Segoe UI" w:cs="Segoe UI"/>
          <w:color w:val="666666"/>
          <w:sz w:val="20"/>
          <w:szCs w:val="20"/>
        </w:rPr>
        <w:t xml:space="preserve"> liabilities for intercompany transfer pricing that increased </w:t>
      </w:r>
      <w:r w:rsidR="00751FFD">
        <w:rPr>
          <w:rFonts w:ascii="Segoe UI" w:eastAsia="Calibri" w:hAnsi="Segoe UI" w:cs="Segoe UI"/>
          <w:color w:val="666666"/>
          <w:sz w:val="20"/>
          <w:szCs w:val="20"/>
        </w:rPr>
        <w:t>taxable</w:t>
      </w:r>
      <w:r w:rsidR="00EA084D" w:rsidRPr="00E06C86">
        <w:rPr>
          <w:rFonts w:ascii="Segoe UI" w:eastAsia="Calibri" w:hAnsi="Segoe UI" w:cs="Segoe UI"/>
          <w:color w:val="666666"/>
          <w:sz w:val="20"/>
          <w:szCs w:val="20"/>
        </w:rPr>
        <w:t xml:space="preserve"> income in more highly taxed </w:t>
      </w:r>
      <w:r w:rsidR="00690F5C" w:rsidRPr="00E06C86">
        <w:rPr>
          <w:rFonts w:ascii="Segoe UI" w:eastAsia="Calibri" w:hAnsi="Segoe UI" w:cs="Segoe UI"/>
          <w:color w:val="666666"/>
          <w:sz w:val="20"/>
          <w:szCs w:val="20"/>
        </w:rPr>
        <w:t>jurisdictions</w:t>
      </w:r>
      <w:r w:rsidR="004B3E79" w:rsidRPr="00E06C86">
        <w:rPr>
          <w:rFonts w:ascii="Segoe UI" w:eastAsia="Calibri" w:hAnsi="Segoe UI" w:cs="Segoe UI"/>
          <w:color w:val="666666"/>
          <w:sz w:val="20"/>
          <w:szCs w:val="20"/>
        </w:rPr>
        <w:t xml:space="preserve"> (“</w:t>
      </w:r>
      <w:r w:rsidR="00361510" w:rsidRPr="00E06C86">
        <w:rPr>
          <w:rFonts w:ascii="Segoe UI" w:eastAsia="Calibri" w:hAnsi="Segoe UI" w:cs="Segoe UI"/>
          <w:color w:val="666666"/>
          <w:sz w:val="20"/>
          <w:szCs w:val="20"/>
        </w:rPr>
        <w:t>Adjustment to Prior Years’ Taxes</w:t>
      </w:r>
      <w:r w:rsidR="004B3E79" w:rsidRPr="00E06C86">
        <w:rPr>
          <w:rFonts w:ascii="Segoe UI" w:eastAsia="Calibri" w:hAnsi="Segoe UI" w:cs="Segoe UI"/>
          <w:color w:val="666666"/>
          <w:sz w:val="20"/>
          <w:szCs w:val="20"/>
        </w:rPr>
        <w:t>”).</w:t>
      </w:r>
    </w:p>
    <w:p w14:paraId="5C3EB41A" w14:textId="77777777" w:rsidR="00CA040B" w:rsidRPr="00262EDD" w:rsidRDefault="00CA040B" w:rsidP="00CA040B">
      <w:pPr>
        <w:pStyle w:val="NormalWeb"/>
        <w:keepNext/>
        <w:spacing w:before="270" w:beforeAutospacing="0" w:after="270" w:afterAutospacing="0"/>
        <w:jc w:val="left"/>
        <w:rPr>
          <w:rFonts w:ascii="Segoe UI" w:hAnsi="Segoe UI" w:cs="Segoe UI"/>
          <w:b/>
          <w:bCs/>
          <w:color w:val="666666"/>
          <w:sz w:val="20"/>
          <w:szCs w:val="20"/>
        </w:rPr>
      </w:pPr>
      <w:r w:rsidRPr="00262EDD">
        <w:rPr>
          <w:rFonts w:ascii="Segoe UI" w:hAnsi="Segoe UI" w:cs="Segoe UI"/>
          <w:b/>
          <w:bCs/>
          <w:color w:val="666666"/>
          <w:sz w:val="20"/>
          <w:szCs w:val="20"/>
        </w:rPr>
        <w:t>About Microsoft</w:t>
      </w:r>
    </w:p>
    <w:p w14:paraId="6C903544" w14:textId="77777777" w:rsidR="00CA040B" w:rsidRPr="00E06C86" w:rsidRDefault="00CA040B" w:rsidP="00CA040B">
      <w:pPr>
        <w:pStyle w:val="NoSpacing"/>
        <w:spacing w:after="200" w:line="280" w:lineRule="exact"/>
        <w:rPr>
          <w:rFonts w:ascii="Segoe UI" w:hAnsi="Segoe UI" w:cs="Segoe UI"/>
          <w:color w:val="666666"/>
          <w:sz w:val="20"/>
          <w:szCs w:val="20"/>
        </w:rPr>
      </w:pPr>
      <w:r w:rsidRPr="00E06C86">
        <w:rPr>
          <w:rFonts w:ascii="Segoe UI" w:hAnsi="Segoe UI" w:cs="Segoe UI"/>
          <w:color w:val="666666"/>
          <w:sz w:val="20"/>
          <w:szCs w:val="20"/>
        </w:rPr>
        <w:t>Founded in 1975, Microsoft (</w:t>
      </w:r>
      <w:proofErr w:type="gramStart"/>
      <w:r w:rsidRPr="00E06C86">
        <w:rPr>
          <w:rFonts w:ascii="Segoe UI" w:hAnsi="Segoe UI" w:cs="Segoe UI"/>
          <w:color w:val="666666"/>
          <w:sz w:val="20"/>
          <w:szCs w:val="20"/>
        </w:rPr>
        <w:t>Nasdaq</w:t>
      </w:r>
      <w:proofErr w:type="gramEnd"/>
      <w:r w:rsidRPr="00E06C86">
        <w:rPr>
          <w:rFonts w:ascii="Segoe UI" w:hAnsi="Segoe UI" w:cs="Segoe UI"/>
          <w:color w:val="666666"/>
          <w:sz w:val="20"/>
          <w:szCs w:val="20"/>
        </w:rPr>
        <w:t xml:space="preserve"> “MSFT”) is the worldwide leader in software, services, devices and solutions that help people and businesses realize their full potential.</w:t>
      </w:r>
    </w:p>
    <w:p w14:paraId="73585A26" w14:textId="77777777" w:rsidR="00CA040B" w:rsidRPr="00CB3571" w:rsidRDefault="00CA040B" w:rsidP="00CA040B">
      <w:pPr>
        <w:pStyle w:val="NoSpacing"/>
        <w:spacing w:before="240" w:after="200" w:line="280" w:lineRule="exact"/>
        <w:rPr>
          <w:rFonts w:ascii="Segoe UI" w:hAnsi="Segoe UI" w:cs="Segoe UI"/>
          <w:b/>
          <w:color w:val="666666"/>
          <w:sz w:val="20"/>
          <w:szCs w:val="20"/>
        </w:rPr>
      </w:pPr>
      <w:r w:rsidRPr="00CB3571">
        <w:rPr>
          <w:rFonts w:ascii="Segoe UI" w:hAnsi="Segoe UI" w:cs="Segoe UI"/>
          <w:b/>
          <w:color w:val="666666"/>
          <w:sz w:val="20"/>
          <w:szCs w:val="20"/>
        </w:rPr>
        <w:t xml:space="preserve">Forward-Looking Statements </w:t>
      </w:r>
    </w:p>
    <w:p w14:paraId="1F876C1A" w14:textId="77777777" w:rsidR="00CA040B" w:rsidRPr="00E06C86" w:rsidRDefault="00CA040B" w:rsidP="00CA040B">
      <w:pPr>
        <w:pStyle w:val="NoSpacing"/>
        <w:spacing w:after="200" w:line="280" w:lineRule="exact"/>
        <w:rPr>
          <w:rFonts w:ascii="Segoe UI" w:hAnsi="Segoe UI" w:cs="Segoe UI"/>
          <w:color w:val="666666"/>
          <w:sz w:val="20"/>
          <w:szCs w:val="20"/>
        </w:rPr>
      </w:pPr>
      <w:r w:rsidRPr="00E06C86">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294AE482"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intense competition in all of Microsoft’s markets;</w:t>
      </w:r>
    </w:p>
    <w:p w14:paraId="392D1882"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increasing focus on services presents execution and competitive risks;</w:t>
      </w:r>
    </w:p>
    <w:p w14:paraId="1211FF6F"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significant investments in new products and services that may not be profitable;</w:t>
      </w:r>
    </w:p>
    <w:p w14:paraId="5780EE62"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acquisitions, joint ven</w:t>
      </w:r>
      <w:r w:rsidR="00CD7FF2" w:rsidRPr="00E06C86">
        <w:rPr>
          <w:rFonts w:ascii="Segoe UI" w:hAnsi="Segoe UI" w:cs="Segoe UI"/>
          <w:color w:val="666666"/>
          <w:sz w:val="20"/>
          <w:szCs w:val="20"/>
        </w:rPr>
        <w:t xml:space="preserve">tures, and strategic alliances </w:t>
      </w:r>
      <w:r w:rsidRPr="00E06C86">
        <w:rPr>
          <w:rFonts w:ascii="Segoe UI" w:hAnsi="Segoe UI" w:cs="Segoe UI"/>
          <w:color w:val="666666"/>
          <w:sz w:val="20"/>
          <w:szCs w:val="20"/>
        </w:rPr>
        <w:t>may have an adverse effect on our business;</w:t>
      </w:r>
    </w:p>
    <w:p w14:paraId="08461420" w14:textId="77777777" w:rsidR="00EE3883" w:rsidRPr="00E06C86" w:rsidRDefault="00EE3883"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impairment of goodwill or amortizable intangible assets causing a significant charge to earnings;</w:t>
      </w:r>
    </w:p>
    <w:p w14:paraId="037EC008"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Microsoft’s continued ability to protect its intellectual property rights;</w:t>
      </w:r>
    </w:p>
    <w:p w14:paraId="3099B36C"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claims that Microsoft has infringed the intellectual property rights of others;</w:t>
      </w:r>
    </w:p>
    <w:p w14:paraId="1384F8C6"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the possibility of unauthorized disclosure of significant portions of Microsoft’s source code;</w:t>
      </w:r>
    </w:p>
    <w:p w14:paraId="6F4882CB"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cyber-attacks and security vulnerabilities in Microsoft products that could reduce revenue or lead to liability;</w:t>
      </w:r>
    </w:p>
    <w:p w14:paraId="4BCE8ECC" w14:textId="262955CF"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 xml:space="preserve">disclosure of personal data that could </w:t>
      </w:r>
      <w:r w:rsidR="00636C5C">
        <w:rPr>
          <w:rFonts w:ascii="Segoe UI" w:hAnsi="Segoe UI" w:cs="Segoe UI"/>
          <w:color w:val="666666"/>
          <w:sz w:val="20"/>
          <w:szCs w:val="20"/>
        </w:rPr>
        <w:t>cause</w:t>
      </w:r>
      <w:r w:rsidRPr="00E06C86">
        <w:rPr>
          <w:rFonts w:ascii="Segoe UI" w:hAnsi="Segoe UI" w:cs="Segoe UI"/>
          <w:color w:val="666666"/>
          <w:sz w:val="20"/>
          <w:szCs w:val="20"/>
        </w:rPr>
        <w:t xml:space="preserve"> liability and harm to Microsoft’s reputation; </w:t>
      </w:r>
    </w:p>
    <w:p w14:paraId="4E48F50F"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lastRenderedPageBreak/>
        <w:t>outages, data losses, and disruptions of our online services if we fail to maintain an adequate operations infrastructure;</w:t>
      </w:r>
    </w:p>
    <w:p w14:paraId="5FEE2F31"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government litigation and regulation that may limit how Microsoft designs and markets its products;</w:t>
      </w:r>
    </w:p>
    <w:p w14:paraId="4F955679" w14:textId="77777777" w:rsidR="007321F4" w:rsidRPr="00E06C86" w:rsidRDefault="00697CD0"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potential liability under trade protection and anti-corruption laws resulting from our international operations</w:t>
      </w:r>
      <w:r w:rsidR="007321F4" w:rsidRPr="00E06C86">
        <w:rPr>
          <w:rFonts w:ascii="Segoe UI" w:hAnsi="Segoe UI" w:cs="Segoe UI"/>
          <w:color w:val="666666"/>
          <w:sz w:val="20"/>
          <w:szCs w:val="20"/>
        </w:rPr>
        <w:t>;</w:t>
      </w:r>
    </w:p>
    <w:p w14:paraId="2F233A79"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Microsoft’s ability to attract and retain talented employees;</w:t>
      </w:r>
    </w:p>
    <w:p w14:paraId="55D64310"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adverse results in legal disputes;</w:t>
      </w:r>
    </w:p>
    <w:p w14:paraId="17D78E90"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unanticipated tax liabilities;</w:t>
      </w:r>
    </w:p>
    <w:p w14:paraId="4384E44F"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our hardware and software products may experience quality or supply problems;</w:t>
      </w:r>
    </w:p>
    <w:p w14:paraId="5C3774CD" w14:textId="77777777" w:rsidR="00CA040B" w:rsidRPr="00E06C86" w:rsidRDefault="00CA040B" w:rsidP="00EE3883">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 xml:space="preserve">exposure to increased economic </w:t>
      </w:r>
      <w:r w:rsidR="00996F61" w:rsidRPr="00E06C86">
        <w:rPr>
          <w:rFonts w:ascii="Segoe UI" w:hAnsi="Segoe UI" w:cs="Segoe UI"/>
          <w:color w:val="666666"/>
          <w:sz w:val="20"/>
          <w:szCs w:val="20"/>
        </w:rPr>
        <w:t>and operational u</w:t>
      </w:r>
      <w:r w:rsidR="00510B75" w:rsidRPr="00E06C86">
        <w:rPr>
          <w:rFonts w:ascii="Segoe UI" w:hAnsi="Segoe UI" w:cs="Segoe UI"/>
          <w:color w:val="666666"/>
          <w:sz w:val="20"/>
          <w:szCs w:val="20"/>
        </w:rPr>
        <w:t xml:space="preserve">ncertainties </w:t>
      </w:r>
      <w:r w:rsidRPr="00E06C86">
        <w:rPr>
          <w:rFonts w:ascii="Segoe UI" w:hAnsi="Segoe UI" w:cs="Segoe UI"/>
          <w:color w:val="666666"/>
          <w:sz w:val="20"/>
          <w:szCs w:val="20"/>
        </w:rPr>
        <w:t xml:space="preserve">from </w:t>
      </w:r>
      <w:r w:rsidR="00697CD0" w:rsidRPr="00E06C86">
        <w:rPr>
          <w:rFonts w:ascii="Segoe UI" w:hAnsi="Segoe UI" w:cs="Segoe UI"/>
          <w:color w:val="666666"/>
          <w:sz w:val="20"/>
          <w:szCs w:val="20"/>
        </w:rPr>
        <w:t>operating a global business;</w:t>
      </w:r>
    </w:p>
    <w:p w14:paraId="5688CEF6" w14:textId="77777777" w:rsidR="00CA040B" w:rsidRPr="00E06C86" w:rsidRDefault="00CA040B" w:rsidP="00CA040B">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catastrophic events or geo-political cond</w:t>
      </w:r>
      <w:r w:rsidR="00697CD0" w:rsidRPr="00E06C86">
        <w:rPr>
          <w:rFonts w:ascii="Segoe UI" w:hAnsi="Segoe UI" w:cs="Segoe UI"/>
          <w:color w:val="666666"/>
          <w:sz w:val="20"/>
          <w:szCs w:val="20"/>
        </w:rPr>
        <w:t>itions may disrupt our business; and</w:t>
      </w:r>
    </w:p>
    <w:p w14:paraId="5978A22F" w14:textId="77777777" w:rsidR="00697CD0" w:rsidRPr="00E06C86" w:rsidRDefault="00697CD0" w:rsidP="00CA040B">
      <w:pPr>
        <w:pStyle w:val="NoSpacing"/>
        <w:numPr>
          <w:ilvl w:val="0"/>
          <w:numId w:val="1"/>
        </w:numPr>
        <w:spacing w:before="120" w:after="120" w:line="280" w:lineRule="exact"/>
        <w:rPr>
          <w:rFonts w:ascii="Segoe UI" w:hAnsi="Segoe UI" w:cs="Segoe UI"/>
          <w:color w:val="666666"/>
          <w:sz w:val="20"/>
          <w:szCs w:val="20"/>
        </w:rPr>
      </w:pPr>
      <w:proofErr w:type="gramStart"/>
      <w:r w:rsidRPr="00E06C86">
        <w:rPr>
          <w:rFonts w:ascii="Segoe UI" w:hAnsi="Segoe UI" w:cs="Segoe UI"/>
          <w:color w:val="666666"/>
          <w:sz w:val="20"/>
          <w:szCs w:val="20"/>
        </w:rPr>
        <w:t>adverse</w:t>
      </w:r>
      <w:proofErr w:type="gramEnd"/>
      <w:r w:rsidRPr="00E06C86">
        <w:rPr>
          <w:rFonts w:ascii="Segoe UI" w:hAnsi="Segoe UI" w:cs="Segoe UI"/>
          <w:color w:val="666666"/>
          <w:sz w:val="20"/>
          <w:szCs w:val="20"/>
        </w:rPr>
        <w:t xml:space="preserve"> economic or market conditions may harm our business.</w:t>
      </w:r>
    </w:p>
    <w:p w14:paraId="03F2D7B8" w14:textId="77777777" w:rsidR="00CA040B" w:rsidRPr="00E06C86" w:rsidRDefault="00CA040B" w:rsidP="00CA040B">
      <w:pPr>
        <w:pStyle w:val="NoSpacing"/>
        <w:spacing w:before="240" w:after="200" w:line="280" w:lineRule="exact"/>
        <w:rPr>
          <w:rFonts w:ascii="Segoe UI" w:hAnsi="Segoe UI" w:cs="Segoe UI"/>
          <w:color w:val="666666"/>
          <w:sz w:val="20"/>
          <w:szCs w:val="20"/>
        </w:rPr>
      </w:pPr>
      <w:r w:rsidRPr="00E06C86">
        <w:rPr>
          <w:rFonts w:ascii="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8" w:tgtFrame="_blank" w:history="1">
        <w:r w:rsidRPr="00CB3571">
          <w:rPr>
            <w:rStyle w:val="Hyperlink"/>
            <w:rFonts w:cs="Segoe UI"/>
            <w:szCs w:val="20"/>
          </w:rPr>
          <w:t>http://www.microsoft.</w:t>
        </w:r>
        <w:r w:rsidRPr="00CB3571">
          <w:rPr>
            <w:rStyle w:val="FollowedHyperlink"/>
            <w:rFonts w:cs="Segoe UI"/>
            <w:szCs w:val="20"/>
          </w:rPr>
          <w:t>com</w:t>
        </w:r>
        <w:r w:rsidRPr="00CB3571">
          <w:rPr>
            <w:rStyle w:val="Hyperlink"/>
            <w:rFonts w:cs="Segoe UI"/>
            <w:szCs w:val="20"/>
          </w:rPr>
          <w:t>/investor</w:t>
        </w:r>
      </w:hyperlink>
      <w:r w:rsidRPr="00E06C86">
        <w:rPr>
          <w:rFonts w:ascii="Segoe UI" w:hAnsi="Segoe UI" w:cs="Segoe UI"/>
          <w:color w:val="666666"/>
          <w:sz w:val="20"/>
          <w:szCs w:val="20"/>
        </w:rPr>
        <w:t>.</w:t>
      </w:r>
    </w:p>
    <w:p w14:paraId="164A5DE0" w14:textId="77777777" w:rsidR="00CA040B" w:rsidRPr="00E06C86" w:rsidRDefault="00CA040B" w:rsidP="00CA040B">
      <w:pPr>
        <w:pStyle w:val="NoSpacing"/>
        <w:spacing w:before="240" w:after="200" w:line="280" w:lineRule="exact"/>
        <w:rPr>
          <w:rFonts w:ascii="Segoe UI" w:hAnsi="Segoe UI" w:cs="Segoe UI"/>
          <w:color w:val="666666"/>
          <w:sz w:val="20"/>
          <w:szCs w:val="20"/>
        </w:rPr>
      </w:pPr>
      <w:r w:rsidRPr="00E06C86">
        <w:rPr>
          <w:rFonts w:ascii="Segoe UI" w:hAnsi="Segoe UI" w:cs="Segoe UI"/>
          <w:color w:val="666666"/>
          <w:sz w:val="20"/>
          <w:szCs w:val="20"/>
        </w:rPr>
        <w:t>All information in this release is as of July 22, 2014. The company undertakes no duty to update any forward-looking statement to conform the statement to actual results or changes in the company’s expectations.</w:t>
      </w:r>
    </w:p>
    <w:p w14:paraId="3E001E69" w14:textId="77777777" w:rsidR="00CA040B" w:rsidRPr="00CB3571" w:rsidRDefault="00CA040B" w:rsidP="00CA040B">
      <w:pPr>
        <w:pStyle w:val="NoSpacing"/>
        <w:spacing w:line="280" w:lineRule="exact"/>
        <w:rPr>
          <w:rFonts w:ascii="Segoe UI" w:hAnsi="Segoe UI" w:cs="Segoe UI"/>
          <w:b/>
          <w:color w:val="666666"/>
          <w:sz w:val="20"/>
          <w:szCs w:val="20"/>
        </w:rPr>
      </w:pPr>
      <w:r w:rsidRPr="00CB3571">
        <w:rPr>
          <w:rFonts w:ascii="Segoe UI" w:hAnsi="Segoe UI" w:cs="Segoe UI"/>
          <w:b/>
          <w:color w:val="666666"/>
          <w:sz w:val="20"/>
          <w:szCs w:val="20"/>
        </w:rPr>
        <w:t xml:space="preserve">For more information, press only: </w:t>
      </w:r>
    </w:p>
    <w:p w14:paraId="259B794A" w14:textId="77777777" w:rsidR="00CA040B" w:rsidRPr="00CB3571" w:rsidRDefault="00CA040B" w:rsidP="00CA040B">
      <w:pPr>
        <w:pStyle w:val="NoSpacing"/>
        <w:spacing w:line="280" w:lineRule="exact"/>
        <w:rPr>
          <w:rFonts w:ascii="Segoe UI" w:hAnsi="Segoe UI" w:cs="Segoe UI"/>
          <w:sz w:val="20"/>
          <w:szCs w:val="20"/>
        </w:rPr>
      </w:pPr>
      <w:r w:rsidRPr="00E06C86">
        <w:rPr>
          <w:rFonts w:ascii="Segoe UI" w:hAnsi="Segoe UI" w:cs="Segoe UI"/>
          <w:color w:val="666666"/>
          <w:sz w:val="20"/>
          <w:szCs w:val="20"/>
        </w:rPr>
        <w:t xml:space="preserve">Rapid Response Team, Waggener Edstrom Worldwide, (503) 443-7070, </w:t>
      </w:r>
      <w:hyperlink r:id="rId9" w:history="1">
        <w:r w:rsidRPr="00CB3571">
          <w:rPr>
            <w:rStyle w:val="Hyperlink"/>
            <w:rFonts w:cs="Segoe UI"/>
            <w:szCs w:val="20"/>
          </w:rPr>
          <w:t>rrt@waggeneredstrom.com</w:t>
        </w:r>
      </w:hyperlink>
    </w:p>
    <w:p w14:paraId="5888C8E0" w14:textId="77777777" w:rsidR="00CA040B" w:rsidRPr="00CB3571" w:rsidRDefault="00CA040B" w:rsidP="00CA040B">
      <w:pPr>
        <w:pStyle w:val="NoSpacing"/>
        <w:spacing w:line="280" w:lineRule="exact"/>
        <w:rPr>
          <w:rFonts w:ascii="Segoe UI" w:hAnsi="Segoe UI" w:cs="Segoe UI"/>
          <w:b/>
          <w:sz w:val="20"/>
          <w:szCs w:val="20"/>
        </w:rPr>
      </w:pPr>
    </w:p>
    <w:p w14:paraId="128F0DAC" w14:textId="77777777" w:rsidR="00CA040B" w:rsidRPr="00CB3571" w:rsidRDefault="00CA040B" w:rsidP="00CA040B">
      <w:pPr>
        <w:pStyle w:val="NoSpacing"/>
        <w:spacing w:line="280" w:lineRule="exact"/>
        <w:rPr>
          <w:rFonts w:ascii="Segoe UI" w:hAnsi="Segoe UI" w:cs="Segoe UI"/>
          <w:b/>
          <w:color w:val="666666"/>
          <w:sz w:val="20"/>
          <w:szCs w:val="20"/>
        </w:rPr>
      </w:pPr>
      <w:r w:rsidRPr="00CB3571">
        <w:rPr>
          <w:rFonts w:ascii="Segoe UI" w:hAnsi="Segoe UI" w:cs="Segoe UI"/>
          <w:b/>
          <w:color w:val="666666"/>
          <w:sz w:val="20"/>
          <w:szCs w:val="20"/>
        </w:rPr>
        <w:t xml:space="preserve">For more information, financial analysts and investors only: </w:t>
      </w:r>
    </w:p>
    <w:p w14:paraId="150C403A" w14:textId="77777777" w:rsidR="00CA040B" w:rsidRPr="00E06C86" w:rsidRDefault="00CA040B" w:rsidP="00CA040B">
      <w:pPr>
        <w:pStyle w:val="NoSpacing"/>
        <w:spacing w:line="280" w:lineRule="exact"/>
        <w:rPr>
          <w:rFonts w:ascii="Segoe UI" w:hAnsi="Segoe UI" w:cs="Segoe UI"/>
          <w:color w:val="666666"/>
          <w:sz w:val="20"/>
          <w:szCs w:val="20"/>
        </w:rPr>
      </w:pPr>
      <w:r w:rsidRPr="00E06C86">
        <w:rPr>
          <w:rFonts w:ascii="Segoe UI" w:hAnsi="Segoe UI" w:cs="Segoe UI"/>
          <w:color w:val="666666"/>
          <w:sz w:val="20"/>
          <w:szCs w:val="20"/>
        </w:rPr>
        <w:t>Chris Suh, general manager, Investor Relations, (425) 706-4400</w:t>
      </w:r>
    </w:p>
    <w:p w14:paraId="1208A227" w14:textId="77777777" w:rsidR="00CA040B" w:rsidRPr="00CB3571" w:rsidRDefault="00CA040B" w:rsidP="00CA040B">
      <w:pPr>
        <w:pStyle w:val="NoSpacing"/>
        <w:spacing w:line="280" w:lineRule="exact"/>
        <w:rPr>
          <w:rFonts w:ascii="Segoe UI" w:hAnsi="Segoe UI" w:cs="Segoe UI"/>
          <w:color w:val="666666"/>
          <w:sz w:val="20"/>
          <w:szCs w:val="20"/>
        </w:rPr>
      </w:pPr>
    </w:p>
    <w:p w14:paraId="704164AB" w14:textId="77777777" w:rsidR="000F3FA8" w:rsidRDefault="00CA040B" w:rsidP="00CA040B">
      <w:pPr>
        <w:spacing w:line="280" w:lineRule="exact"/>
        <w:rPr>
          <w:rFonts w:ascii="Segoe UI" w:hAnsi="Segoe UI" w:cs="Segoe UI"/>
          <w:sz w:val="20"/>
          <w:szCs w:val="20"/>
        </w:rPr>
      </w:pPr>
      <w:r w:rsidRPr="00E06C86">
        <w:rPr>
          <w:rFonts w:ascii="Segoe UI" w:hAnsi="Segoe UI" w:cs="Segoe UI"/>
          <w:i/>
          <w:color w:val="666666"/>
          <w:sz w:val="20"/>
          <w:szCs w:val="20"/>
        </w:rPr>
        <w:t xml:space="preserve">Note to editors: </w:t>
      </w:r>
      <w:r w:rsidRPr="00E06C86">
        <w:rPr>
          <w:rFonts w:ascii="Segoe UI" w:hAnsi="Segoe UI" w:cs="Segoe UI"/>
          <w:color w:val="666666"/>
          <w:sz w:val="20"/>
          <w:szCs w:val="20"/>
        </w:rPr>
        <w:t>For more information, news and perspectives from Microsoft, please visit the Microsoft News Center at</w:t>
      </w:r>
      <w:r w:rsidRPr="00942EC7">
        <w:rPr>
          <w:rFonts w:ascii="Segoe UI" w:hAnsi="Segoe UI" w:cs="Segoe UI"/>
          <w:color w:val="7F7F7F" w:themeColor="text1" w:themeTint="80"/>
          <w:sz w:val="20"/>
          <w:szCs w:val="20"/>
        </w:rPr>
        <w:t xml:space="preserve"> </w:t>
      </w:r>
      <w:hyperlink r:id="rId10" w:tgtFrame="_blank" w:history="1">
        <w:r w:rsidRPr="00CB3571">
          <w:rPr>
            <w:rStyle w:val="Hyperlink"/>
            <w:rFonts w:cs="Segoe UI"/>
            <w:szCs w:val="20"/>
          </w:rPr>
          <w:t>http://www.microsoft.com/news</w:t>
        </w:r>
      </w:hyperlink>
      <w:r w:rsidRPr="00E06C86">
        <w:rPr>
          <w:rStyle w:val="Hyperlink"/>
          <w:rFonts w:cs="Segoe UI"/>
          <w:color w:val="666666"/>
          <w:szCs w:val="20"/>
        </w:rPr>
        <w:t>/</w:t>
      </w:r>
      <w:r w:rsidRPr="00E06C86">
        <w:rPr>
          <w:rFonts w:ascii="Segoe UI" w:hAnsi="Segoe UI" w:cs="Segoe UI"/>
          <w:color w:val="666666"/>
          <w:sz w:val="20"/>
          <w:szCs w:val="20"/>
        </w:rPr>
        <w:t xml:space="preserve">. Web links, telephone numbers, and titles were correct at time of publication, but may since have changed. Shareholder and financial information, as well as today’s 2:30 p.m. PDT conference call with investors and analysts, is available at </w:t>
      </w:r>
      <w:hyperlink r:id="rId11" w:tgtFrame="_blank" w:history="1">
        <w:r w:rsidRPr="00CB3571">
          <w:rPr>
            <w:rStyle w:val="Hyperlink"/>
            <w:rFonts w:cs="Segoe UI"/>
          </w:rPr>
          <w:t>http://www.microsoft.com/investor</w:t>
        </w:r>
      </w:hyperlink>
      <w:r w:rsidRPr="00CB3571">
        <w:rPr>
          <w:rFonts w:ascii="Segoe UI" w:hAnsi="Segoe UI" w:cs="Segoe UI"/>
          <w:sz w:val="20"/>
          <w:szCs w:val="20"/>
        </w:rPr>
        <w:t>.</w:t>
      </w:r>
      <w:bookmarkStart w:id="3" w:name="RANGE!A1:H31"/>
      <w:bookmarkStart w:id="4" w:name="RANGE!A1:D29"/>
      <w:bookmarkStart w:id="5" w:name="RANGE!A1:D47"/>
      <w:bookmarkStart w:id="6" w:name="RANGE!A1:D15"/>
      <w:bookmarkStart w:id="7" w:name="RANGE!A1:H49"/>
      <w:bookmarkStart w:id="8" w:name="RANGE!A1:D48"/>
      <w:bookmarkStart w:id="9" w:name="RANGE!A1:D49"/>
      <w:bookmarkStart w:id="10" w:name="RANGE!A1:H28"/>
      <w:bookmarkStart w:id="11" w:name="RANGE!A1:D25"/>
      <w:bookmarkEnd w:id="3"/>
      <w:bookmarkEnd w:id="4"/>
      <w:bookmarkEnd w:id="5"/>
      <w:bookmarkEnd w:id="6"/>
      <w:bookmarkEnd w:id="7"/>
      <w:bookmarkEnd w:id="8"/>
      <w:bookmarkEnd w:id="9"/>
      <w:bookmarkEnd w:id="10"/>
      <w:bookmarkEnd w:id="11"/>
    </w:p>
    <w:p w14:paraId="10A4C520" w14:textId="77777777" w:rsidR="008A7AB3" w:rsidRDefault="008A7AB3">
      <w:pPr>
        <w:spacing w:after="160" w:line="259" w:lineRule="auto"/>
        <w:rPr>
          <w:rFonts w:ascii="Segoe UI" w:eastAsia="Times New Roman" w:hAnsi="Segoe UI" w:cs="Segoe UI"/>
          <w:b/>
          <w:bCs/>
          <w:color w:val="FF0000"/>
          <w:sz w:val="20"/>
          <w:szCs w:val="20"/>
        </w:rPr>
      </w:pPr>
      <w:r>
        <w:rPr>
          <w:rFonts w:ascii="Segoe UI" w:hAnsi="Segoe UI" w:cs="Segoe UI"/>
          <w:b/>
          <w:bCs/>
          <w:color w:val="FF0000"/>
          <w:sz w:val="20"/>
          <w:szCs w:val="20"/>
        </w:rPr>
        <w:br w:type="page"/>
      </w:r>
    </w:p>
    <w:tbl>
      <w:tblPr>
        <w:tblW w:w="7780" w:type="dxa"/>
        <w:tblCellMar>
          <w:left w:w="0" w:type="dxa"/>
          <w:right w:w="0" w:type="dxa"/>
        </w:tblCellMar>
        <w:tblLook w:val="04A0" w:firstRow="1" w:lastRow="0" w:firstColumn="1" w:lastColumn="0" w:noHBand="0" w:noVBand="1"/>
      </w:tblPr>
      <w:tblGrid>
        <w:gridCol w:w="3419"/>
        <w:gridCol w:w="1153"/>
        <w:gridCol w:w="57"/>
        <w:gridCol w:w="906"/>
        <w:gridCol w:w="194"/>
        <w:gridCol w:w="1216"/>
        <w:gridCol w:w="57"/>
        <w:gridCol w:w="906"/>
      </w:tblGrid>
      <w:tr w:rsidR="00FD69BE" w:rsidRPr="00FD69BE" w14:paraId="55ABEE75" w14:textId="77777777" w:rsidTr="00FD69BE">
        <w:trPr>
          <w:trHeight w:val="285"/>
        </w:trPr>
        <w:tc>
          <w:tcPr>
            <w:tcW w:w="7780" w:type="dxa"/>
            <w:gridSpan w:val="8"/>
            <w:tcBorders>
              <w:top w:val="nil"/>
              <w:left w:val="nil"/>
              <w:bottom w:val="nil"/>
              <w:right w:val="nil"/>
            </w:tcBorders>
            <w:shd w:val="clear" w:color="auto" w:fill="auto"/>
            <w:noWrap/>
            <w:vAlign w:val="bottom"/>
            <w:hideMark/>
          </w:tcPr>
          <w:p w14:paraId="51AC2FA0" w14:textId="77777777" w:rsidR="00FD69BE" w:rsidRPr="00FD69BE" w:rsidRDefault="00FD69BE">
            <w:pPr>
              <w:spacing w:after="0" w:line="240" w:lineRule="auto"/>
              <w:jc w:val="center"/>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lastRenderedPageBreak/>
              <w:t>INCOME STATEMENTS</w:t>
            </w:r>
          </w:p>
        </w:tc>
      </w:tr>
      <w:tr w:rsidR="00FD69BE" w:rsidRPr="00FD69BE" w14:paraId="3C1B9CE0" w14:textId="77777777" w:rsidTr="00FD69BE">
        <w:trPr>
          <w:trHeight w:val="285"/>
        </w:trPr>
        <w:tc>
          <w:tcPr>
            <w:tcW w:w="7780" w:type="dxa"/>
            <w:gridSpan w:val="8"/>
            <w:tcBorders>
              <w:top w:val="nil"/>
              <w:left w:val="nil"/>
              <w:bottom w:val="nil"/>
              <w:right w:val="nil"/>
            </w:tcBorders>
            <w:shd w:val="clear" w:color="auto" w:fill="auto"/>
            <w:noWrap/>
            <w:vAlign w:val="bottom"/>
            <w:hideMark/>
          </w:tcPr>
          <w:p w14:paraId="3FE7D678" w14:textId="77777777" w:rsidR="00FD69BE" w:rsidRPr="00FD69BE" w:rsidRDefault="00FD69BE" w:rsidP="00FD69BE">
            <w:pPr>
              <w:spacing w:after="0" w:line="240" w:lineRule="auto"/>
              <w:jc w:val="center"/>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(In millions, except per share amounts)(Unaudited)</w:t>
            </w:r>
          </w:p>
        </w:tc>
      </w:tr>
      <w:tr w:rsidR="00FD69BE" w:rsidRPr="00FD69BE" w14:paraId="2D52DDC7" w14:textId="77777777" w:rsidTr="00FD69BE">
        <w:trPr>
          <w:trHeight w:val="285"/>
        </w:trPr>
        <w:tc>
          <w:tcPr>
            <w:tcW w:w="3403" w:type="dxa"/>
            <w:tcBorders>
              <w:top w:val="nil"/>
              <w:left w:val="nil"/>
              <w:bottom w:val="nil"/>
              <w:right w:val="nil"/>
            </w:tcBorders>
            <w:shd w:val="clear" w:color="auto" w:fill="auto"/>
            <w:noWrap/>
            <w:vAlign w:val="bottom"/>
            <w:hideMark/>
          </w:tcPr>
          <w:p w14:paraId="0A5E0AB4" w14:textId="77777777" w:rsidR="00FD69BE" w:rsidRPr="00FD69BE" w:rsidRDefault="00FD69BE" w:rsidP="00FD69BE">
            <w:pPr>
              <w:spacing w:after="0" w:line="240" w:lineRule="auto"/>
              <w:jc w:val="center"/>
              <w:rPr>
                <w:rFonts w:ascii="Segoe UI" w:eastAsia="Times New Roman" w:hAnsi="Segoe UI" w:cs="Segoe UI"/>
                <w:color w:val="666666"/>
                <w:sz w:val="20"/>
                <w:szCs w:val="20"/>
              </w:rPr>
            </w:pPr>
          </w:p>
        </w:tc>
        <w:tc>
          <w:tcPr>
            <w:tcW w:w="1137" w:type="dxa"/>
            <w:tcBorders>
              <w:top w:val="nil"/>
              <w:left w:val="nil"/>
              <w:bottom w:val="nil"/>
              <w:right w:val="nil"/>
            </w:tcBorders>
            <w:shd w:val="clear" w:color="auto" w:fill="auto"/>
            <w:noWrap/>
            <w:vAlign w:val="bottom"/>
            <w:hideMark/>
          </w:tcPr>
          <w:p w14:paraId="54CD6040" w14:textId="77777777" w:rsidR="00FD69BE" w:rsidRPr="00FD69BE" w:rsidRDefault="00FD69BE" w:rsidP="00FD69BE">
            <w:pPr>
              <w:spacing w:after="0" w:line="240" w:lineRule="auto"/>
              <w:jc w:val="center"/>
              <w:rPr>
                <w:rFonts w:ascii="Times New Roman" w:eastAsia="Times New Roman" w:hAnsi="Times New Roman"/>
                <w:sz w:val="20"/>
                <w:szCs w:val="20"/>
              </w:rPr>
            </w:pPr>
          </w:p>
        </w:tc>
        <w:tc>
          <w:tcPr>
            <w:tcW w:w="41" w:type="dxa"/>
            <w:tcBorders>
              <w:top w:val="nil"/>
              <w:left w:val="nil"/>
              <w:bottom w:val="nil"/>
              <w:right w:val="nil"/>
            </w:tcBorders>
            <w:shd w:val="clear" w:color="auto" w:fill="auto"/>
            <w:noWrap/>
            <w:vAlign w:val="bottom"/>
            <w:hideMark/>
          </w:tcPr>
          <w:p w14:paraId="65F24E51" w14:textId="77777777" w:rsidR="00FD69BE" w:rsidRPr="00FD69BE" w:rsidRDefault="00FD69BE" w:rsidP="00FD69BE">
            <w:pPr>
              <w:spacing w:after="0" w:line="240" w:lineRule="auto"/>
              <w:jc w:val="center"/>
              <w:rPr>
                <w:rFonts w:ascii="Times New Roman" w:eastAsia="Times New Roman" w:hAnsi="Times New Roman"/>
                <w:sz w:val="20"/>
                <w:szCs w:val="20"/>
              </w:rPr>
            </w:pPr>
          </w:p>
        </w:tc>
        <w:tc>
          <w:tcPr>
            <w:tcW w:w="890" w:type="dxa"/>
            <w:tcBorders>
              <w:top w:val="nil"/>
              <w:left w:val="nil"/>
              <w:bottom w:val="nil"/>
              <w:right w:val="nil"/>
            </w:tcBorders>
            <w:shd w:val="clear" w:color="auto" w:fill="auto"/>
            <w:noWrap/>
            <w:vAlign w:val="bottom"/>
            <w:hideMark/>
          </w:tcPr>
          <w:p w14:paraId="1BB355D1" w14:textId="77777777" w:rsidR="00FD69BE" w:rsidRPr="00FD69BE" w:rsidRDefault="00FD69BE" w:rsidP="00FD69BE">
            <w:pPr>
              <w:spacing w:after="0" w:line="240" w:lineRule="auto"/>
              <w:jc w:val="center"/>
              <w:rPr>
                <w:rFonts w:ascii="Times New Roman" w:eastAsia="Times New Roman" w:hAnsi="Times New Roman"/>
                <w:sz w:val="20"/>
                <w:szCs w:val="20"/>
              </w:rPr>
            </w:pPr>
          </w:p>
        </w:tc>
        <w:tc>
          <w:tcPr>
            <w:tcW w:w="178" w:type="dxa"/>
            <w:tcBorders>
              <w:top w:val="nil"/>
              <w:left w:val="nil"/>
              <w:bottom w:val="nil"/>
              <w:right w:val="nil"/>
            </w:tcBorders>
            <w:shd w:val="clear" w:color="auto" w:fill="auto"/>
            <w:noWrap/>
            <w:vAlign w:val="bottom"/>
            <w:hideMark/>
          </w:tcPr>
          <w:p w14:paraId="49EFE4FA" w14:textId="77777777" w:rsidR="00FD69BE" w:rsidRPr="00FD69BE" w:rsidRDefault="00FD69BE" w:rsidP="00FD69BE">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330318D" w14:textId="77777777" w:rsidR="00FD69BE" w:rsidRPr="00FD69BE" w:rsidRDefault="00FD69BE" w:rsidP="00FD69BE">
            <w:pPr>
              <w:spacing w:after="0" w:line="240" w:lineRule="auto"/>
              <w:jc w:val="center"/>
              <w:rPr>
                <w:rFonts w:ascii="Times New Roman" w:eastAsia="Times New Roman" w:hAnsi="Times New Roman"/>
                <w:sz w:val="20"/>
                <w:szCs w:val="20"/>
              </w:rPr>
            </w:pPr>
          </w:p>
        </w:tc>
        <w:tc>
          <w:tcPr>
            <w:tcW w:w="41" w:type="dxa"/>
            <w:tcBorders>
              <w:top w:val="nil"/>
              <w:left w:val="nil"/>
              <w:bottom w:val="nil"/>
              <w:right w:val="nil"/>
            </w:tcBorders>
            <w:shd w:val="clear" w:color="auto" w:fill="auto"/>
            <w:noWrap/>
            <w:vAlign w:val="bottom"/>
            <w:hideMark/>
          </w:tcPr>
          <w:p w14:paraId="3AE9A2D3" w14:textId="77777777" w:rsidR="00FD69BE" w:rsidRPr="00FD69BE" w:rsidRDefault="00FD69BE" w:rsidP="00FD69BE">
            <w:pPr>
              <w:spacing w:after="0" w:line="240" w:lineRule="auto"/>
              <w:jc w:val="center"/>
              <w:rPr>
                <w:rFonts w:ascii="Times New Roman" w:eastAsia="Times New Roman" w:hAnsi="Times New Roman"/>
                <w:sz w:val="20"/>
                <w:szCs w:val="20"/>
              </w:rPr>
            </w:pPr>
          </w:p>
        </w:tc>
        <w:tc>
          <w:tcPr>
            <w:tcW w:w="890" w:type="dxa"/>
            <w:tcBorders>
              <w:top w:val="nil"/>
              <w:left w:val="nil"/>
              <w:bottom w:val="nil"/>
              <w:right w:val="nil"/>
            </w:tcBorders>
            <w:shd w:val="clear" w:color="auto" w:fill="auto"/>
            <w:noWrap/>
            <w:vAlign w:val="bottom"/>
            <w:hideMark/>
          </w:tcPr>
          <w:p w14:paraId="30183FC3" w14:textId="77777777" w:rsidR="00FD69BE" w:rsidRPr="00FD69BE" w:rsidRDefault="00FD69BE" w:rsidP="00FD69BE">
            <w:pPr>
              <w:spacing w:after="0" w:line="240" w:lineRule="auto"/>
              <w:jc w:val="center"/>
              <w:rPr>
                <w:rFonts w:ascii="Times New Roman" w:eastAsia="Times New Roman" w:hAnsi="Times New Roman"/>
                <w:sz w:val="20"/>
                <w:szCs w:val="20"/>
              </w:rPr>
            </w:pPr>
          </w:p>
        </w:tc>
      </w:tr>
      <w:tr w:rsidR="00FD69BE" w:rsidRPr="00FD69BE" w14:paraId="326EAFCF" w14:textId="77777777" w:rsidTr="00FD69BE">
        <w:trPr>
          <w:trHeight w:val="285"/>
        </w:trPr>
        <w:tc>
          <w:tcPr>
            <w:tcW w:w="3403" w:type="dxa"/>
            <w:tcBorders>
              <w:top w:val="nil"/>
              <w:left w:val="nil"/>
              <w:bottom w:val="nil"/>
              <w:right w:val="nil"/>
            </w:tcBorders>
            <w:shd w:val="clear" w:color="auto" w:fill="auto"/>
            <w:noWrap/>
            <w:vAlign w:val="bottom"/>
            <w:hideMark/>
          </w:tcPr>
          <w:p w14:paraId="5F12EF23" w14:textId="77777777" w:rsidR="00FD69BE" w:rsidRPr="00FD69BE" w:rsidRDefault="00FD69BE" w:rsidP="00FD69BE">
            <w:pPr>
              <w:spacing w:after="0" w:line="240" w:lineRule="auto"/>
              <w:jc w:val="center"/>
              <w:rPr>
                <w:rFonts w:ascii="Times New Roman" w:eastAsia="Times New Roman" w:hAnsi="Times New Roman"/>
                <w:sz w:val="20"/>
                <w:szCs w:val="20"/>
              </w:rPr>
            </w:pPr>
          </w:p>
        </w:tc>
        <w:tc>
          <w:tcPr>
            <w:tcW w:w="2068" w:type="dxa"/>
            <w:gridSpan w:val="3"/>
            <w:vMerge w:val="restart"/>
            <w:tcBorders>
              <w:top w:val="nil"/>
              <w:left w:val="nil"/>
              <w:bottom w:val="nil"/>
              <w:right w:val="nil"/>
            </w:tcBorders>
            <w:shd w:val="clear" w:color="auto" w:fill="auto"/>
            <w:vAlign w:val="bottom"/>
            <w:hideMark/>
          </w:tcPr>
          <w:p w14:paraId="746CF55E"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Three Months Ended June 30,</w:t>
            </w:r>
          </w:p>
        </w:tc>
        <w:tc>
          <w:tcPr>
            <w:tcW w:w="178" w:type="dxa"/>
            <w:tcBorders>
              <w:top w:val="nil"/>
              <w:left w:val="nil"/>
              <w:bottom w:val="nil"/>
              <w:right w:val="nil"/>
            </w:tcBorders>
            <w:shd w:val="clear" w:color="auto" w:fill="auto"/>
            <w:vAlign w:val="bottom"/>
            <w:hideMark/>
          </w:tcPr>
          <w:p w14:paraId="130E0752"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2131" w:type="dxa"/>
            <w:gridSpan w:val="3"/>
            <w:vMerge w:val="restart"/>
            <w:tcBorders>
              <w:top w:val="nil"/>
              <w:left w:val="nil"/>
              <w:bottom w:val="nil"/>
              <w:right w:val="nil"/>
            </w:tcBorders>
            <w:shd w:val="clear" w:color="auto" w:fill="auto"/>
            <w:vAlign w:val="bottom"/>
            <w:hideMark/>
          </w:tcPr>
          <w:p w14:paraId="1C3B851F"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Twelve Months Ended June 30,</w:t>
            </w:r>
          </w:p>
        </w:tc>
      </w:tr>
      <w:tr w:rsidR="00FD69BE" w:rsidRPr="00FD69BE" w14:paraId="16471067" w14:textId="77777777" w:rsidTr="00FD69BE">
        <w:trPr>
          <w:trHeight w:val="285"/>
        </w:trPr>
        <w:tc>
          <w:tcPr>
            <w:tcW w:w="3403" w:type="dxa"/>
            <w:tcBorders>
              <w:top w:val="nil"/>
              <w:left w:val="nil"/>
              <w:bottom w:val="nil"/>
              <w:right w:val="nil"/>
            </w:tcBorders>
            <w:shd w:val="clear" w:color="auto" w:fill="auto"/>
            <w:noWrap/>
            <w:vAlign w:val="bottom"/>
            <w:hideMark/>
          </w:tcPr>
          <w:p w14:paraId="5B5B5EDB"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2068" w:type="dxa"/>
            <w:gridSpan w:val="3"/>
            <w:vMerge/>
            <w:tcBorders>
              <w:top w:val="nil"/>
              <w:left w:val="nil"/>
              <w:bottom w:val="nil"/>
              <w:right w:val="nil"/>
            </w:tcBorders>
            <w:vAlign w:val="center"/>
            <w:hideMark/>
          </w:tcPr>
          <w:p w14:paraId="5B52DC69" w14:textId="77777777" w:rsidR="00FD69BE" w:rsidRPr="00FD69BE" w:rsidRDefault="00FD69BE" w:rsidP="00FD69BE">
            <w:pPr>
              <w:spacing w:after="0" w:line="240" w:lineRule="auto"/>
              <w:rPr>
                <w:rFonts w:ascii="Segoe UI" w:eastAsia="Times New Roman" w:hAnsi="Segoe UI" w:cs="Segoe UI"/>
                <w:b/>
                <w:bCs/>
                <w:color w:val="666666"/>
                <w:sz w:val="20"/>
                <w:szCs w:val="20"/>
              </w:rPr>
            </w:pPr>
          </w:p>
        </w:tc>
        <w:tc>
          <w:tcPr>
            <w:tcW w:w="178" w:type="dxa"/>
            <w:tcBorders>
              <w:top w:val="nil"/>
              <w:left w:val="nil"/>
              <w:bottom w:val="nil"/>
              <w:right w:val="nil"/>
            </w:tcBorders>
            <w:shd w:val="clear" w:color="auto" w:fill="auto"/>
            <w:vAlign w:val="bottom"/>
            <w:hideMark/>
          </w:tcPr>
          <w:p w14:paraId="14DE94B8" w14:textId="77777777" w:rsidR="00FD69BE" w:rsidRPr="00FD69BE" w:rsidRDefault="00FD69BE" w:rsidP="00FD69BE">
            <w:pPr>
              <w:spacing w:after="0" w:line="240" w:lineRule="auto"/>
              <w:rPr>
                <w:rFonts w:ascii="Times New Roman" w:eastAsia="Times New Roman" w:hAnsi="Times New Roman"/>
                <w:sz w:val="20"/>
                <w:szCs w:val="20"/>
              </w:rPr>
            </w:pPr>
          </w:p>
        </w:tc>
        <w:tc>
          <w:tcPr>
            <w:tcW w:w="2131" w:type="dxa"/>
            <w:gridSpan w:val="3"/>
            <w:vMerge/>
            <w:tcBorders>
              <w:top w:val="nil"/>
              <w:left w:val="nil"/>
              <w:bottom w:val="nil"/>
              <w:right w:val="nil"/>
            </w:tcBorders>
            <w:vAlign w:val="center"/>
            <w:hideMark/>
          </w:tcPr>
          <w:p w14:paraId="39FC11E3" w14:textId="77777777" w:rsidR="00FD69BE" w:rsidRPr="00FD69BE" w:rsidRDefault="00FD69BE" w:rsidP="00FD69BE">
            <w:pPr>
              <w:spacing w:after="0" w:line="240" w:lineRule="auto"/>
              <w:rPr>
                <w:rFonts w:ascii="Segoe UI" w:eastAsia="Times New Roman" w:hAnsi="Segoe UI" w:cs="Segoe UI"/>
                <w:b/>
                <w:bCs/>
                <w:color w:val="666666"/>
                <w:sz w:val="20"/>
                <w:szCs w:val="20"/>
              </w:rPr>
            </w:pPr>
          </w:p>
        </w:tc>
      </w:tr>
      <w:tr w:rsidR="00FD69BE" w:rsidRPr="00FD69BE" w14:paraId="18C17A18" w14:textId="77777777" w:rsidTr="00FD69BE">
        <w:trPr>
          <w:trHeight w:val="285"/>
        </w:trPr>
        <w:tc>
          <w:tcPr>
            <w:tcW w:w="3403" w:type="dxa"/>
            <w:tcBorders>
              <w:top w:val="nil"/>
              <w:left w:val="nil"/>
              <w:bottom w:val="single" w:sz="4" w:space="0" w:color="auto"/>
              <w:right w:val="nil"/>
            </w:tcBorders>
            <w:shd w:val="clear" w:color="auto" w:fill="auto"/>
            <w:noWrap/>
            <w:vAlign w:val="bottom"/>
            <w:hideMark/>
          </w:tcPr>
          <w:p w14:paraId="3F4CF837" w14:textId="77777777" w:rsidR="00FD69BE" w:rsidRPr="00FD69BE" w:rsidRDefault="00FD69BE" w:rsidP="00FD69BE">
            <w:pPr>
              <w:spacing w:after="0" w:line="240" w:lineRule="auto"/>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w:t>
            </w:r>
          </w:p>
        </w:tc>
        <w:tc>
          <w:tcPr>
            <w:tcW w:w="1137" w:type="dxa"/>
            <w:tcBorders>
              <w:top w:val="nil"/>
              <w:left w:val="nil"/>
              <w:bottom w:val="single" w:sz="4" w:space="0" w:color="auto"/>
              <w:right w:val="nil"/>
            </w:tcBorders>
            <w:shd w:val="clear" w:color="auto" w:fill="auto"/>
            <w:noWrap/>
            <w:vAlign w:val="bottom"/>
            <w:hideMark/>
          </w:tcPr>
          <w:p w14:paraId="06DB23AF"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2014</w:t>
            </w:r>
          </w:p>
        </w:tc>
        <w:tc>
          <w:tcPr>
            <w:tcW w:w="41" w:type="dxa"/>
            <w:tcBorders>
              <w:top w:val="nil"/>
              <w:left w:val="nil"/>
              <w:bottom w:val="nil"/>
              <w:right w:val="nil"/>
            </w:tcBorders>
            <w:shd w:val="clear" w:color="auto" w:fill="auto"/>
            <w:noWrap/>
            <w:vAlign w:val="bottom"/>
            <w:hideMark/>
          </w:tcPr>
          <w:p w14:paraId="1FF4B1EA"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095A2079"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2013</w:t>
            </w:r>
          </w:p>
        </w:tc>
        <w:tc>
          <w:tcPr>
            <w:tcW w:w="178" w:type="dxa"/>
            <w:tcBorders>
              <w:top w:val="nil"/>
              <w:left w:val="nil"/>
              <w:bottom w:val="nil"/>
              <w:right w:val="nil"/>
            </w:tcBorders>
            <w:shd w:val="clear" w:color="auto" w:fill="auto"/>
            <w:noWrap/>
            <w:vAlign w:val="bottom"/>
            <w:hideMark/>
          </w:tcPr>
          <w:p w14:paraId="619C79DA"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4AFB8D5E"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2014</w:t>
            </w:r>
          </w:p>
        </w:tc>
        <w:tc>
          <w:tcPr>
            <w:tcW w:w="41" w:type="dxa"/>
            <w:tcBorders>
              <w:top w:val="nil"/>
              <w:left w:val="nil"/>
              <w:bottom w:val="nil"/>
              <w:right w:val="nil"/>
            </w:tcBorders>
            <w:shd w:val="clear" w:color="auto" w:fill="auto"/>
            <w:noWrap/>
            <w:vAlign w:val="bottom"/>
            <w:hideMark/>
          </w:tcPr>
          <w:p w14:paraId="2F6B1B94"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3B0DBABB"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2013</w:t>
            </w:r>
          </w:p>
        </w:tc>
      </w:tr>
      <w:tr w:rsidR="00FD69BE" w:rsidRPr="00FD69BE" w14:paraId="07B1C9DE" w14:textId="77777777" w:rsidTr="00FD69BE">
        <w:trPr>
          <w:trHeight w:val="285"/>
        </w:trPr>
        <w:tc>
          <w:tcPr>
            <w:tcW w:w="3403" w:type="dxa"/>
            <w:tcBorders>
              <w:top w:val="nil"/>
              <w:left w:val="nil"/>
              <w:bottom w:val="nil"/>
              <w:right w:val="nil"/>
            </w:tcBorders>
            <w:shd w:val="clear" w:color="auto" w:fill="auto"/>
            <w:noWrap/>
            <w:vAlign w:val="bottom"/>
            <w:hideMark/>
          </w:tcPr>
          <w:p w14:paraId="51759C3F"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Revenue</w:t>
            </w:r>
          </w:p>
        </w:tc>
        <w:tc>
          <w:tcPr>
            <w:tcW w:w="1137" w:type="dxa"/>
            <w:tcBorders>
              <w:top w:val="nil"/>
              <w:left w:val="nil"/>
              <w:bottom w:val="nil"/>
              <w:right w:val="nil"/>
            </w:tcBorders>
            <w:shd w:val="clear" w:color="auto" w:fill="auto"/>
            <w:noWrap/>
            <w:vAlign w:val="bottom"/>
            <w:hideMark/>
          </w:tcPr>
          <w:p w14:paraId="27F7F933"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 $   23,382 </w:t>
            </w:r>
          </w:p>
        </w:tc>
        <w:tc>
          <w:tcPr>
            <w:tcW w:w="41" w:type="dxa"/>
            <w:tcBorders>
              <w:top w:val="nil"/>
              <w:left w:val="nil"/>
              <w:bottom w:val="nil"/>
              <w:right w:val="nil"/>
            </w:tcBorders>
            <w:shd w:val="clear" w:color="auto" w:fill="auto"/>
            <w:noWrap/>
            <w:vAlign w:val="bottom"/>
            <w:hideMark/>
          </w:tcPr>
          <w:p w14:paraId="6F1FEAF9"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36863D4E"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$19,896 </w:t>
            </w:r>
          </w:p>
        </w:tc>
        <w:tc>
          <w:tcPr>
            <w:tcW w:w="178" w:type="dxa"/>
            <w:tcBorders>
              <w:top w:val="nil"/>
              <w:left w:val="nil"/>
              <w:bottom w:val="nil"/>
              <w:right w:val="nil"/>
            </w:tcBorders>
            <w:shd w:val="clear" w:color="auto" w:fill="auto"/>
            <w:noWrap/>
            <w:vAlign w:val="bottom"/>
            <w:hideMark/>
          </w:tcPr>
          <w:p w14:paraId="56EAB413"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50B1579"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 $    86,833 </w:t>
            </w:r>
          </w:p>
        </w:tc>
        <w:tc>
          <w:tcPr>
            <w:tcW w:w="41" w:type="dxa"/>
            <w:tcBorders>
              <w:top w:val="nil"/>
              <w:left w:val="nil"/>
              <w:bottom w:val="nil"/>
              <w:right w:val="nil"/>
            </w:tcBorders>
            <w:shd w:val="clear" w:color="auto" w:fill="auto"/>
            <w:noWrap/>
            <w:vAlign w:val="bottom"/>
            <w:hideMark/>
          </w:tcPr>
          <w:p w14:paraId="15436AE6"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5668A5E9"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$77,849 </w:t>
            </w:r>
          </w:p>
        </w:tc>
      </w:tr>
      <w:tr w:rsidR="00FD69BE" w:rsidRPr="00FD69BE" w14:paraId="7A981CCD" w14:textId="77777777" w:rsidTr="00FD69BE">
        <w:trPr>
          <w:trHeight w:val="285"/>
        </w:trPr>
        <w:tc>
          <w:tcPr>
            <w:tcW w:w="3403" w:type="dxa"/>
            <w:tcBorders>
              <w:top w:val="nil"/>
              <w:left w:val="nil"/>
              <w:bottom w:val="single" w:sz="4" w:space="0" w:color="auto"/>
              <w:right w:val="nil"/>
            </w:tcBorders>
            <w:shd w:val="clear" w:color="auto" w:fill="auto"/>
            <w:noWrap/>
            <w:vAlign w:val="bottom"/>
            <w:hideMark/>
          </w:tcPr>
          <w:p w14:paraId="4A9A048B"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Cost of revenue</w:t>
            </w:r>
          </w:p>
        </w:tc>
        <w:tc>
          <w:tcPr>
            <w:tcW w:w="1137" w:type="dxa"/>
            <w:tcBorders>
              <w:top w:val="nil"/>
              <w:left w:val="nil"/>
              <w:bottom w:val="single" w:sz="4" w:space="0" w:color="auto"/>
              <w:right w:val="nil"/>
            </w:tcBorders>
            <w:shd w:val="clear" w:color="auto" w:fill="auto"/>
            <w:noWrap/>
            <w:vAlign w:val="bottom"/>
            <w:hideMark/>
          </w:tcPr>
          <w:p w14:paraId="11AD197F"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7,595 </w:t>
            </w:r>
          </w:p>
        </w:tc>
        <w:tc>
          <w:tcPr>
            <w:tcW w:w="41" w:type="dxa"/>
            <w:tcBorders>
              <w:top w:val="nil"/>
              <w:left w:val="nil"/>
              <w:bottom w:val="nil"/>
              <w:right w:val="nil"/>
            </w:tcBorders>
            <w:shd w:val="clear" w:color="auto" w:fill="auto"/>
            <w:noWrap/>
            <w:vAlign w:val="bottom"/>
            <w:hideMark/>
          </w:tcPr>
          <w:p w14:paraId="38B7DE2D"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00D3314E"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5,602 </w:t>
            </w:r>
          </w:p>
        </w:tc>
        <w:tc>
          <w:tcPr>
            <w:tcW w:w="178" w:type="dxa"/>
            <w:tcBorders>
              <w:top w:val="nil"/>
              <w:left w:val="nil"/>
              <w:bottom w:val="nil"/>
              <w:right w:val="nil"/>
            </w:tcBorders>
            <w:shd w:val="clear" w:color="auto" w:fill="auto"/>
            <w:noWrap/>
            <w:vAlign w:val="bottom"/>
            <w:hideMark/>
          </w:tcPr>
          <w:p w14:paraId="41171F5B"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2F1AAB5F"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26,934 </w:t>
            </w:r>
          </w:p>
        </w:tc>
        <w:tc>
          <w:tcPr>
            <w:tcW w:w="41" w:type="dxa"/>
            <w:tcBorders>
              <w:top w:val="nil"/>
              <w:left w:val="nil"/>
              <w:bottom w:val="nil"/>
              <w:right w:val="nil"/>
            </w:tcBorders>
            <w:shd w:val="clear" w:color="auto" w:fill="auto"/>
            <w:noWrap/>
            <w:vAlign w:val="bottom"/>
            <w:hideMark/>
          </w:tcPr>
          <w:p w14:paraId="2D2D1B21"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36767CA2"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20,249 </w:t>
            </w:r>
          </w:p>
        </w:tc>
      </w:tr>
      <w:tr w:rsidR="00FD69BE" w:rsidRPr="00FD69BE" w14:paraId="355E5535" w14:textId="77777777" w:rsidTr="00FD69BE">
        <w:trPr>
          <w:trHeight w:val="285"/>
        </w:trPr>
        <w:tc>
          <w:tcPr>
            <w:tcW w:w="3403" w:type="dxa"/>
            <w:tcBorders>
              <w:top w:val="nil"/>
              <w:left w:val="nil"/>
              <w:bottom w:val="nil"/>
              <w:right w:val="nil"/>
            </w:tcBorders>
            <w:shd w:val="clear" w:color="auto" w:fill="auto"/>
            <w:noWrap/>
            <w:vAlign w:val="bottom"/>
            <w:hideMark/>
          </w:tcPr>
          <w:p w14:paraId="3895EF64"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Gross margin</w:t>
            </w:r>
          </w:p>
        </w:tc>
        <w:tc>
          <w:tcPr>
            <w:tcW w:w="1137" w:type="dxa"/>
            <w:tcBorders>
              <w:top w:val="nil"/>
              <w:left w:val="nil"/>
              <w:bottom w:val="nil"/>
              <w:right w:val="nil"/>
            </w:tcBorders>
            <w:shd w:val="clear" w:color="auto" w:fill="auto"/>
            <w:noWrap/>
            <w:vAlign w:val="bottom"/>
            <w:hideMark/>
          </w:tcPr>
          <w:p w14:paraId="6B0DA02C"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15,787 </w:t>
            </w:r>
          </w:p>
        </w:tc>
        <w:tc>
          <w:tcPr>
            <w:tcW w:w="41" w:type="dxa"/>
            <w:tcBorders>
              <w:top w:val="nil"/>
              <w:left w:val="nil"/>
              <w:bottom w:val="nil"/>
              <w:right w:val="nil"/>
            </w:tcBorders>
            <w:shd w:val="clear" w:color="auto" w:fill="auto"/>
            <w:noWrap/>
            <w:vAlign w:val="bottom"/>
            <w:hideMark/>
          </w:tcPr>
          <w:p w14:paraId="04C6B7D1"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56867BE8"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14,294 </w:t>
            </w:r>
          </w:p>
        </w:tc>
        <w:tc>
          <w:tcPr>
            <w:tcW w:w="178" w:type="dxa"/>
            <w:tcBorders>
              <w:top w:val="nil"/>
              <w:left w:val="nil"/>
              <w:bottom w:val="nil"/>
              <w:right w:val="nil"/>
            </w:tcBorders>
            <w:shd w:val="clear" w:color="auto" w:fill="auto"/>
            <w:noWrap/>
            <w:vAlign w:val="bottom"/>
            <w:hideMark/>
          </w:tcPr>
          <w:p w14:paraId="004C48DB"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993974F"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59,899 </w:t>
            </w:r>
          </w:p>
        </w:tc>
        <w:tc>
          <w:tcPr>
            <w:tcW w:w="41" w:type="dxa"/>
            <w:tcBorders>
              <w:top w:val="nil"/>
              <w:left w:val="nil"/>
              <w:bottom w:val="nil"/>
              <w:right w:val="nil"/>
            </w:tcBorders>
            <w:shd w:val="clear" w:color="auto" w:fill="auto"/>
            <w:noWrap/>
            <w:vAlign w:val="bottom"/>
            <w:hideMark/>
          </w:tcPr>
          <w:p w14:paraId="7E206972"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3C7A2806"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57,600 </w:t>
            </w:r>
          </w:p>
        </w:tc>
      </w:tr>
      <w:tr w:rsidR="00FD69BE" w:rsidRPr="00FD69BE" w14:paraId="49C2579D" w14:textId="77777777" w:rsidTr="00FD69BE">
        <w:trPr>
          <w:trHeight w:val="285"/>
        </w:trPr>
        <w:tc>
          <w:tcPr>
            <w:tcW w:w="3403" w:type="dxa"/>
            <w:tcBorders>
              <w:top w:val="nil"/>
              <w:left w:val="nil"/>
              <w:bottom w:val="nil"/>
              <w:right w:val="nil"/>
            </w:tcBorders>
            <w:shd w:val="clear" w:color="auto" w:fill="auto"/>
            <w:noWrap/>
            <w:hideMark/>
          </w:tcPr>
          <w:p w14:paraId="7EF7A2B9"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Research and development</w:t>
            </w:r>
          </w:p>
        </w:tc>
        <w:tc>
          <w:tcPr>
            <w:tcW w:w="1137" w:type="dxa"/>
            <w:tcBorders>
              <w:top w:val="nil"/>
              <w:left w:val="nil"/>
              <w:bottom w:val="nil"/>
              <w:right w:val="nil"/>
            </w:tcBorders>
            <w:shd w:val="clear" w:color="auto" w:fill="auto"/>
            <w:noWrap/>
            <w:vAlign w:val="bottom"/>
            <w:hideMark/>
          </w:tcPr>
          <w:p w14:paraId="7D2A968E"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3,123 </w:t>
            </w:r>
          </w:p>
        </w:tc>
        <w:tc>
          <w:tcPr>
            <w:tcW w:w="41" w:type="dxa"/>
            <w:tcBorders>
              <w:top w:val="nil"/>
              <w:left w:val="nil"/>
              <w:bottom w:val="nil"/>
              <w:right w:val="nil"/>
            </w:tcBorders>
            <w:shd w:val="clear" w:color="auto" w:fill="auto"/>
            <w:noWrap/>
            <w:vAlign w:val="bottom"/>
            <w:hideMark/>
          </w:tcPr>
          <w:p w14:paraId="65DEAF75"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2AFE0EAC"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2,783 </w:t>
            </w:r>
          </w:p>
        </w:tc>
        <w:tc>
          <w:tcPr>
            <w:tcW w:w="178" w:type="dxa"/>
            <w:tcBorders>
              <w:top w:val="nil"/>
              <w:left w:val="nil"/>
              <w:bottom w:val="nil"/>
              <w:right w:val="nil"/>
            </w:tcBorders>
            <w:shd w:val="clear" w:color="auto" w:fill="auto"/>
            <w:noWrap/>
            <w:vAlign w:val="bottom"/>
            <w:hideMark/>
          </w:tcPr>
          <w:p w14:paraId="6F8596ED"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72FBF602"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11,381 </w:t>
            </w:r>
          </w:p>
        </w:tc>
        <w:tc>
          <w:tcPr>
            <w:tcW w:w="41" w:type="dxa"/>
            <w:tcBorders>
              <w:top w:val="nil"/>
              <w:left w:val="nil"/>
              <w:bottom w:val="nil"/>
              <w:right w:val="nil"/>
            </w:tcBorders>
            <w:shd w:val="clear" w:color="auto" w:fill="auto"/>
            <w:noWrap/>
            <w:vAlign w:val="bottom"/>
            <w:hideMark/>
          </w:tcPr>
          <w:p w14:paraId="4719AAEE"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3EBF3E35"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10,411 </w:t>
            </w:r>
          </w:p>
        </w:tc>
      </w:tr>
      <w:tr w:rsidR="00FD69BE" w:rsidRPr="00FD69BE" w14:paraId="67E0AAC1" w14:textId="77777777" w:rsidTr="00FD69BE">
        <w:trPr>
          <w:trHeight w:val="285"/>
        </w:trPr>
        <w:tc>
          <w:tcPr>
            <w:tcW w:w="3403" w:type="dxa"/>
            <w:tcBorders>
              <w:top w:val="nil"/>
              <w:left w:val="nil"/>
              <w:bottom w:val="nil"/>
              <w:right w:val="nil"/>
            </w:tcBorders>
            <w:shd w:val="clear" w:color="auto" w:fill="auto"/>
            <w:noWrap/>
            <w:hideMark/>
          </w:tcPr>
          <w:p w14:paraId="3FA7EC24"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Sales and marketing</w:t>
            </w:r>
          </w:p>
        </w:tc>
        <w:tc>
          <w:tcPr>
            <w:tcW w:w="1137" w:type="dxa"/>
            <w:tcBorders>
              <w:top w:val="nil"/>
              <w:left w:val="nil"/>
              <w:bottom w:val="nil"/>
              <w:right w:val="nil"/>
            </w:tcBorders>
            <w:shd w:val="clear" w:color="auto" w:fill="auto"/>
            <w:noWrap/>
            <w:vAlign w:val="bottom"/>
            <w:hideMark/>
          </w:tcPr>
          <w:p w14:paraId="281AED35"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4,682 </w:t>
            </w:r>
          </w:p>
        </w:tc>
        <w:tc>
          <w:tcPr>
            <w:tcW w:w="41" w:type="dxa"/>
            <w:tcBorders>
              <w:top w:val="nil"/>
              <w:left w:val="nil"/>
              <w:bottom w:val="nil"/>
              <w:right w:val="nil"/>
            </w:tcBorders>
            <w:shd w:val="clear" w:color="auto" w:fill="auto"/>
            <w:noWrap/>
            <w:vAlign w:val="bottom"/>
            <w:hideMark/>
          </w:tcPr>
          <w:p w14:paraId="2C0AD2B6"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36425C65"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4,228 </w:t>
            </w:r>
          </w:p>
        </w:tc>
        <w:tc>
          <w:tcPr>
            <w:tcW w:w="178" w:type="dxa"/>
            <w:tcBorders>
              <w:top w:val="nil"/>
              <w:left w:val="nil"/>
              <w:bottom w:val="nil"/>
              <w:right w:val="nil"/>
            </w:tcBorders>
            <w:shd w:val="clear" w:color="auto" w:fill="auto"/>
            <w:noWrap/>
            <w:vAlign w:val="bottom"/>
            <w:hideMark/>
          </w:tcPr>
          <w:p w14:paraId="2ADF6516"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735C107"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15,811 </w:t>
            </w:r>
          </w:p>
        </w:tc>
        <w:tc>
          <w:tcPr>
            <w:tcW w:w="41" w:type="dxa"/>
            <w:tcBorders>
              <w:top w:val="nil"/>
              <w:left w:val="nil"/>
              <w:bottom w:val="nil"/>
              <w:right w:val="nil"/>
            </w:tcBorders>
            <w:shd w:val="clear" w:color="auto" w:fill="auto"/>
            <w:noWrap/>
            <w:vAlign w:val="bottom"/>
            <w:hideMark/>
          </w:tcPr>
          <w:p w14:paraId="443B00AF"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26961CEE"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15,276 </w:t>
            </w:r>
          </w:p>
        </w:tc>
      </w:tr>
      <w:tr w:rsidR="00FD69BE" w:rsidRPr="00FD69BE" w14:paraId="631AF6CB" w14:textId="77777777" w:rsidTr="00FD69BE">
        <w:trPr>
          <w:trHeight w:val="285"/>
        </w:trPr>
        <w:tc>
          <w:tcPr>
            <w:tcW w:w="3403" w:type="dxa"/>
            <w:tcBorders>
              <w:top w:val="nil"/>
              <w:left w:val="nil"/>
              <w:bottom w:val="nil"/>
              <w:right w:val="nil"/>
            </w:tcBorders>
            <w:shd w:val="clear" w:color="auto" w:fill="auto"/>
            <w:noWrap/>
            <w:hideMark/>
          </w:tcPr>
          <w:p w14:paraId="31039537"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General and administrative</w:t>
            </w:r>
          </w:p>
        </w:tc>
        <w:tc>
          <w:tcPr>
            <w:tcW w:w="1137" w:type="dxa"/>
            <w:tcBorders>
              <w:top w:val="nil"/>
              <w:left w:val="nil"/>
              <w:bottom w:val="nil"/>
              <w:right w:val="nil"/>
            </w:tcBorders>
            <w:shd w:val="clear" w:color="auto" w:fill="auto"/>
            <w:noWrap/>
            <w:vAlign w:val="bottom"/>
            <w:hideMark/>
          </w:tcPr>
          <w:p w14:paraId="7180366B"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1,373 </w:t>
            </w:r>
          </w:p>
        </w:tc>
        <w:tc>
          <w:tcPr>
            <w:tcW w:w="41" w:type="dxa"/>
            <w:tcBorders>
              <w:top w:val="nil"/>
              <w:left w:val="nil"/>
              <w:bottom w:val="nil"/>
              <w:right w:val="nil"/>
            </w:tcBorders>
            <w:shd w:val="clear" w:color="auto" w:fill="auto"/>
            <w:noWrap/>
            <w:vAlign w:val="bottom"/>
            <w:hideMark/>
          </w:tcPr>
          <w:p w14:paraId="5EB4A619"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5354F768"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1,210 </w:t>
            </w:r>
          </w:p>
        </w:tc>
        <w:tc>
          <w:tcPr>
            <w:tcW w:w="178" w:type="dxa"/>
            <w:tcBorders>
              <w:top w:val="nil"/>
              <w:left w:val="nil"/>
              <w:bottom w:val="nil"/>
              <w:right w:val="nil"/>
            </w:tcBorders>
            <w:shd w:val="clear" w:color="auto" w:fill="auto"/>
            <w:noWrap/>
            <w:vAlign w:val="bottom"/>
            <w:hideMark/>
          </w:tcPr>
          <w:p w14:paraId="7DA420F3"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C91181E"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4,821 </w:t>
            </w:r>
          </w:p>
        </w:tc>
        <w:tc>
          <w:tcPr>
            <w:tcW w:w="41" w:type="dxa"/>
            <w:tcBorders>
              <w:top w:val="nil"/>
              <w:left w:val="nil"/>
              <w:bottom w:val="nil"/>
              <w:right w:val="nil"/>
            </w:tcBorders>
            <w:shd w:val="clear" w:color="auto" w:fill="auto"/>
            <w:noWrap/>
            <w:vAlign w:val="bottom"/>
            <w:hideMark/>
          </w:tcPr>
          <w:p w14:paraId="05570AE6"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7749BE6B"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5,149 </w:t>
            </w:r>
          </w:p>
        </w:tc>
      </w:tr>
      <w:tr w:rsidR="00FD69BE" w:rsidRPr="00FD69BE" w14:paraId="6513E87F" w14:textId="77777777" w:rsidTr="00FD69BE">
        <w:trPr>
          <w:trHeight w:val="285"/>
        </w:trPr>
        <w:tc>
          <w:tcPr>
            <w:tcW w:w="3403" w:type="dxa"/>
            <w:tcBorders>
              <w:top w:val="nil"/>
              <w:left w:val="nil"/>
              <w:bottom w:val="single" w:sz="4" w:space="0" w:color="auto"/>
              <w:right w:val="nil"/>
            </w:tcBorders>
            <w:shd w:val="clear" w:color="auto" w:fill="auto"/>
            <w:noWrap/>
            <w:hideMark/>
          </w:tcPr>
          <w:p w14:paraId="1C7AC78E"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Integration and restructuring </w:t>
            </w:r>
          </w:p>
        </w:tc>
        <w:tc>
          <w:tcPr>
            <w:tcW w:w="1137" w:type="dxa"/>
            <w:tcBorders>
              <w:top w:val="nil"/>
              <w:left w:val="nil"/>
              <w:bottom w:val="single" w:sz="4" w:space="0" w:color="auto"/>
              <w:right w:val="nil"/>
            </w:tcBorders>
            <w:shd w:val="clear" w:color="auto" w:fill="auto"/>
            <w:noWrap/>
            <w:vAlign w:val="bottom"/>
            <w:hideMark/>
          </w:tcPr>
          <w:p w14:paraId="2D464517"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127 </w:t>
            </w:r>
          </w:p>
        </w:tc>
        <w:tc>
          <w:tcPr>
            <w:tcW w:w="41" w:type="dxa"/>
            <w:tcBorders>
              <w:top w:val="nil"/>
              <w:left w:val="nil"/>
              <w:bottom w:val="nil"/>
              <w:right w:val="nil"/>
            </w:tcBorders>
            <w:shd w:val="clear" w:color="auto" w:fill="auto"/>
            <w:noWrap/>
            <w:vAlign w:val="bottom"/>
            <w:hideMark/>
          </w:tcPr>
          <w:p w14:paraId="7BD5472A"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4017FEDC"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0 </w:t>
            </w:r>
          </w:p>
        </w:tc>
        <w:tc>
          <w:tcPr>
            <w:tcW w:w="178" w:type="dxa"/>
            <w:tcBorders>
              <w:top w:val="nil"/>
              <w:left w:val="nil"/>
              <w:bottom w:val="nil"/>
              <w:right w:val="nil"/>
            </w:tcBorders>
            <w:shd w:val="clear" w:color="auto" w:fill="auto"/>
            <w:noWrap/>
            <w:vAlign w:val="bottom"/>
            <w:hideMark/>
          </w:tcPr>
          <w:p w14:paraId="73990746"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0B901F6"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127 </w:t>
            </w:r>
          </w:p>
        </w:tc>
        <w:tc>
          <w:tcPr>
            <w:tcW w:w="41" w:type="dxa"/>
            <w:tcBorders>
              <w:top w:val="nil"/>
              <w:left w:val="nil"/>
              <w:bottom w:val="nil"/>
              <w:right w:val="nil"/>
            </w:tcBorders>
            <w:shd w:val="clear" w:color="auto" w:fill="auto"/>
            <w:noWrap/>
            <w:vAlign w:val="bottom"/>
            <w:hideMark/>
          </w:tcPr>
          <w:p w14:paraId="648D2C2E"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16E4DD8B"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0 </w:t>
            </w:r>
          </w:p>
        </w:tc>
      </w:tr>
      <w:tr w:rsidR="00FD69BE" w:rsidRPr="00FD69BE" w14:paraId="6EEB0389" w14:textId="77777777" w:rsidTr="00FD69BE">
        <w:trPr>
          <w:trHeight w:val="285"/>
        </w:trPr>
        <w:tc>
          <w:tcPr>
            <w:tcW w:w="3403" w:type="dxa"/>
            <w:tcBorders>
              <w:top w:val="nil"/>
              <w:left w:val="nil"/>
              <w:bottom w:val="nil"/>
              <w:right w:val="nil"/>
            </w:tcBorders>
            <w:shd w:val="clear" w:color="auto" w:fill="auto"/>
            <w:noWrap/>
            <w:vAlign w:val="bottom"/>
            <w:hideMark/>
          </w:tcPr>
          <w:p w14:paraId="47CB4985"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Operating income</w:t>
            </w:r>
          </w:p>
        </w:tc>
        <w:tc>
          <w:tcPr>
            <w:tcW w:w="1137" w:type="dxa"/>
            <w:tcBorders>
              <w:top w:val="nil"/>
              <w:left w:val="nil"/>
              <w:bottom w:val="nil"/>
              <w:right w:val="nil"/>
            </w:tcBorders>
            <w:shd w:val="clear" w:color="auto" w:fill="auto"/>
            <w:noWrap/>
            <w:vAlign w:val="bottom"/>
            <w:hideMark/>
          </w:tcPr>
          <w:p w14:paraId="5CD0570B"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6,482 </w:t>
            </w:r>
          </w:p>
        </w:tc>
        <w:tc>
          <w:tcPr>
            <w:tcW w:w="41" w:type="dxa"/>
            <w:tcBorders>
              <w:top w:val="nil"/>
              <w:left w:val="nil"/>
              <w:bottom w:val="nil"/>
              <w:right w:val="nil"/>
            </w:tcBorders>
            <w:shd w:val="clear" w:color="auto" w:fill="auto"/>
            <w:noWrap/>
            <w:vAlign w:val="bottom"/>
            <w:hideMark/>
          </w:tcPr>
          <w:p w14:paraId="3FA83822"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337E42D9"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6,073 </w:t>
            </w:r>
          </w:p>
        </w:tc>
        <w:tc>
          <w:tcPr>
            <w:tcW w:w="178" w:type="dxa"/>
            <w:tcBorders>
              <w:top w:val="nil"/>
              <w:left w:val="nil"/>
              <w:bottom w:val="nil"/>
              <w:right w:val="nil"/>
            </w:tcBorders>
            <w:shd w:val="clear" w:color="auto" w:fill="auto"/>
            <w:noWrap/>
            <w:vAlign w:val="bottom"/>
            <w:hideMark/>
          </w:tcPr>
          <w:p w14:paraId="0DD75826"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95D7110"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27,759 </w:t>
            </w:r>
          </w:p>
        </w:tc>
        <w:tc>
          <w:tcPr>
            <w:tcW w:w="41" w:type="dxa"/>
            <w:tcBorders>
              <w:top w:val="nil"/>
              <w:left w:val="nil"/>
              <w:bottom w:val="nil"/>
              <w:right w:val="nil"/>
            </w:tcBorders>
            <w:shd w:val="clear" w:color="auto" w:fill="auto"/>
            <w:noWrap/>
            <w:vAlign w:val="bottom"/>
            <w:hideMark/>
          </w:tcPr>
          <w:p w14:paraId="30C742B0"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6756258A"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26,764 </w:t>
            </w:r>
          </w:p>
        </w:tc>
      </w:tr>
      <w:tr w:rsidR="00FD69BE" w:rsidRPr="00FD69BE" w14:paraId="32867FA5" w14:textId="77777777" w:rsidTr="00FD69BE">
        <w:trPr>
          <w:trHeight w:val="285"/>
        </w:trPr>
        <w:tc>
          <w:tcPr>
            <w:tcW w:w="3403" w:type="dxa"/>
            <w:tcBorders>
              <w:top w:val="nil"/>
              <w:left w:val="nil"/>
              <w:bottom w:val="single" w:sz="4" w:space="0" w:color="auto"/>
              <w:right w:val="nil"/>
            </w:tcBorders>
            <w:shd w:val="clear" w:color="auto" w:fill="auto"/>
            <w:noWrap/>
            <w:vAlign w:val="bottom"/>
            <w:hideMark/>
          </w:tcPr>
          <w:p w14:paraId="48F387E5"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Other income, net</w:t>
            </w:r>
          </w:p>
        </w:tc>
        <w:tc>
          <w:tcPr>
            <w:tcW w:w="1137" w:type="dxa"/>
            <w:tcBorders>
              <w:top w:val="nil"/>
              <w:left w:val="nil"/>
              <w:bottom w:val="single" w:sz="4" w:space="0" w:color="auto"/>
              <w:right w:val="nil"/>
            </w:tcBorders>
            <w:shd w:val="clear" w:color="auto" w:fill="auto"/>
            <w:noWrap/>
            <w:vAlign w:val="bottom"/>
            <w:hideMark/>
          </w:tcPr>
          <w:p w14:paraId="41B13009"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95 </w:t>
            </w:r>
          </w:p>
        </w:tc>
        <w:tc>
          <w:tcPr>
            <w:tcW w:w="41" w:type="dxa"/>
            <w:tcBorders>
              <w:top w:val="nil"/>
              <w:left w:val="nil"/>
              <w:bottom w:val="nil"/>
              <w:right w:val="nil"/>
            </w:tcBorders>
            <w:shd w:val="clear" w:color="auto" w:fill="auto"/>
            <w:noWrap/>
            <w:vAlign w:val="bottom"/>
            <w:hideMark/>
          </w:tcPr>
          <w:p w14:paraId="458CACED"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40D2C9E7"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72 </w:t>
            </w:r>
          </w:p>
        </w:tc>
        <w:tc>
          <w:tcPr>
            <w:tcW w:w="178" w:type="dxa"/>
            <w:tcBorders>
              <w:top w:val="nil"/>
              <w:left w:val="nil"/>
              <w:bottom w:val="nil"/>
              <w:right w:val="nil"/>
            </w:tcBorders>
            <w:shd w:val="clear" w:color="auto" w:fill="auto"/>
            <w:noWrap/>
            <w:vAlign w:val="bottom"/>
            <w:hideMark/>
          </w:tcPr>
          <w:p w14:paraId="71987988"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017B55B7"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61 </w:t>
            </w:r>
          </w:p>
        </w:tc>
        <w:tc>
          <w:tcPr>
            <w:tcW w:w="41" w:type="dxa"/>
            <w:tcBorders>
              <w:top w:val="nil"/>
              <w:left w:val="nil"/>
              <w:bottom w:val="nil"/>
              <w:right w:val="nil"/>
            </w:tcBorders>
            <w:shd w:val="clear" w:color="auto" w:fill="auto"/>
            <w:noWrap/>
            <w:vAlign w:val="bottom"/>
            <w:hideMark/>
          </w:tcPr>
          <w:p w14:paraId="7393F1F8"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0DB6A28C"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288 </w:t>
            </w:r>
          </w:p>
        </w:tc>
      </w:tr>
      <w:tr w:rsidR="00FD69BE" w:rsidRPr="00FD69BE" w14:paraId="38700FAD" w14:textId="77777777" w:rsidTr="00FD69BE">
        <w:trPr>
          <w:trHeight w:val="285"/>
        </w:trPr>
        <w:tc>
          <w:tcPr>
            <w:tcW w:w="3403" w:type="dxa"/>
            <w:tcBorders>
              <w:top w:val="nil"/>
              <w:left w:val="nil"/>
              <w:bottom w:val="nil"/>
              <w:right w:val="nil"/>
            </w:tcBorders>
            <w:shd w:val="clear" w:color="auto" w:fill="auto"/>
            <w:noWrap/>
            <w:vAlign w:val="bottom"/>
            <w:hideMark/>
          </w:tcPr>
          <w:p w14:paraId="6CDBABEA"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Income before income taxes</w:t>
            </w:r>
          </w:p>
        </w:tc>
        <w:tc>
          <w:tcPr>
            <w:tcW w:w="1137" w:type="dxa"/>
            <w:tcBorders>
              <w:top w:val="nil"/>
              <w:left w:val="nil"/>
              <w:bottom w:val="nil"/>
              <w:right w:val="nil"/>
            </w:tcBorders>
            <w:shd w:val="clear" w:color="auto" w:fill="auto"/>
            <w:noWrap/>
            <w:vAlign w:val="bottom"/>
            <w:hideMark/>
          </w:tcPr>
          <w:p w14:paraId="425F1B15"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6,577 </w:t>
            </w:r>
          </w:p>
        </w:tc>
        <w:tc>
          <w:tcPr>
            <w:tcW w:w="41" w:type="dxa"/>
            <w:tcBorders>
              <w:top w:val="nil"/>
              <w:left w:val="nil"/>
              <w:bottom w:val="nil"/>
              <w:right w:val="nil"/>
            </w:tcBorders>
            <w:shd w:val="clear" w:color="auto" w:fill="auto"/>
            <w:noWrap/>
            <w:vAlign w:val="bottom"/>
            <w:hideMark/>
          </w:tcPr>
          <w:p w14:paraId="559EBDD5"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45E57FFA"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6,145 </w:t>
            </w:r>
          </w:p>
        </w:tc>
        <w:tc>
          <w:tcPr>
            <w:tcW w:w="178" w:type="dxa"/>
            <w:tcBorders>
              <w:top w:val="nil"/>
              <w:left w:val="nil"/>
              <w:bottom w:val="nil"/>
              <w:right w:val="nil"/>
            </w:tcBorders>
            <w:shd w:val="clear" w:color="auto" w:fill="auto"/>
            <w:noWrap/>
            <w:vAlign w:val="bottom"/>
            <w:hideMark/>
          </w:tcPr>
          <w:p w14:paraId="106B6D5E"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44F76EF"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27,820 </w:t>
            </w:r>
          </w:p>
        </w:tc>
        <w:tc>
          <w:tcPr>
            <w:tcW w:w="41" w:type="dxa"/>
            <w:tcBorders>
              <w:top w:val="nil"/>
              <w:left w:val="nil"/>
              <w:bottom w:val="nil"/>
              <w:right w:val="nil"/>
            </w:tcBorders>
            <w:shd w:val="clear" w:color="auto" w:fill="auto"/>
            <w:noWrap/>
            <w:vAlign w:val="bottom"/>
            <w:hideMark/>
          </w:tcPr>
          <w:p w14:paraId="779262BF"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45E334DE"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27,052 </w:t>
            </w:r>
          </w:p>
        </w:tc>
      </w:tr>
      <w:tr w:rsidR="00FD69BE" w:rsidRPr="00FD69BE" w14:paraId="33855762" w14:textId="77777777" w:rsidTr="00FD69BE">
        <w:trPr>
          <w:trHeight w:val="285"/>
        </w:trPr>
        <w:tc>
          <w:tcPr>
            <w:tcW w:w="3403" w:type="dxa"/>
            <w:tcBorders>
              <w:top w:val="nil"/>
              <w:left w:val="nil"/>
              <w:bottom w:val="single" w:sz="4" w:space="0" w:color="auto"/>
              <w:right w:val="nil"/>
            </w:tcBorders>
            <w:shd w:val="clear" w:color="auto" w:fill="auto"/>
            <w:noWrap/>
            <w:vAlign w:val="bottom"/>
            <w:hideMark/>
          </w:tcPr>
          <w:p w14:paraId="3E163052"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Provision for income taxes</w:t>
            </w:r>
          </w:p>
        </w:tc>
        <w:tc>
          <w:tcPr>
            <w:tcW w:w="1137" w:type="dxa"/>
            <w:tcBorders>
              <w:top w:val="nil"/>
              <w:left w:val="nil"/>
              <w:bottom w:val="single" w:sz="4" w:space="0" w:color="auto"/>
              <w:right w:val="nil"/>
            </w:tcBorders>
            <w:shd w:val="clear" w:color="auto" w:fill="auto"/>
            <w:noWrap/>
            <w:vAlign w:val="bottom"/>
            <w:hideMark/>
          </w:tcPr>
          <w:p w14:paraId="744896C6"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1,965 </w:t>
            </w:r>
          </w:p>
        </w:tc>
        <w:tc>
          <w:tcPr>
            <w:tcW w:w="41" w:type="dxa"/>
            <w:tcBorders>
              <w:top w:val="nil"/>
              <w:left w:val="nil"/>
              <w:bottom w:val="nil"/>
              <w:right w:val="nil"/>
            </w:tcBorders>
            <w:shd w:val="clear" w:color="auto" w:fill="auto"/>
            <w:noWrap/>
            <w:vAlign w:val="bottom"/>
            <w:hideMark/>
          </w:tcPr>
          <w:p w14:paraId="1FCD13BB"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197AB2B2"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1,180 </w:t>
            </w:r>
          </w:p>
        </w:tc>
        <w:tc>
          <w:tcPr>
            <w:tcW w:w="178" w:type="dxa"/>
            <w:tcBorders>
              <w:top w:val="nil"/>
              <w:left w:val="nil"/>
              <w:bottom w:val="nil"/>
              <w:right w:val="nil"/>
            </w:tcBorders>
            <w:shd w:val="clear" w:color="auto" w:fill="auto"/>
            <w:noWrap/>
            <w:vAlign w:val="bottom"/>
            <w:hideMark/>
          </w:tcPr>
          <w:p w14:paraId="13260E44"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35FDF1A3"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5,746 </w:t>
            </w:r>
          </w:p>
        </w:tc>
        <w:tc>
          <w:tcPr>
            <w:tcW w:w="41" w:type="dxa"/>
            <w:tcBorders>
              <w:top w:val="nil"/>
              <w:left w:val="nil"/>
              <w:bottom w:val="nil"/>
              <w:right w:val="nil"/>
            </w:tcBorders>
            <w:shd w:val="clear" w:color="auto" w:fill="auto"/>
            <w:noWrap/>
            <w:vAlign w:val="bottom"/>
            <w:hideMark/>
          </w:tcPr>
          <w:p w14:paraId="6A2BD720"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2EE8C975"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5,189 </w:t>
            </w:r>
          </w:p>
        </w:tc>
      </w:tr>
      <w:tr w:rsidR="00FD69BE" w:rsidRPr="00FD69BE" w14:paraId="4084F7C0" w14:textId="77777777" w:rsidTr="00FD69BE">
        <w:trPr>
          <w:trHeight w:val="300"/>
        </w:trPr>
        <w:tc>
          <w:tcPr>
            <w:tcW w:w="3403" w:type="dxa"/>
            <w:tcBorders>
              <w:top w:val="nil"/>
              <w:left w:val="nil"/>
              <w:bottom w:val="nil"/>
              <w:right w:val="nil"/>
            </w:tcBorders>
            <w:shd w:val="clear" w:color="auto" w:fill="auto"/>
            <w:noWrap/>
            <w:vAlign w:val="bottom"/>
            <w:hideMark/>
          </w:tcPr>
          <w:p w14:paraId="1D762830"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Net income</w:t>
            </w:r>
          </w:p>
        </w:tc>
        <w:tc>
          <w:tcPr>
            <w:tcW w:w="1137" w:type="dxa"/>
            <w:tcBorders>
              <w:top w:val="nil"/>
              <w:left w:val="nil"/>
              <w:bottom w:val="single" w:sz="8" w:space="0" w:color="auto"/>
              <w:right w:val="nil"/>
            </w:tcBorders>
            <w:shd w:val="clear" w:color="auto" w:fill="auto"/>
            <w:noWrap/>
            <w:vAlign w:val="bottom"/>
            <w:hideMark/>
          </w:tcPr>
          <w:p w14:paraId="58F08E41"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 $     4,612 </w:t>
            </w:r>
          </w:p>
        </w:tc>
        <w:tc>
          <w:tcPr>
            <w:tcW w:w="41" w:type="dxa"/>
            <w:tcBorders>
              <w:top w:val="nil"/>
              <w:left w:val="nil"/>
              <w:bottom w:val="nil"/>
              <w:right w:val="nil"/>
            </w:tcBorders>
            <w:shd w:val="clear" w:color="auto" w:fill="auto"/>
            <w:noWrap/>
            <w:vAlign w:val="bottom"/>
            <w:hideMark/>
          </w:tcPr>
          <w:p w14:paraId="1F8E4522"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8" w:space="0" w:color="auto"/>
              <w:right w:val="nil"/>
            </w:tcBorders>
            <w:shd w:val="clear" w:color="auto" w:fill="auto"/>
            <w:noWrap/>
            <w:vAlign w:val="bottom"/>
            <w:hideMark/>
          </w:tcPr>
          <w:p w14:paraId="2FFEE3F2"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  4,965 </w:t>
            </w:r>
          </w:p>
        </w:tc>
        <w:tc>
          <w:tcPr>
            <w:tcW w:w="178" w:type="dxa"/>
            <w:tcBorders>
              <w:top w:val="nil"/>
              <w:left w:val="nil"/>
              <w:bottom w:val="nil"/>
              <w:right w:val="nil"/>
            </w:tcBorders>
            <w:shd w:val="clear" w:color="auto" w:fill="auto"/>
            <w:noWrap/>
            <w:vAlign w:val="bottom"/>
            <w:hideMark/>
          </w:tcPr>
          <w:p w14:paraId="607B9666"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0045BEF2"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 $    22,074 </w:t>
            </w:r>
          </w:p>
        </w:tc>
        <w:tc>
          <w:tcPr>
            <w:tcW w:w="41" w:type="dxa"/>
            <w:tcBorders>
              <w:top w:val="nil"/>
              <w:left w:val="nil"/>
              <w:bottom w:val="nil"/>
              <w:right w:val="nil"/>
            </w:tcBorders>
            <w:shd w:val="clear" w:color="auto" w:fill="auto"/>
            <w:noWrap/>
            <w:vAlign w:val="bottom"/>
            <w:hideMark/>
          </w:tcPr>
          <w:p w14:paraId="0EBAEF02"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8" w:space="0" w:color="auto"/>
              <w:right w:val="nil"/>
            </w:tcBorders>
            <w:shd w:val="clear" w:color="auto" w:fill="auto"/>
            <w:noWrap/>
            <w:vAlign w:val="bottom"/>
            <w:hideMark/>
          </w:tcPr>
          <w:p w14:paraId="346FCFD5"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$21,863 </w:t>
            </w:r>
          </w:p>
        </w:tc>
      </w:tr>
      <w:tr w:rsidR="00FD69BE" w:rsidRPr="00FD69BE" w14:paraId="74CE437F" w14:textId="77777777" w:rsidTr="00FD69BE">
        <w:trPr>
          <w:trHeight w:val="285"/>
        </w:trPr>
        <w:tc>
          <w:tcPr>
            <w:tcW w:w="3403" w:type="dxa"/>
            <w:tcBorders>
              <w:top w:val="nil"/>
              <w:left w:val="nil"/>
              <w:bottom w:val="nil"/>
              <w:right w:val="nil"/>
            </w:tcBorders>
            <w:shd w:val="clear" w:color="auto" w:fill="auto"/>
            <w:noWrap/>
            <w:vAlign w:val="bottom"/>
            <w:hideMark/>
          </w:tcPr>
          <w:p w14:paraId="482156D8"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137" w:type="dxa"/>
            <w:tcBorders>
              <w:top w:val="nil"/>
              <w:left w:val="nil"/>
              <w:bottom w:val="nil"/>
              <w:right w:val="nil"/>
            </w:tcBorders>
            <w:shd w:val="clear" w:color="auto" w:fill="auto"/>
            <w:noWrap/>
            <w:vAlign w:val="bottom"/>
            <w:hideMark/>
          </w:tcPr>
          <w:p w14:paraId="420D6AFE" w14:textId="77777777" w:rsidR="00FD69BE" w:rsidRPr="00FD69BE" w:rsidRDefault="00FD69BE" w:rsidP="00FD69BE">
            <w:pPr>
              <w:spacing w:after="0" w:line="240" w:lineRule="auto"/>
              <w:rPr>
                <w:rFonts w:ascii="Times New Roman" w:eastAsia="Times New Roman" w:hAnsi="Times New Roman"/>
                <w:sz w:val="20"/>
                <w:szCs w:val="20"/>
              </w:rPr>
            </w:pPr>
          </w:p>
        </w:tc>
        <w:tc>
          <w:tcPr>
            <w:tcW w:w="41" w:type="dxa"/>
            <w:tcBorders>
              <w:top w:val="nil"/>
              <w:left w:val="nil"/>
              <w:bottom w:val="nil"/>
              <w:right w:val="nil"/>
            </w:tcBorders>
            <w:shd w:val="clear" w:color="auto" w:fill="auto"/>
            <w:noWrap/>
            <w:vAlign w:val="bottom"/>
            <w:hideMark/>
          </w:tcPr>
          <w:p w14:paraId="17CE79E7" w14:textId="77777777" w:rsidR="00FD69BE" w:rsidRPr="00FD69BE" w:rsidRDefault="00FD69BE" w:rsidP="00FD69BE">
            <w:pPr>
              <w:spacing w:after="0" w:line="240" w:lineRule="auto"/>
              <w:rPr>
                <w:rFonts w:ascii="Times New Roman" w:eastAsia="Times New Roman" w:hAnsi="Times New Roman"/>
                <w:sz w:val="20"/>
                <w:szCs w:val="20"/>
              </w:rPr>
            </w:pPr>
          </w:p>
        </w:tc>
        <w:tc>
          <w:tcPr>
            <w:tcW w:w="890" w:type="dxa"/>
            <w:tcBorders>
              <w:top w:val="nil"/>
              <w:left w:val="nil"/>
              <w:bottom w:val="nil"/>
              <w:right w:val="nil"/>
            </w:tcBorders>
            <w:shd w:val="clear" w:color="auto" w:fill="auto"/>
            <w:noWrap/>
            <w:vAlign w:val="bottom"/>
            <w:hideMark/>
          </w:tcPr>
          <w:p w14:paraId="67274E69" w14:textId="77777777" w:rsidR="00FD69BE" w:rsidRPr="00FD69BE" w:rsidRDefault="00FD69BE" w:rsidP="00FD69BE">
            <w:pPr>
              <w:spacing w:after="0" w:line="240" w:lineRule="auto"/>
              <w:jc w:val="right"/>
              <w:rPr>
                <w:rFonts w:ascii="Times New Roman" w:eastAsia="Times New Roman" w:hAnsi="Times New Roman"/>
                <w:sz w:val="20"/>
                <w:szCs w:val="20"/>
              </w:rPr>
            </w:pPr>
          </w:p>
        </w:tc>
        <w:tc>
          <w:tcPr>
            <w:tcW w:w="178" w:type="dxa"/>
            <w:tcBorders>
              <w:top w:val="nil"/>
              <w:left w:val="nil"/>
              <w:bottom w:val="nil"/>
              <w:right w:val="nil"/>
            </w:tcBorders>
            <w:shd w:val="clear" w:color="auto" w:fill="auto"/>
            <w:noWrap/>
            <w:vAlign w:val="bottom"/>
            <w:hideMark/>
          </w:tcPr>
          <w:p w14:paraId="69F7F486" w14:textId="77777777" w:rsidR="00FD69BE" w:rsidRPr="00FD69BE" w:rsidRDefault="00FD69BE" w:rsidP="00FD69BE">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86CA579" w14:textId="77777777" w:rsidR="00FD69BE" w:rsidRPr="00FD69BE" w:rsidRDefault="00FD69BE" w:rsidP="00FD69BE">
            <w:pPr>
              <w:spacing w:after="0" w:line="240" w:lineRule="auto"/>
              <w:jc w:val="right"/>
              <w:rPr>
                <w:rFonts w:ascii="Times New Roman" w:eastAsia="Times New Roman" w:hAnsi="Times New Roman"/>
                <w:sz w:val="20"/>
                <w:szCs w:val="20"/>
              </w:rPr>
            </w:pPr>
          </w:p>
        </w:tc>
        <w:tc>
          <w:tcPr>
            <w:tcW w:w="41" w:type="dxa"/>
            <w:tcBorders>
              <w:top w:val="nil"/>
              <w:left w:val="nil"/>
              <w:bottom w:val="nil"/>
              <w:right w:val="nil"/>
            </w:tcBorders>
            <w:shd w:val="clear" w:color="auto" w:fill="auto"/>
            <w:noWrap/>
            <w:vAlign w:val="bottom"/>
            <w:hideMark/>
          </w:tcPr>
          <w:p w14:paraId="2B150945" w14:textId="77777777" w:rsidR="00FD69BE" w:rsidRPr="00FD69BE" w:rsidRDefault="00FD69BE" w:rsidP="00FD69BE">
            <w:pPr>
              <w:spacing w:after="0" w:line="240" w:lineRule="auto"/>
              <w:jc w:val="right"/>
              <w:rPr>
                <w:rFonts w:ascii="Times New Roman" w:eastAsia="Times New Roman" w:hAnsi="Times New Roman"/>
                <w:sz w:val="20"/>
                <w:szCs w:val="20"/>
              </w:rPr>
            </w:pPr>
          </w:p>
        </w:tc>
        <w:tc>
          <w:tcPr>
            <w:tcW w:w="890" w:type="dxa"/>
            <w:tcBorders>
              <w:top w:val="nil"/>
              <w:left w:val="nil"/>
              <w:bottom w:val="nil"/>
              <w:right w:val="nil"/>
            </w:tcBorders>
            <w:shd w:val="clear" w:color="auto" w:fill="auto"/>
            <w:noWrap/>
            <w:vAlign w:val="center"/>
            <w:hideMark/>
          </w:tcPr>
          <w:p w14:paraId="61116EA3" w14:textId="77777777" w:rsidR="00FD69BE" w:rsidRPr="00FD69BE" w:rsidRDefault="00FD69BE" w:rsidP="00FD69BE">
            <w:pPr>
              <w:spacing w:after="0" w:line="240" w:lineRule="auto"/>
              <w:jc w:val="right"/>
              <w:rPr>
                <w:rFonts w:ascii="Times New Roman" w:eastAsia="Times New Roman" w:hAnsi="Times New Roman"/>
                <w:sz w:val="20"/>
                <w:szCs w:val="20"/>
              </w:rPr>
            </w:pPr>
          </w:p>
        </w:tc>
      </w:tr>
      <w:tr w:rsidR="00FD69BE" w:rsidRPr="00FD69BE" w14:paraId="3F032566" w14:textId="77777777" w:rsidTr="00FD69BE">
        <w:trPr>
          <w:trHeight w:val="285"/>
        </w:trPr>
        <w:tc>
          <w:tcPr>
            <w:tcW w:w="3403" w:type="dxa"/>
            <w:tcBorders>
              <w:top w:val="nil"/>
              <w:left w:val="nil"/>
              <w:bottom w:val="nil"/>
              <w:right w:val="nil"/>
            </w:tcBorders>
            <w:shd w:val="clear" w:color="auto" w:fill="auto"/>
            <w:noWrap/>
            <w:vAlign w:val="bottom"/>
            <w:hideMark/>
          </w:tcPr>
          <w:p w14:paraId="280048A3"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Earnings per share:</w:t>
            </w:r>
          </w:p>
        </w:tc>
        <w:tc>
          <w:tcPr>
            <w:tcW w:w="1137" w:type="dxa"/>
            <w:tcBorders>
              <w:top w:val="nil"/>
              <w:left w:val="nil"/>
              <w:bottom w:val="nil"/>
              <w:right w:val="nil"/>
            </w:tcBorders>
            <w:shd w:val="clear" w:color="auto" w:fill="auto"/>
            <w:noWrap/>
            <w:vAlign w:val="bottom"/>
            <w:hideMark/>
          </w:tcPr>
          <w:p w14:paraId="2DEF6577" w14:textId="77777777" w:rsidR="00FD69BE" w:rsidRPr="00FD69BE" w:rsidRDefault="00FD69BE" w:rsidP="00FD69BE">
            <w:pPr>
              <w:spacing w:after="0" w:line="240" w:lineRule="auto"/>
              <w:rPr>
                <w:rFonts w:ascii="Segoe UI" w:eastAsia="Times New Roman" w:hAnsi="Segoe UI" w:cs="Segoe UI"/>
                <w:color w:val="666666"/>
                <w:sz w:val="20"/>
                <w:szCs w:val="20"/>
              </w:rPr>
            </w:pPr>
          </w:p>
        </w:tc>
        <w:tc>
          <w:tcPr>
            <w:tcW w:w="41" w:type="dxa"/>
            <w:tcBorders>
              <w:top w:val="nil"/>
              <w:left w:val="nil"/>
              <w:bottom w:val="nil"/>
              <w:right w:val="nil"/>
            </w:tcBorders>
            <w:shd w:val="clear" w:color="auto" w:fill="auto"/>
            <w:noWrap/>
            <w:vAlign w:val="bottom"/>
            <w:hideMark/>
          </w:tcPr>
          <w:p w14:paraId="54144E50" w14:textId="77777777" w:rsidR="00FD69BE" w:rsidRPr="00FD69BE" w:rsidRDefault="00FD69BE" w:rsidP="00FD69BE">
            <w:pPr>
              <w:spacing w:after="0" w:line="240" w:lineRule="auto"/>
              <w:rPr>
                <w:rFonts w:ascii="Times New Roman" w:eastAsia="Times New Roman" w:hAnsi="Times New Roman"/>
                <w:sz w:val="20"/>
                <w:szCs w:val="20"/>
              </w:rPr>
            </w:pPr>
          </w:p>
        </w:tc>
        <w:tc>
          <w:tcPr>
            <w:tcW w:w="890" w:type="dxa"/>
            <w:tcBorders>
              <w:top w:val="nil"/>
              <w:left w:val="nil"/>
              <w:bottom w:val="nil"/>
              <w:right w:val="nil"/>
            </w:tcBorders>
            <w:shd w:val="clear" w:color="auto" w:fill="auto"/>
            <w:noWrap/>
            <w:vAlign w:val="bottom"/>
            <w:hideMark/>
          </w:tcPr>
          <w:p w14:paraId="2A0D22DD" w14:textId="77777777" w:rsidR="00FD69BE" w:rsidRPr="00FD69BE" w:rsidRDefault="00FD69BE" w:rsidP="00FD69BE">
            <w:pPr>
              <w:spacing w:after="0" w:line="240" w:lineRule="auto"/>
              <w:jc w:val="right"/>
              <w:rPr>
                <w:rFonts w:ascii="Times New Roman" w:eastAsia="Times New Roman" w:hAnsi="Times New Roman"/>
                <w:sz w:val="20"/>
                <w:szCs w:val="20"/>
              </w:rPr>
            </w:pPr>
          </w:p>
        </w:tc>
        <w:tc>
          <w:tcPr>
            <w:tcW w:w="178" w:type="dxa"/>
            <w:tcBorders>
              <w:top w:val="nil"/>
              <w:left w:val="nil"/>
              <w:bottom w:val="nil"/>
              <w:right w:val="nil"/>
            </w:tcBorders>
            <w:shd w:val="clear" w:color="auto" w:fill="auto"/>
            <w:noWrap/>
            <w:vAlign w:val="bottom"/>
            <w:hideMark/>
          </w:tcPr>
          <w:p w14:paraId="54FF3CEB" w14:textId="77777777" w:rsidR="00FD69BE" w:rsidRPr="00FD69BE" w:rsidRDefault="00FD69BE" w:rsidP="00FD69BE">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ED0EBE5" w14:textId="77777777" w:rsidR="00FD69BE" w:rsidRPr="00FD69BE" w:rsidRDefault="00FD69BE" w:rsidP="00FD69BE">
            <w:pPr>
              <w:spacing w:after="0" w:line="240" w:lineRule="auto"/>
              <w:jc w:val="right"/>
              <w:rPr>
                <w:rFonts w:ascii="Times New Roman" w:eastAsia="Times New Roman" w:hAnsi="Times New Roman"/>
                <w:sz w:val="20"/>
                <w:szCs w:val="20"/>
              </w:rPr>
            </w:pPr>
          </w:p>
        </w:tc>
        <w:tc>
          <w:tcPr>
            <w:tcW w:w="41" w:type="dxa"/>
            <w:tcBorders>
              <w:top w:val="nil"/>
              <w:left w:val="nil"/>
              <w:bottom w:val="nil"/>
              <w:right w:val="nil"/>
            </w:tcBorders>
            <w:shd w:val="clear" w:color="auto" w:fill="auto"/>
            <w:noWrap/>
            <w:vAlign w:val="bottom"/>
            <w:hideMark/>
          </w:tcPr>
          <w:p w14:paraId="0FF698F2" w14:textId="77777777" w:rsidR="00FD69BE" w:rsidRPr="00FD69BE" w:rsidRDefault="00FD69BE" w:rsidP="00FD69BE">
            <w:pPr>
              <w:spacing w:after="0" w:line="240" w:lineRule="auto"/>
              <w:jc w:val="right"/>
              <w:rPr>
                <w:rFonts w:ascii="Times New Roman" w:eastAsia="Times New Roman" w:hAnsi="Times New Roman"/>
                <w:sz w:val="20"/>
                <w:szCs w:val="20"/>
              </w:rPr>
            </w:pPr>
          </w:p>
        </w:tc>
        <w:tc>
          <w:tcPr>
            <w:tcW w:w="890" w:type="dxa"/>
            <w:tcBorders>
              <w:top w:val="nil"/>
              <w:left w:val="nil"/>
              <w:bottom w:val="nil"/>
              <w:right w:val="nil"/>
            </w:tcBorders>
            <w:shd w:val="clear" w:color="auto" w:fill="auto"/>
            <w:noWrap/>
            <w:vAlign w:val="center"/>
            <w:hideMark/>
          </w:tcPr>
          <w:p w14:paraId="02562CD9" w14:textId="77777777" w:rsidR="00FD69BE" w:rsidRPr="00FD69BE" w:rsidRDefault="00FD69BE" w:rsidP="00FD69BE">
            <w:pPr>
              <w:spacing w:after="0" w:line="240" w:lineRule="auto"/>
              <w:jc w:val="right"/>
              <w:rPr>
                <w:rFonts w:ascii="Times New Roman" w:eastAsia="Times New Roman" w:hAnsi="Times New Roman"/>
                <w:sz w:val="20"/>
                <w:szCs w:val="20"/>
              </w:rPr>
            </w:pPr>
          </w:p>
        </w:tc>
      </w:tr>
      <w:tr w:rsidR="00FD69BE" w:rsidRPr="00FD69BE" w14:paraId="0A67F432" w14:textId="77777777" w:rsidTr="00FD69BE">
        <w:trPr>
          <w:trHeight w:val="285"/>
        </w:trPr>
        <w:tc>
          <w:tcPr>
            <w:tcW w:w="3403" w:type="dxa"/>
            <w:tcBorders>
              <w:top w:val="nil"/>
              <w:left w:val="nil"/>
              <w:bottom w:val="nil"/>
              <w:right w:val="nil"/>
            </w:tcBorders>
            <w:shd w:val="clear" w:color="auto" w:fill="auto"/>
            <w:noWrap/>
            <w:vAlign w:val="bottom"/>
            <w:hideMark/>
          </w:tcPr>
          <w:p w14:paraId="76BE861B"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Basic</w:t>
            </w:r>
          </w:p>
        </w:tc>
        <w:tc>
          <w:tcPr>
            <w:tcW w:w="1137" w:type="dxa"/>
            <w:tcBorders>
              <w:top w:val="nil"/>
              <w:left w:val="nil"/>
              <w:bottom w:val="nil"/>
              <w:right w:val="nil"/>
            </w:tcBorders>
            <w:shd w:val="clear" w:color="auto" w:fill="auto"/>
            <w:noWrap/>
            <w:vAlign w:val="bottom"/>
            <w:hideMark/>
          </w:tcPr>
          <w:p w14:paraId="062BB8AB"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 $      0.56 </w:t>
            </w:r>
          </w:p>
        </w:tc>
        <w:tc>
          <w:tcPr>
            <w:tcW w:w="41" w:type="dxa"/>
            <w:tcBorders>
              <w:top w:val="nil"/>
              <w:left w:val="nil"/>
              <w:bottom w:val="nil"/>
              <w:right w:val="nil"/>
            </w:tcBorders>
            <w:shd w:val="clear" w:color="auto" w:fill="auto"/>
            <w:noWrap/>
            <w:vAlign w:val="bottom"/>
            <w:hideMark/>
          </w:tcPr>
          <w:p w14:paraId="5658192A"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0CCA3E12"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    0.59 </w:t>
            </w:r>
          </w:p>
        </w:tc>
        <w:tc>
          <w:tcPr>
            <w:tcW w:w="178" w:type="dxa"/>
            <w:tcBorders>
              <w:top w:val="nil"/>
              <w:left w:val="nil"/>
              <w:bottom w:val="nil"/>
              <w:right w:val="nil"/>
            </w:tcBorders>
            <w:shd w:val="clear" w:color="auto" w:fill="auto"/>
            <w:noWrap/>
            <w:vAlign w:val="bottom"/>
            <w:hideMark/>
          </w:tcPr>
          <w:p w14:paraId="45BBFBE6"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7BB8BB5"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 $        2.66 </w:t>
            </w:r>
          </w:p>
        </w:tc>
        <w:tc>
          <w:tcPr>
            <w:tcW w:w="41" w:type="dxa"/>
            <w:tcBorders>
              <w:top w:val="nil"/>
              <w:left w:val="nil"/>
              <w:bottom w:val="nil"/>
              <w:right w:val="nil"/>
            </w:tcBorders>
            <w:shd w:val="clear" w:color="auto" w:fill="auto"/>
            <w:noWrap/>
            <w:vAlign w:val="bottom"/>
            <w:hideMark/>
          </w:tcPr>
          <w:p w14:paraId="50EB80D6"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center"/>
            <w:hideMark/>
          </w:tcPr>
          <w:p w14:paraId="75BA62A9"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    2.61 </w:t>
            </w:r>
          </w:p>
        </w:tc>
      </w:tr>
      <w:tr w:rsidR="00FD69BE" w:rsidRPr="00FD69BE" w14:paraId="5D2E6004" w14:textId="77777777" w:rsidTr="00FD69BE">
        <w:trPr>
          <w:trHeight w:val="285"/>
        </w:trPr>
        <w:tc>
          <w:tcPr>
            <w:tcW w:w="3403" w:type="dxa"/>
            <w:tcBorders>
              <w:top w:val="nil"/>
              <w:left w:val="nil"/>
              <w:bottom w:val="nil"/>
              <w:right w:val="nil"/>
            </w:tcBorders>
            <w:shd w:val="clear" w:color="auto" w:fill="auto"/>
            <w:noWrap/>
            <w:vAlign w:val="bottom"/>
            <w:hideMark/>
          </w:tcPr>
          <w:p w14:paraId="510FCCF3"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Diluted</w:t>
            </w:r>
          </w:p>
        </w:tc>
        <w:tc>
          <w:tcPr>
            <w:tcW w:w="1137" w:type="dxa"/>
            <w:tcBorders>
              <w:top w:val="nil"/>
              <w:left w:val="nil"/>
              <w:bottom w:val="nil"/>
              <w:right w:val="nil"/>
            </w:tcBorders>
            <w:shd w:val="clear" w:color="auto" w:fill="auto"/>
            <w:noWrap/>
            <w:vAlign w:val="bottom"/>
            <w:hideMark/>
          </w:tcPr>
          <w:p w14:paraId="66365540"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 $      0.55 </w:t>
            </w:r>
          </w:p>
        </w:tc>
        <w:tc>
          <w:tcPr>
            <w:tcW w:w="41" w:type="dxa"/>
            <w:tcBorders>
              <w:top w:val="nil"/>
              <w:left w:val="nil"/>
              <w:bottom w:val="nil"/>
              <w:right w:val="nil"/>
            </w:tcBorders>
            <w:shd w:val="clear" w:color="auto" w:fill="auto"/>
            <w:noWrap/>
            <w:vAlign w:val="bottom"/>
            <w:hideMark/>
          </w:tcPr>
          <w:p w14:paraId="4D716352"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11FC3049"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    0.59 </w:t>
            </w:r>
          </w:p>
        </w:tc>
        <w:tc>
          <w:tcPr>
            <w:tcW w:w="178" w:type="dxa"/>
            <w:tcBorders>
              <w:top w:val="nil"/>
              <w:left w:val="nil"/>
              <w:bottom w:val="nil"/>
              <w:right w:val="nil"/>
            </w:tcBorders>
            <w:shd w:val="clear" w:color="auto" w:fill="auto"/>
            <w:noWrap/>
            <w:vAlign w:val="bottom"/>
            <w:hideMark/>
          </w:tcPr>
          <w:p w14:paraId="12D51ECA"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50ADCB0"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 $        2.63 </w:t>
            </w:r>
          </w:p>
        </w:tc>
        <w:tc>
          <w:tcPr>
            <w:tcW w:w="41" w:type="dxa"/>
            <w:tcBorders>
              <w:top w:val="nil"/>
              <w:left w:val="nil"/>
              <w:bottom w:val="nil"/>
              <w:right w:val="nil"/>
            </w:tcBorders>
            <w:shd w:val="clear" w:color="auto" w:fill="auto"/>
            <w:noWrap/>
            <w:vAlign w:val="bottom"/>
            <w:hideMark/>
          </w:tcPr>
          <w:p w14:paraId="5CC11358"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center"/>
            <w:hideMark/>
          </w:tcPr>
          <w:p w14:paraId="760FF4C7"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    2.58 </w:t>
            </w:r>
          </w:p>
        </w:tc>
      </w:tr>
      <w:tr w:rsidR="00FD69BE" w:rsidRPr="00FD69BE" w14:paraId="1438AB3E" w14:textId="77777777" w:rsidTr="00FD69BE">
        <w:trPr>
          <w:trHeight w:val="285"/>
        </w:trPr>
        <w:tc>
          <w:tcPr>
            <w:tcW w:w="4540" w:type="dxa"/>
            <w:gridSpan w:val="2"/>
            <w:tcBorders>
              <w:top w:val="nil"/>
              <w:left w:val="nil"/>
              <w:bottom w:val="nil"/>
              <w:right w:val="nil"/>
            </w:tcBorders>
            <w:shd w:val="clear" w:color="auto" w:fill="auto"/>
            <w:noWrap/>
            <w:vAlign w:val="bottom"/>
            <w:hideMark/>
          </w:tcPr>
          <w:p w14:paraId="57265EAE"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Weighted average shares outstanding:</w:t>
            </w:r>
          </w:p>
        </w:tc>
        <w:tc>
          <w:tcPr>
            <w:tcW w:w="41" w:type="dxa"/>
            <w:tcBorders>
              <w:top w:val="nil"/>
              <w:left w:val="nil"/>
              <w:bottom w:val="nil"/>
              <w:right w:val="nil"/>
            </w:tcBorders>
            <w:shd w:val="clear" w:color="auto" w:fill="auto"/>
            <w:noWrap/>
            <w:vAlign w:val="bottom"/>
            <w:hideMark/>
          </w:tcPr>
          <w:p w14:paraId="760B2242" w14:textId="77777777" w:rsidR="00FD69BE" w:rsidRPr="00FD69BE" w:rsidRDefault="00FD69BE" w:rsidP="00FD69BE">
            <w:pPr>
              <w:spacing w:after="0" w:line="240" w:lineRule="auto"/>
              <w:rPr>
                <w:rFonts w:ascii="Segoe UI" w:eastAsia="Times New Roman" w:hAnsi="Segoe UI" w:cs="Segoe UI"/>
                <w:color w:val="666666"/>
                <w:sz w:val="20"/>
                <w:szCs w:val="20"/>
              </w:rPr>
            </w:pPr>
          </w:p>
        </w:tc>
        <w:tc>
          <w:tcPr>
            <w:tcW w:w="890" w:type="dxa"/>
            <w:tcBorders>
              <w:top w:val="nil"/>
              <w:left w:val="nil"/>
              <w:bottom w:val="nil"/>
              <w:right w:val="nil"/>
            </w:tcBorders>
            <w:shd w:val="clear" w:color="auto" w:fill="auto"/>
            <w:noWrap/>
            <w:vAlign w:val="bottom"/>
            <w:hideMark/>
          </w:tcPr>
          <w:p w14:paraId="242E3125" w14:textId="77777777" w:rsidR="00FD69BE" w:rsidRPr="00FD69BE" w:rsidRDefault="00FD69BE" w:rsidP="00FD69BE">
            <w:pPr>
              <w:spacing w:after="0" w:line="240" w:lineRule="auto"/>
              <w:jc w:val="right"/>
              <w:rPr>
                <w:rFonts w:ascii="Times New Roman" w:eastAsia="Times New Roman" w:hAnsi="Times New Roman"/>
                <w:sz w:val="20"/>
                <w:szCs w:val="20"/>
              </w:rPr>
            </w:pPr>
          </w:p>
        </w:tc>
        <w:tc>
          <w:tcPr>
            <w:tcW w:w="178" w:type="dxa"/>
            <w:tcBorders>
              <w:top w:val="nil"/>
              <w:left w:val="nil"/>
              <w:bottom w:val="nil"/>
              <w:right w:val="nil"/>
            </w:tcBorders>
            <w:shd w:val="clear" w:color="auto" w:fill="auto"/>
            <w:noWrap/>
            <w:vAlign w:val="bottom"/>
            <w:hideMark/>
          </w:tcPr>
          <w:p w14:paraId="1B2012F7" w14:textId="77777777" w:rsidR="00FD69BE" w:rsidRPr="00FD69BE" w:rsidRDefault="00FD69BE" w:rsidP="00FD69BE">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38843BE3" w14:textId="77777777" w:rsidR="00FD69BE" w:rsidRPr="00FD69BE" w:rsidRDefault="00FD69BE" w:rsidP="00FD69BE">
            <w:pPr>
              <w:spacing w:after="0" w:line="240" w:lineRule="auto"/>
              <w:jc w:val="right"/>
              <w:rPr>
                <w:rFonts w:ascii="Times New Roman" w:eastAsia="Times New Roman" w:hAnsi="Times New Roman"/>
                <w:sz w:val="20"/>
                <w:szCs w:val="20"/>
              </w:rPr>
            </w:pPr>
          </w:p>
        </w:tc>
        <w:tc>
          <w:tcPr>
            <w:tcW w:w="41" w:type="dxa"/>
            <w:tcBorders>
              <w:top w:val="nil"/>
              <w:left w:val="nil"/>
              <w:bottom w:val="nil"/>
              <w:right w:val="nil"/>
            </w:tcBorders>
            <w:shd w:val="clear" w:color="auto" w:fill="auto"/>
            <w:noWrap/>
            <w:vAlign w:val="bottom"/>
            <w:hideMark/>
          </w:tcPr>
          <w:p w14:paraId="43FA491C" w14:textId="77777777" w:rsidR="00FD69BE" w:rsidRPr="00FD69BE" w:rsidRDefault="00FD69BE" w:rsidP="00FD69BE">
            <w:pPr>
              <w:spacing w:after="0" w:line="240" w:lineRule="auto"/>
              <w:jc w:val="right"/>
              <w:rPr>
                <w:rFonts w:ascii="Times New Roman" w:eastAsia="Times New Roman" w:hAnsi="Times New Roman"/>
                <w:sz w:val="20"/>
                <w:szCs w:val="20"/>
              </w:rPr>
            </w:pPr>
          </w:p>
        </w:tc>
        <w:tc>
          <w:tcPr>
            <w:tcW w:w="890" w:type="dxa"/>
            <w:tcBorders>
              <w:top w:val="nil"/>
              <w:left w:val="nil"/>
              <w:bottom w:val="nil"/>
              <w:right w:val="nil"/>
            </w:tcBorders>
            <w:shd w:val="clear" w:color="auto" w:fill="auto"/>
            <w:noWrap/>
            <w:vAlign w:val="center"/>
            <w:hideMark/>
          </w:tcPr>
          <w:p w14:paraId="73D3823F" w14:textId="77777777" w:rsidR="00FD69BE" w:rsidRPr="00FD69BE" w:rsidRDefault="00FD69BE" w:rsidP="00FD69BE">
            <w:pPr>
              <w:spacing w:after="0" w:line="240" w:lineRule="auto"/>
              <w:jc w:val="right"/>
              <w:rPr>
                <w:rFonts w:ascii="Times New Roman" w:eastAsia="Times New Roman" w:hAnsi="Times New Roman"/>
                <w:sz w:val="20"/>
                <w:szCs w:val="20"/>
              </w:rPr>
            </w:pPr>
          </w:p>
        </w:tc>
      </w:tr>
      <w:tr w:rsidR="00FD69BE" w:rsidRPr="00FD69BE" w14:paraId="3ED9B5D4" w14:textId="77777777" w:rsidTr="00FD69BE">
        <w:trPr>
          <w:trHeight w:val="285"/>
        </w:trPr>
        <w:tc>
          <w:tcPr>
            <w:tcW w:w="3403" w:type="dxa"/>
            <w:tcBorders>
              <w:top w:val="nil"/>
              <w:left w:val="nil"/>
              <w:bottom w:val="nil"/>
              <w:right w:val="nil"/>
            </w:tcBorders>
            <w:shd w:val="clear" w:color="auto" w:fill="auto"/>
            <w:noWrap/>
            <w:vAlign w:val="bottom"/>
            <w:hideMark/>
          </w:tcPr>
          <w:p w14:paraId="5D0E22D8"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Basic</w:t>
            </w:r>
          </w:p>
        </w:tc>
        <w:tc>
          <w:tcPr>
            <w:tcW w:w="1137" w:type="dxa"/>
            <w:tcBorders>
              <w:top w:val="nil"/>
              <w:left w:val="nil"/>
              <w:bottom w:val="nil"/>
              <w:right w:val="nil"/>
            </w:tcBorders>
            <w:shd w:val="clear" w:color="auto" w:fill="auto"/>
            <w:noWrap/>
            <w:vAlign w:val="bottom"/>
            <w:hideMark/>
          </w:tcPr>
          <w:p w14:paraId="025B9097"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8,246 </w:t>
            </w:r>
          </w:p>
        </w:tc>
        <w:tc>
          <w:tcPr>
            <w:tcW w:w="41" w:type="dxa"/>
            <w:tcBorders>
              <w:top w:val="nil"/>
              <w:left w:val="nil"/>
              <w:bottom w:val="nil"/>
              <w:right w:val="nil"/>
            </w:tcBorders>
            <w:shd w:val="clear" w:color="auto" w:fill="auto"/>
            <w:noWrap/>
            <w:vAlign w:val="bottom"/>
            <w:hideMark/>
          </w:tcPr>
          <w:p w14:paraId="0DC69559"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165C3C6C"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8,345 </w:t>
            </w:r>
          </w:p>
        </w:tc>
        <w:tc>
          <w:tcPr>
            <w:tcW w:w="178" w:type="dxa"/>
            <w:tcBorders>
              <w:top w:val="nil"/>
              <w:left w:val="nil"/>
              <w:bottom w:val="nil"/>
              <w:right w:val="nil"/>
            </w:tcBorders>
            <w:shd w:val="clear" w:color="auto" w:fill="auto"/>
            <w:noWrap/>
            <w:vAlign w:val="bottom"/>
            <w:hideMark/>
          </w:tcPr>
          <w:p w14:paraId="6B86B17B"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953A901"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8,299 </w:t>
            </w:r>
          </w:p>
        </w:tc>
        <w:tc>
          <w:tcPr>
            <w:tcW w:w="41" w:type="dxa"/>
            <w:tcBorders>
              <w:top w:val="nil"/>
              <w:left w:val="nil"/>
              <w:bottom w:val="nil"/>
              <w:right w:val="nil"/>
            </w:tcBorders>
            <w:shd w:val="clear" w:color="auto" w:fill="auto"/>
            <w:noWrap/>
            <w:vAlign w:val="bottom"/>
            <w:hideMark/>
          </w:tcPr>
          <w:p w14:paraId="098765CE"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2A594C88"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8,375 </w:t>
            </w:r>
          </w:p>
        </w:tc>
      </w:tr>
      <w:tr w:rsidR="00FD69BE" w:rsidRPr="00FD69BE" w14:paraId="73509A67" w14:textId="77777777" w:rsidTr="00FD69BE">
        <w:trPr>
          <w:trHeight w:val="285"/>
        </w:trPr>
        <w:tc>
          <w:tcPr>
            <w:tcW w:w="3403" w:type="dxa"/>
            <w:tcBorders>
              <w:top w:val="nil"/>
              <w:left w:val="nil"/>
              <w:bottom w:val="nil"/>
              <w:right w:val="nil"/>
            </w:tcBorders>
            <w:shd w:val="clear" w:color="auto" w:fill="auto"/>
            <w:noWrap/>
            <w:vAlign w:val="bottom"/>
            <w:hideMark/>
          </w:tcPr>
          <w:p w14:paraId="4121573D"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Diluted</w:t>
            </w:r>
          </w:p>
        </w:tc>
        <w:tc>
          <w:tcPr>
            <w:tcW w:w="1137" w:type="dxa"/>
            <w:tcBorders>
              <w:top w:val="nil"/>
              <w:left w:val="nil"/>
              <w:bottom w:val="nil"/>
              <w:right w:val="nil"/>
            </w:tcBorders>
            <w:shd w:val="clear" w:color="auto" w:fill="auto"/>
            <w:noWrap/>
            <w:vAlign w:val="bottom"/>
            <w:hideMark/>
          </w:tcPr>
          <w:p w14:paraId="371C951B"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8,345 </w:t>
            </w:r>
          </w:p>
        </w:tc>
        <w:tc>
          <w:tcPr>
            <w:tcW w:w="41" w:type="dxa"/>
            <w:tcBorders>
              <w:top w:val="nil"/>
              <w:left w:val="nil"/>
              <w:bottom w:val="nil"/>
              <w:right w:val="nil"/>
            </w:tcBorders>
            <w:shd w:val="clear" w:color="auto" w:fill="auto"/>
            <w:noWrap/>
            <w:vAlign w:val="bottom"/>
            <w:hideMark/>
          </w:tcPr>
          <w:p w14:paraId="5E90ED65"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78F02B8E"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8,442 </w:t>
            </w:r>
          </w:p>
        </w:tc>
        <w:tc>
          <w:tcPr>
            <w:tcW w:w="178" w:type="dxa"/>
            <w:tcBorders>
              <w:top w:val="nil"/>
              <w:left w:val="nil"/>
              <w:bottom w:val="nil"/>
              <w:right w:val="nil"/>
            </w:tcBorders>
            <w:shd w:val="clear" w:color="auto" w:fill="auto"/>
            <w:noWrap/>
            <w:vAlign w:val="bottom"/>
            <w:hideMark/>
          </w:tcPr>
          <w:p w14:paraId="30C3EE0F"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67907882"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8,399 </w:t>
            </w:r>
          </w:p>
        </w:tc>
        <w:tc>
          <w:tcPr>
            <w:tcW w:w="41" w:type="dxa"/>
            <w:tcBorders>
              <w:top w:val="nil"/>
              <w:left w:val="nil"/>
              <w:bottom w:val="nil"/>
              <w:right w:val="nil"/>
            </w:tcBorders>
            <w:shd w:val="clear" w:color="auto" w:fill="auto"/>
            <w:noWrap/>
            <w:vAlign w:val="bottom"/>
            <w:hideMark/>
          </w:tcPr>
          <w:p w14:paraId="2C6C02DF"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46B6F137"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8,470 </w:t>
            </w:r>
          </w:p>
        </w:tc>
      </w:tr>
      <w:tr w:rsidR="00FD69BE" w:rsidRPr="00FD69BE" w14:paraId="2DEF94F3" w14:textId="77777777" w:rsidTr="00FD69BE">
        <w:trPr>
          <w:trHeight w:val="570"/>
        </w:trPr>
        <w:tc>
          <w:tcPr>
            <w:tcW w:w="3403" w:type="dxa"/>
            <w:tcBorders>
              <w:top w:val="nil"/>
              <w:left w:val="nil"/>
              <w:bottom w:val="single" w:sz="4" w:space="0" w:color="auto"/>
              <w:right w:val="nil"/>
            </w:tcBorders>
            <w:shd w:val="clear" w:color="auto" w:fill="auto"/>
            <w:vAlign w:val="bottom"/>
            <w:hideMark/>
          </w:tcPr>
          <w:p w14:paraId="76404FEF" w14:textId="77777777" w:rsidR="00FD69BE" w:rsidRPr="00FD69BE" w:rsidRDefault="00FD69BE" w:rsidP="00FD69BE">
            <w:pPr>
              <w:spacing w:after="0" w:line="240" w:lineRule="auto"/>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Cash dividends declared per</w:t>
            </w:r>
            <w:r w:rsidRPr="00FD69BE">
              <w:rPr>
                <w:rFonts w:ascii="Segoe UI" w:eastAsia="Times New Roman" w:hAnsi="Segoe UI" w:cs="Segoe UI"/>
                <w:color w:val="666666"/>
                <w:sz w:val="20"/>
                <w:szCs w:val="20"/>
              </w:rPr>
              <w:br/>
              <w:t xml:space="preserve">   common share</w:t>
            </w:r>
          </w:p>
        </w:tc>
        <w:tc>
          <w:tcPr>
            <w:tcW w:w="1137" w:type="dxa"/>
            <w:tcBorders>
              <w:top w:val="nil"/>
              <w:left w:val="nil"/>
              <w:bottom w:val="single" w:sz="4" w:space="0" w:color="auto"/>
              <w:right w:val="nil"/>
            </w:tcBorders>
            <w:shd w:val="clear" w:color="auto" w:fill="auto"/>
            <w:noWrap/>
            <w:vAlign w:val="bottom"/>
            <w:hideMark/>
          </w:tcPr>
          <w:p w14:paraId="1C478108"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 $      0.28 </w:t>
            </w:r>
          </w:p>
        </w:tc>
        <w:tc>
          <w:tcPr>
            <w:tcW w:w="41" w:type="dxa"/>
            <w:tcBorders>
              <w:top w:val="nil"/>
              <w:left w:val="nil"/>
              <w:bottom w:val="nil"/>
              <w:right w:val="nil"/>
            </w:tcBorders>
            <w:shd w:val="clear" w:color="auto" w:fill="auto"/>
            <w:noWrap/>
            <w:vAlign w:val="bottom"/>
            <w:hideMark/>
          </w:tcPr>
          <w:p w14:paraId="7E2DD776"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3FAFB59D"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    0.23 </w:t>
            </w:r>
          </w:p>
        </w:tc>
        <w:tc>
          <w:tcPr>
            <w:tcW w:w="178" w:type="dxa"/>
            <w:tcBorders>
              <w:top w:val="nil"/>
              <w:left w:val="nil"/>
              <w:bottom w:val="nil"/>
              <w:right w:val="nil"/>
            </w:tcBorders>
            <w:shd w:val="clear" w:color="auto" w:fill="auto"/>
            <w:noWrap/>
            <w:vAlign w:val="bottom"/>
            <w:hideMark/>
          </w:tcPr>
          <w:p w14:paraId="52D729AA"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23665299"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r w:rsidRPr="00FD69BE">
              <w:rPr>
                <w:rFonts w:ascii="Segoe UI" w:eastAsia="Times New Roman" w:hAnsi="Segoe UI" w:cs="Segoe UI"/>
                <w:b/>
                <w:bCs/>
                <w:color w:val="666666"/>
                <w:sz w:val="20"/>
                <w:szCs w:val="20"/>
              </w:rPr>
              <w:t xml:space="preserve"> $        1.12 </w:t>
            </w:r>
          </w:p>
        </w:tc>
        <w:tc>
          <w:tcPr>
            <w:tcW w:w="41" w:type="dxa"/>
            <w:tcBorders>
              <w:top w:val="nil"/>
              <w:left w:val="nil"/>
              <w:bottom w:val="nil"/>
              <w:right w:val="nil"/>
            </w:tcBorders>
            <w:shd w:val="clear" w:color="auto" w:fill="auto"/>
            <w:noWrap/>
            <w:vAlign w:val="bottom"/>
            <w:hideMark/>
          </w:tcPr>
          <w:p w14:paraId="277B8A61" w14:textId="77777777" w:rsidR="00FD69BE" w:rsidRPr="00FD69BE" w:rsidRDefault="00FD69BE" w:rsidP="00FD69BE">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49787A10" w14:textId="77777777" w:rsidR="00FD69BE" w:rsidRPr="00FD69BE" w:rsidRDefault="00FD69BE" w:rsidP="00FD69BE">
            <w:pPr>
              <w:spacing w:after="0" w:line="240" w:lineRule="auto"/>
              <w:jc w:val="right"/>
              <w:rPr>
                <w:rFonts w:ascii="Segoe UI" w:eastAsia="Times New Roman" w:hAnsi="Segoe UI" w:cs="Segoe UI"/>
                <w:color w:val="666666"/>
                <w:sz w:val="20"/>
                <w:szCs w:val="20"/>
              </w:rPr>
            </w:pPr>
            <w:r w:rsidRPr="00FD69BE">
              <w:rPr>
                <w:rFonts w:ascii="Segoe UI" w:eastAsia="Times New Roman" w:hAnsi="Segoe UI" w:cs="Segoe UI"/>
                <w:color w:val="666666"/>
                <w:sz w:val="20"/>
                <w:szCs w:val="20"/>
              </w:rPr>
              <w:t xml:space="preserve"> $    0.92 </w:t>
            </w:r>
          </w:p>
        </w:tc>
      </w:tr>
    </w:tbl>
    <w:p w14:paraId="3E71137F" w14:textId="0D80243E" w:rsidR="008A7AB3" w:rsidRDefault="008A7AB3">
      <w:pPr>
        <w:spacing w:after="160" w:line="259" w:lineRule="auto"/>
        <w:rPr>
          <w:rFonts w:ascii="Segoe UI" w:hAnsi="Segoe UI" w:cs="Segoe UI"/>
          <w:b/>
          <w:bCs/>
          <w:color w:val="FF0000"/>
          <w:sz w:val="20"/>
          <w:szCs w:val="20"/>
        </w:rPr>
      </w:pPr>
      <w:r>
        <w:rPr>
          <w:rFonts w:ascii="Segoe UI" w:hAnsi="Segoe UI" w:cs="Segoe UI"/>
          <w:b/>
          <w:bCs/>
          <w:color w:val="FF0000"/>
          <w:sz w:val="20"/>
          <w:szCs w:val="20"/>
        </w:rPr>
        <w:br w:type="page"/>
      </w:r>
    </w:p>
    <w:tbl>
      <w:tblPr>
        <w:tblW w:w="8260" w:type="dxa"/>
        <w:tblCellMar>
          <w:left w:w="0" w:type="dxa"/>
          <w:right w:w="0" w:type="dxa"/>
        </w:tblCellMar>
        <w:tblLook w:val="04A0" w:firstRow="1" w:lastRow="0" w:firstColumn="1" w:lastColumn="0" w:noHBand="0" w:noVBand="1"/>
      </w:tblPr>
      <w:tblGrid>
        <w:gridCol w:w="3722"/>
        <w:gridCol w:w="1092"/>
        <w:gridCol w:w="109"/>
        <w:gridCol w:w="1038"/>
        <w:gridCol w:w="185"/>
        <w:gridCol w:w="1097"/>
        <w:gridCol w:w="109"/>
        <w:gridCol w:w="1036"/>
      </w:tblGrid>
      <w:tr w:rsidR="007470C1" w:rsidRPr="007470C1" w14:paraId="6F8D6A82" w14:textId="77777777" w:rsidTr="007470C1">
        <w:trPr>
          <w:trHeight w:val="300"/>
        </w:trPr>
        <w:tc>
          <w:tcPr>
            <w:tcW w:w="8260" w:type="dxa"/>
            <w:gridSpan w:val="8"/>
            <w:tcBorders>
              <w:top w:val="nil"/>
              <w:left w:val="nil"/>
              <w:bottom w:val="nil"/>
              <w:right w:val="nil"/>
            </w:tcBorders>
            <w:shd w:val="clear" w:color="auto" w:fill="auto"/>
            <w:noWrap/>
            <w:vAlign w:val="bottom"/>
            <w:hideMark/>
          </w:tcPr>
          <w:p w14:paraId="79B9FF8B"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lastRenderedPageBreak/>
              <w:t>COMPREHENSIVE INCOME STATEMENTS</w:t>
            </w:r>
          </w:p>
        </w:tc>
      </w:tr>
      <w:tr w:rsidR="007470C1" w:rsidRPr="007470C1" w14:paraId="5A6DC29B" w14:textId="77777777" w:rsidTr="007470C1">
        <w:trPr>
          <w:trHeight w:val="300"/>
        </w:trPr>
        <w:tc>
          <w:tcPr>
            <w:tcW w:w="8260" w:type="dxa"/>
            <w:gridSpan w:val="8"/>
            <w:tcBorders>
              <w:top w:val="nil"/>
              <w:left w:val="nil"/>
              <w:bottom w:val="nil"/>
              <w:right w:val="nil"/>
            </w:tcBorders>
            <w:shd w:val="clear" w:color="auto" w:fill="auto"/>
            <w:noWrap/>
            <w:vAlign w:val="bottom"/>
            <w:hideMark/>
          </w:tcPr>
          <w:p w14:paraId="1F3BF68A"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(In millions)(Unaudited)</w:t>
            </w:r>
          </w:p>
        </w:tc>
      </w:tr>
      <w:tr w:rsidR="007470C1" w:rsidRPr="007470C1" w14:paraId="468576DD" w14:textId="77777777" w:rsidTr="007470C1">
        <w:trPr>
          <w:trHeight w:val="300"/>
        </w:trPr>
        <w:tc>
          <w:tcPr>
            <w:tcW w:w="3706" w:type="dxa"/>
            <w:tcBorders>
              <w:top w:val="nil"/>
              <w:left w:val="nil"/>
              <w:bottom w:val="nil"/>
              <w:right w:val="nil"/>
            </w:tcBorders>
            <w:shd w:val="clear" w:color="auto" w:fill="auto"/>
            <w:noWrap/>
            <w:vAlign w:val="bottom"/>
            <w:hideMark/>
          </w:tcPr>
          <w:p w14:paraId="3FCF902C"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p>
        </w:tc>
        <w:tc>
          <w:tcPr>
            <w:tcW w:w="1076" w:type="dxa"/>
            <w:tcBorders>
              <w:top w:val="nil"/>
              <w:left w:val="nil"/>
              <w:bottom w:val="nil"/>
              <w:right w:val="nil"/>
            </w:tcBorders>
            <w:shd w:val="clear" w:color="auto" w:fill="auto"/>
            <w:noWrap/>
            <w:vAlign w:val="bottom"/>
            <w:hideMark/>
          </w:tcPr>
          <w:p w14:paraId="18DAB5FD"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93" w:type="dxa"/>
            <w:tcBorders>
              <w:top w:val="nil"/>
              <w:left w:val="nil"/>
              <w:bottom w:val="nil"/>
              <w:right w:val="nil"/>
            </w:tcBorders>
            <w:shd w:val="clear" w:color="auto" w:fill="auto"/>
            <w:noWrap/>
            <w:vAlign w:val="bottom"/>
            <w:hideMark/>
          </w:tcPr>
          <w:p w14:paraId="198461C3"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1022" w:type="dxa"/>
            <w:tcBorders>
              <w:top w:val="nil"/>
              <w:left w:val="nil"/>
              <w:bottom w:val="nil"/>
              <w:right w:val="nil"/>
            </w:tcBorders>
            <w:shd w:val="clear" w:color="auto" w:fill="auto"/>
            <w:noWrap/>
            <w:vAlign w:val="bottom"/>
            <w:hideMark/>
          </w:tcPr>
          <w:p w14:paraId="06A727D2"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169" w:type="dxa"/>
            <w:tcBorders>
              <w:top w:val="nil"/>
              <w:left w:val="nil"/>
              <w:bottom w:val="nil"/>
              <w:right w:val="nil"/>
            </w:tcBorders>
            <w:shd w:val="clear" w:color="auto" w:fill="auto"/>
            <w:noWrap/>
            <w:vAlign w:val="bottom"/>
            <w:hideMark/>
          </w:tcPr>
          <w:p w14:paraId="55AF5CAF"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1081" w:type="dxa"/>
            <w:tcBorders>
              <w:top w:val="nil"/>
              <w:left w:val="nil"/>
              <w:bottom w:val="nil"/>
              <w:right w:val="nil"/>
            </w:tcBorders>
            <w:shd w:val="clear" w:color="auto" w:fill="auto"/>
            <w:noWrap/>
            <w:vAlign w:val="bottom"/>
            <w:hideMark/>
          </w:tcPr>
          <w:p w14:paraId="438384A9"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93" w:type="dxa"/>
            <w:tcBorders>
              <w:top w:val="nil"/>
              <w:left w:val="nil"/>
              <w:bottom w:val="nil"/>
              <w:right w:val="nil"/>
            </w:tcBorders>
            <w:shd w:val="clear" w:color="auto" w:fill="auto"/>
            <w:noWrap/>
            <w:vAlign w:val="bottom"/>
            <w:hideMark/>
          </w:tcPr>
          <w:p w14:paraId="27850E21"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367BCD73" w14:textId="77777777" w:rsidR="007470C1" w:rsidRPr="007470C1" w:rsidRDefault="007470C1" w:rsidP="007470C1">
            <w:pPr>
              <w:spacing w:after="0" w:line="240" w:lineRule="auto"/>
              <w:jc w:val="center"/>
              <w:rPr>
                <w:rFonts w:ascii="Times New Roman" w:eastAsia="Times New Roman" w:hAnsi="Times New Roman"/>
                <w:sz w:val="20"/>
                <w:szCs w:val="20"/>
              </w:rPr>
            </w:pPr>
          </w:p>
        </w:tc>
      </w:tr>
      <w:tr w:rsidR="007470C1" w:rsidRPr="007470C1" w14:paraId="22802C17" w14:textId="77777777" w:rsidTr="007470C1">
        <w:trPr>
          <w:trHeight w:val="300"/>
        </w:trPr>
        <w:tc>
          <w:tcPr>
            <w:tcW w:w="3706" w:type="dxa"/>
            <w:tcBorders>
              <w:top w:val="nil"/>
              <w:left w:val="nil"/>
              <w:bottom w:val="nil"/>
              <w:right w:val="nil"/>
            </w:tcBorders>
            <w:shd w:val="clear" w:color="auto" w:fill="auto"/>
            <w:noWrap/>
            <w:vAlign w:val="bottom"/>
            <w:hideMark/>
          </w:tcPr>
          <w:p w14:paraId="092DDE12"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2191" w:type="dxa"/>
            <w:gridSpan w:val="3"/>
            <w:vMerge w:val="restart"/>
            <w:tcBorders>
              <w:top w:val="nil"/>
              <w:left w:val="nil"/>
              <w:bottom w:val="nil"/>
              <w:right w:val="nil"/>
            </w:tcBorders>
            <w:shd w:val="clear" w:color="auto" w:fill="auto"/>
            <w:vAlign w:val="bottom"/>
            <w:hideMark/>
          </w:tcPr>
          <w:p w14:paraId="3FAD0D9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Three Months Ended June 30,</w:t>
            </w:r>
          </w:p>
        </w:tc>
        <w:tc>
          <w:tcPr>
            <w:tcW w:w="169" w:type="dxa"/>
            <w:tcBorders>
              <w:top w:val="nil"/>
              <w:left w:val="nil"/>
              <w:bottom w:val="nil"/>
              <w:right w:val="nil"/>
            </w:tcBorders>
            <w:shd w:val="clear" w:color="auto" w:fill="auto"/>
            <w:vAlign w:val="bottom"/>
            <w:hideMark/>
          </w:tcPr>
          <w:p w14:paraId="6CEF246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2194" w:type="dxa"/>
            <w:gridSpan w:val="3"/>
            <w:vMerge w:val="restart"/>
            <w:tcBorders>
              <w:top w:val="nil"/>
              <w:left w:val="nil"/>
              <w:bottom w:val="nil"/>
              <w:right w:val="nil"/>
            </w:tcBorders>
            <w:shd w:val="clear" w:color="auto" w:fill="auto"/>
            <w:vAlign w:val="bottom"/>
            <w:hideMark/>
          </w:tcPr>
          <w:p w14:paraId="2D549FB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Twelve Months Ended June 30,</w:t>
            </w:r>
          </w:p>
        </w:tc>
      </w:tr>
      <w:tr w:rsidR="007470C1" w:rsidRPr="007470C1" w14:paraId="35D21282" w14:textId="77777777" w:rsidTr="007470C1">
        <w:trPr>
          <w:trHeight w:val="300"/>
        </w:trPr>
        <w:tc>
          <w:tcPr>
            <w:tcW w:w="3706" w:type="dxa"/>
            <w:tcBorders>
              <w:top w:val="nil"/>
              <w:left w:val="nil"/>
              <w:bottom w:val="nil"/>
              <w:right w:val="nil"/>
            </w:tcBorders>
            <w:shd w:val="clear" w:color="auto" w:fill="auto"/>
            <w:noWrap/>
            <w:vAlign w:val="bottom"/>
            <w:hideMark/>
          </w:tcPr>
          <w:p w14:paraId="2A28247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2191" w:type="dxa"/>
            <w:gridSpan w:val="3"/>
            <w:vMerge/>
            <w:tcBorders>
              <w:top w:val="nil"/>
              <w:left w:val="nil"/>
              <w:bottom w:val="nil"/>
              <w:right w:val="nil"/>
            </w:tcBorders>
            <w:vAlign w:val="center"/>
            <w:hideMark/>
          </w:tcPr>
          <w:p w14:paraId="610B5586" w14:textId="77777777" w:rsidR="007470C1" w:rsidRPr="007470C1" w:rsidRDefault="007470C1" w:rsidP="007470C1">
            <w:pPr>
              <w:spacing w:after="0" w:line="240" w:lineRule="auto"/>
              <w:rPr>
                <w:rFonts w:ascii="Segoe UI" w:eastAsia="Times New Roman" w:hAnsi="Segoe UI" w:cs="Segoe UI"/>
                <w:b/>
                <w:bCs/>
                <w:color w:val="666666"/>
                <w:sz w:val="20"/>
                <w:szCs w:val="20"/>
              </w:rPr>
            </w:pPr>
          </w:p>
        </w:tc>
        <w:tc>
          <w:tcPr>
            <w:tcW w:w="169" w:type="dxa"/>
            <w:tcBorders>
              <w:top w:val="nil"/>
              <w:left w:val="nil"/>
              <w:bottom w:val="nil"/>
              <w:right w:val="nil"/>
            </w:tcBorders>
            <w:shd w:val="clear" w:color="auto" w:fill="auto"/>
            <w:vAlign w:val="bottom"/>
            <w:hideMark/>
          </w:tcPr>
          <w:p w14:paraId="0ADCD84A" w14:textId="77777777" w:rsidR="007470C1" w:rsidRPr="007470C1" w:rsidRDefault="007470C1" w:rsidP="007470C1">
            <w:pPr>
              <w:spacing w:after="0" w:line="240" w:lineRule="auto"/>
              <w:rPr>
                <w:rFonts w:ascii="Times New Roman" w:eastAsia="Times New Roman" w:hAnsi="Times New Roman"/>
                <w:sz w:val="20"/>
                <w:szCs w:val="20"/>
              </w:rPr>
            </w:pPr>
          </w:p>
        </w:tc>
        <w:tc>
          <w:tcPr>
            <w:tcW w:w="2194" w:type="dxa"/>
            <w:gridSpan w:val="3"/>
            <w:vMerge/>
            <w:tcBorders>
              <w:top w:val="nil"/>
              <w:left w:val="nil"/>
              <w:bottom w:val="nil"/>
              <w:right w:val="nil"/>
            </w:tcBorders>
            <w:vAlign w:val="center"/>
            <w:hideMark/>
          </w:tcPr>
          <w:p w14:paraId="556243DB" w14:textId="77777777" w:rsidR="007470C1" w:rsidRPr="007470C1" w:rsidRDefault="007470C1" w:rsidP="007470C1">
            <w:pPr>
              <w:spacing w:after="0" w:line="240" w:lineRule="auto"/>
              <w:rPr>
                <w:rFonts w:ascii="Segoe UI" w:eastAsia="Times New Roman" w:hAnsi="Segoe UI" w:cs="Segoe UI"/>
                <w:b/>
                <w:bCs/>
                <w:color w:val="666666"/>
                <w:sz w:val="20"/>
                <w:szCs w:val="20"/>
              </w:rPr>
            </w:pPr>
          </w:p>
        </w:tc>
      </w:tr>
      <w:tr w:rsidR="007470C1" w:rsidRPr="007470C1" w14:paraId="6ED5594D" w14:textId="77777777" w:rsidTr="007470C1">
        <w:trPr>
          <w:trHeight w:val="300"/>
        </w:trPr>
        <w:tc>
          <w:tcPr>
            <w:tcW w:w="3706" w:type="dxa"/>
            <w:tcBorders>
              <w:top w:val="nil"/>
              <w:left w:val="nil"/>
              <w:bottom w:val="single" w:sz="4" w:space="0" w:color="auto"/>
              <w:right w:val="nil"/>
            </w:tcBorders>
            <w:shd w:val="clear" w:color="auto" w:fill="auto"/>
            <w:noWrap/>
            <w:vAlign w:val="bottom"/>
            <w:hideMark/>
          </w:tcPr>
          <w:p w14:paraId="571CD8EC"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1076" w:type="dxa"/>
            <w:tcBorders>
              <w:top w:val="nil"/>
              <w:left w:val="nil"/>
              <w:bottom w:val="single" w:sz="4" w:space="0" w:color="auto"/>
              <w:right w:val="nil"/>
            </w:tcBorders>
            <w:shd w:val="clear" w:color="auto" w:fill="auto"/>
            <w:noWrap/>
            <w:vAlign w:val="bottom"/>
            <w:hideMark/>
          </w:tcPr>
          <w:p w14:paraId="08BAAB7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2014</w:t>
            </w:r>
          </w:p>
        </w:tc>
        <w:tc>
          <w:tcPr>
            <w:tcW w:w="93" w:type="dxa"/>
            <w:tcBorders>
              <w:top w:val="nil"/>
              <w:left w:val="nil"/>
              <w:bottom w:val="single" w:sz="4" w:space="0" w:color="auto"/>
              <w:right w:val="nil"/>
            </w:tcBorders>
            <w:shd w:val="clear" w:color="auto" w:fill="auto"/>
            <w:noWrap/>
            <w:vAlign w:val="bottom"/>
            <w:hideMark/>
          </w:tcPr>
          <w:p w14:paraId="7C50532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1022" w:type="dxa"/>
            <w:tcBorders>
              <w:top w:val="nil"/>
              <w:left w:val="nil"/>
              <w:bottom w:val="single" w:sz="4" w:space="0" w:color="auto"/>
              <w:right w:val="nil"/>
            </w:tcBorders>
            <w:shd w:val="clear" w:color="auto" w:fill="auto"/>
            <w:noWrap/>
            <w:vAlign w:val="bottom"/>
            <w:hideMark/>
          </w:tcPr>
          <w:p w14:paraId="30942E4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2013</w:t>
            </w:r>
          </w:p>
        </w:tc>
        <w:tc>
          <w:tcPr>
            <w:tcW w:w="169" w:type="dxa"/>
            <w:tcBorders>
              <w:top w:val="nil"/>
              <w:left w:val="nil"/>
              <w:bottom w:val="single" w:sz="4" w:space="0" w:color="auto"/>
              <w:right w:val="nil"/>
            </w:tcBorders>
            <w:shd w:val="clear" w:color="auto" w:fill="auto"/>
            <w:noWrap/>
            <w:vAlign w:val="bottom"/>
            <w:hideMark/>
          </w:tcPr>
          <w:p w14:paraId="3FC1467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1081" w:type="dxa"/>
            <w:tcBorders>
              <w:top w:val="nil"/>
              <w:left w:val="nil"/>
              <w:bottom w:val="single" w:sz="4" w:space="0" w:color="auto"/>
              <w:right w:val="nil"/>
            </w:tcBorders>
            <w:shd w:val="clear" w:color="auto" w:fill="auto"/>
            <w:noWrap/>
            <w:vAlign w:val="bottom"/>
            <w:hideMark/>
          </w:tcPr>
          <w:p w14:paraId="74B9452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2014</w:t>
            </w:r>
          </w:p>
        </w:tc>
        <w:tc>
          <w:tcPr>
            <w:tcW w:w="93" w:type="dxa"/>
            <w:tcBorders>
              <w:top w:val="nil"/>
              <w:left w:val="nil"/>
              <w:bottom w:val="single" w:sz="4" w:space="0" w:color="auto"/>
              <w:right w:val="nil"/>
            </w:tcBorders>
            <w:shd w:val="clear" w:color="auto" w:fill="auto"/>
            <w:noWrap/>
            <w:vAlign w:val="bottom"/>
            <w:hideMark/>
          </w:tcPr>
          <w:p w14:paraId="029EE80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1020" w:type="dxa"/>
            <w:tcBorders>
              <w:top w:val="nil"/>
              <w:left w:val="nil"/>
              <w:bottom w:val="single" w:sz="4" w:space="0" w:color="auto"/>
              <w:right w:val="nil"/>
            </w:tcBorders>
            <w:shd w:val="clear" w:color="auto" w:fill="auto"/>
            <w:noWrap/>
            <w:vAlign w:val="bottom"/>
            <w:hideMark/>
          </w:tcPr>
          <w:p w14:paraId="2537F59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2013</w:t>
            </w:r>
          </w:p>
        </w:tc>
      </w:tr>
      <w:tr w:rsidR="007470C1" w:rsidRPr="007470C1" w14:paraId="4862BA28" w14:textId="77777777" w:rsidTr="007470C1">
        <w:trPr>
          <w:trHeight w:val="300"/>
        </w:trPr>
        <w:tc>
          <w:tcPr>
            <w:tcW w:w="3706" w:type="dxa"/>
            <w:tcBorders>
              <w:top w:val="nil"/>
              <w:left w:val="nil"/>
              <w:bottom w:val="nil"/>
              <w:right w:val="nil"/>
            </w:tcBorders>
            <w:shd w:val="clear" w:color="auto" w:fill="auto"/>
            <w:noWrap/>
            <w:vAlign w:val="bottom"/>
            <w:hideMark/>
          </w:tcPr>
          <w:p w14:paraId="09CFDFB4"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Net income</w:t>
            </w:r>
          </w:p>
        </w:tc>
        <w:tc>
          <w:tcPr>
            <w:tcW w:w="1076" w:type="dxa"/>
            <w:tcBorders>
              <w:top w:val="nil"/>
              <w:left w:val="nil"/>
              <w:bottom w:val="nil"/>
              <w:right w:val="nil"/>
            </w:tcBorders>
            <w:shd w:val="clear" w:color="auto" w:fill="auto"/>
            <w:noWrap/>
            <w:vAlign w:val="bottom"/>
            <w:hideMark/>
          </w:tcPr>
          <w:p w14:paraId="06C5B24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4,612 </w:t>
            </w:r>
          </w:p>
        </w:tc>
        <w:tc>
          <w:tcPr>
            <w:tcW w:w="93" w:type="dxa"/>
            <w:tcBorders>
              <w:top w:val="nil"/>
              <w:left w:val="nil"/>
              <w:bottom w:val="nil"/>
              <w:right w:val="nil"/>
            </w:tcBorders>
            <w:shd w:val="clear" w:color="auto" w:fill="auto"/>
            <w:noWrap/>
            <w:vAlign w:val="bottom"/>
            <w:hideMark/>
          </w:tcPr>
          <w:p w14:paraId="6954A52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6F51C4A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     4,965 </w:t>
            </w:r>
          </w:p>
        </w:tc>
        <w:tc>
          <w:tcPr>
            <w:tcW w:w="169" w:type="dxa"/>
            <w:tcBorders>
              <w:top w:val="nil"/>
              <w:left w:val="nil"/>
              <w:bottom w:val="nil"/>
              <w:right w:val="nil"/>
            </w:tcBorders>
            <w:shd w:val="clear" w:color="auto" w:fill="auto"/>
            <w:noWrap/>
            <w:vAlign w:val="bottom"/>
            <w:hideMark/>
          </w:tcPr>
          <w:p w14:paraId="2EF3216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081" w:type="dxa"/>
            <w:tcBorders>
              <w:top w:val="nil"/>
              <w:left w:val="nil"/>
              <w:bottom w:val="nil"/>
              <w:right w:val="nil"/>
            </w:tcBorders>
            <w:shd w:val="clear" w:color="auto" w:fill="auto"/>
            <w:noWrap/>
            <w:vAlign w:val="bottom"/>
            <w:hideMark/>
          </w:tcPr>
          <w:p w14:paraId="405620C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22,074 </w:t>
            </w:r>
          </w:p>
        </w:tc>
        <w:tc>
          <w:tcPr>
            <w:tcW w:w="93" w:type="dxa"/>
            <w:tcBorders>
              <w:top w:val="nil"/>
              <w:left w:val="nil"/>
              <w:bottom w:val="nil"/>
              <w:right w:val="nil"/>
            </w:tcBorders>
            <w:shd w:val="clear" w:color="auto" w:fill="auto"/>
            <w:noWrap/>
            <w:vAlign w:val="bottom"/>
            <w:hideMark/>
          </w:tcPr>
          <w:p w14:paraId="43332A8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1CF399DF"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   21,863 </w:t>
            </w:r>
          </w:p>
        </w:tc>
      </w:tr>
      <w:tr w:rsidR="007470C1" w:rsidRPr="007470C1" w14:paraId="416B4706" w14:textId="77777777" w:rsidTr="007470C1">
        <w:trPr>
          <w:trHeight w:val="300"/>
        </w:trPr>
        <w:tc>
          <w:tcPr>
            <w:tcW w:w="3706" w:type="dxa"/>
            <w:tcBorders>
              <w:top w:val="nil"/>
              <w:left w:val="nil"/>
              <w:bottom w:val="nil"/>
              <w:right w:val="nil"/>
            </w:tcBorders>
            <w:shd w:val="clear" w:color="auto" w:fill="auto"/>
            <w:noWrap/>
            <w:vAlign w:val="bottom"/>
            <w:hideMark/>
          </w:tcPr>
          <w:p w14:paraId="0E8C6893"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Other comprehensive income (loss):</w:t>
            </w:r>
          </w:p>
        </w:tc>
        <w:tc>
          <w:tcPr>
            <w:tcW w:w="1076" w:type="dxa"/>
            <w:tcBorders>
              <w:top w:val="nil"/>
              <w:left w:val="nil"/>
              <w:bottom w:val="nil"/>
              <w:right w:val="nil"/>
            </w:tcBorders>
            <w:shd w:val="clear" w:color="auto" w:fill="auto"/>
            <w:noWrap/>
            <w:vAlign w:val="bottom"/>
            <w:hideMark/>
          </w:tcPr>
          <w:p w14:paraId="3B94934A" w14:textId="77777777" w:rsidR="007470C1" w:rsidRPr="007470C1" w:rsidRDefault="007470C1" w:rsidP="007470C1">
            <w:pPr>
              <w:spacing w:after="0" w:line="240" w:lineRule="auto"/>
              <w:rPr>
                <w:rFonts w:ascii="Segoe UI" w:eastAsia="Times New Roman" w:hAnsi="Segoe UI" w:cs="Segoe UI"/>
                <w:color w:val="666666"/>
                <w:sz w:val="20"/>
                <w:szCs w:val="20"/>
              </w:rPr>
            </w:pPr>
          </w:p>
        </w:tc>
        <w:tc>
          <w:tcPr>
            <w:tcW w:w="93" w:type="dxa"/>
            <w:tcBorders>
              <w:top w:val="nil"/>
              <w:left w:val="nil"/>
              <w:bottom w:val="nil"/>
              <w:right w:val="nil"/>
            </w:tcBorders>
            <w:shd w:val="clear" w:color="auto" w:fill="auto"/>
            <w:noWrap/>
            <w:vAlign w:val="bottom"/>
            <w:hideMark/>
          </w:tcPr>
          <w:p w14:paraId="4DE34716" w14:textId="77777777" w:rsidR="007470C1" w:rsidRPr="007470C1" w:rsidRDefault="007470C1" w:rsidP="007470C1">
            <w:pPr>
              <w:spacing w:after="0" w:line="240" w:lineRule="auto"/>
              <w:rPr>
                <w:rFonts w:ascii="Times New Roman" w:eastAsia="Times New Roman" w:hAnsi="Times New Roman"/>
                <w:sz w:val="20"/>
                <w:szCs w:val="20"/>
              </w:rPr>
            </w:pPr>
          </w:p>
        </w:tc>
        <w:tc>
          <w:tcPr>
            <w:tcW w:w="1022" w:type="dxa"/>
            <w:tcBorders>
              <w:top w:val="nil"/>
              <w:left w:val="nil"/>
              <w:bottom w:val="nil"/>
              <w:right w:val="nil"/>
            </w:tcBorders>
            <w:shd w:val="clear" w:color="auto" w:fill="auto"/>
            <w:noWrap/>
            <w:vAlign w:val="bottom"/>
            <w:hideMark/>
          </w:tcPr>
          <w:p w14:paraId="232B0297"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169" w:type="dxa"/>
            <w:tcBorders>
              <w:top w:val="nil"/>
              <w:left w:val="nil"/>
              <w:bottom w:val="nil"/>
              <w:right w:val="nil"/>
            </w:tcBorders>
            <w:shd w:val="clear" w:color="auto" w:fill="auto"/>
            <w:noWrap/>
            <w:vAlign w:val="bottom"/>
            <w:hideMark/>
          </w:tcPr>
          <w:p w14:paraId="440F2E67" w14:textId="77777777" w:rsidR="007470C1" w:rsidRPr="007470C1" w:rsidRDefault="007470C1" w:rsidP="007470C1">
            <w:pPr>
              <w:spacing w:after="0" w:line="240" w:lineRule="auto"/>
              <w:rPr>
                <w:rFonts w:ascii="Times New Roman" w:eastAsia="Times New Roman" w:hAnsi="Times New Roman"/>
                <w:sz w:val="20"/>
                <w:szCs w:val="20"/>
              </w:rPr>
            </w:pPr>
          </w:p>
        </w:tc>
        <w:tc>
          <w:tcPr>
            <w:tcW w:w="1081" w:type="dxa"/>
            <w:tcBorders>
              <w:top w:val="nil"/>
              <w:left w:val="nil"/>
              <w:bottom w:val="nil"/>
              <w:right w:val="nil"/>
            </w:tcBorders>
            <w:shd w:val="clear" w:color="auto" w:fill="auto"/>
            <w:noWrap/>
            <w:vAlign w:val="bottom"/>
            <w:hideMark/>
          </w:tcPr>
          <w:p w14:paraId="1573ED34"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93" w:type="dxa"/>
            <w:tcBorders>
              <w:top w:val="nil"/>
              <w:left w:val="nil"/>
              <w:bottom w:val="nil"/>
              <w:right w:val="nil"/>
            </w:tcBorders>
            <w:shd w:val="clear" w:color="auto" w:fill="auto"/>
            <w:noWrap/>
            <w:vAlign w:val="bottom"/>
            <w:hideMark/>
          </w:tcPr>
          <w:p w14:paraId="1B5F97D2"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3D50020B" w14:textId="77777777" w:rsidR="007470C1" w:rsidRPr="007470C1" w:rsidRDefault="007470C1" w:rsidP="007470C1">
            <w:pPr>
              <w:spacing w:after="0" w:line="240" w:lineRule="auto"/>
              <w:jc w:val="right"/>
              <w:rPr>
                <w:rFonts w:ascii="Times New Roman" w:eastAsia="Times New Roman" w:hAnsi="Times New Roman"/>
                <w:sz w:val="20"/>
                <w:szCs w:val="20"/>
              </w:rPr>
            </w:pPr>
          </w:p>
        </w:tc>
      </w:tr>
      <w:tr w:rsidR="007470C1" w:rsidRPr="007470C1" w14:paraId="69CDCC53" w14:textId="77777777" w:rsidTr="007470C1">
        <w:trPr>
          <w:trHeight w:val="1140"/>
        </w:trPr>
        <w:tc>
          <w:tcPr>
            <w:tcW w:w="3706" w:type="dxa"/>
            <w:tcBorders>
              <w:top w:val="nil"/>
              <w:left w:val="nil"/>
              <w:bottom w:val="nil"/>
              <w:right w:val="nil"/>
            </w:tcBorders>
            <w:shd w:val="clear" w:color="auto" w:fill="auto"/>
            <w:vAlign w:val="bottom"/>
            <w:hideMark/>
          </w:tcPr>
          <w:p w14:paraId="4B9081A7" w14:textId="69298124" w:rsidR="007470C1" w:rsidRPr="007470C1" w:rsidRDefault="007470C1" w:rsidP="003A6656">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Net unrealized losses on </w:t>
            </w:r>
            <w:r w:rsidRPr="007470C1">
              <w:rPr>
                <w:rFonts w:ascii="Segoe UI" w:eastAsia="Times New Roman" w:hAnsi="Segoe UI" w:cs="Segoe UI"/>
                <w:color w:val="666666"/>
                <w:sz w:val="20"/>
                <w:szCs w:val="20"/>
              </w:rPr>
              <w:br/>
              <w:t xml:space="preserve">      derivatives (net of tax effects </w:t>
            </w:r>
            <w:r w:rsidRPr="007470C1">
              <w:rPr>
                <w:rFonts w:ascii="Segoe UI" w:eastAsia="Times New Roman" w:hAnsi="Segoe UI" w:cs="Segoe UI"/>
                <w:color w:val="666666"/>
                <w:sz w:val="20"/>
                <w:szCs w:val="20"/>
              </w:rPr>
              <w:br/>
              <w:t xml:space="preserve">      of </w:t>
            </w:r>
            <w:r w:rsidRPr="007470C1">
              <w:rPr>
                <w:rFonts w:ascii="Segoe UI" w:eastAsia="Times New Roman" w:hAnsi="Segoe UI" w:cs="Segoe UI"/>
                <w:b/>
                <w:bCs/>
                <w:color w:val="666666"/>
                <w:sz w:val="20"/>
                <w:szCs w:val="20"/>
              </w:rPr>
              <w:t>$(3)</w:t>
            </w:r>
            <w:r w:rsidRPr="007470C1">
              <w:rPr>
                <w:rFonts w:ascii="Segoe UI" w:eastAsia="Times New Roman" w:hAnsi="Segoe UI" w:cs="Segoe UI"/>
                <w:color w:val="666666"/>
                <w:sz w:val="20"/>
                <w:szCs w:val="20"/>
              </w:rPr>
              <w:t xml:space="preserve">, $(4), </w:t>
            </w:r>
            <w:r w:rsidRPr="007470C1">
              <w:rPr>
                <w:rFonts w:ascii="Segoe UI" w:eastAsia="Times New Roman" w:hAnsi="Segoe UI" w:cs="Segoe UI"/>
                <w:b/>
                <w:bCs/>
                <w:color w:val="666666"/>
                <w:sz w:val="20"/>
                <w:szCs w:val="20"/>
              </w:rPr>
              <w:t>$(4)</w:t>
            </w:r>
            <w:r w:rsidRPr="007470C1">
              <w:rPr>
                <w:rFonts w:ascii="Segoe UI" w:eastAsia="Times New Roman" w:hAnsi="Segoe UI" w:cs="Segoe UI"/>
                <w:color w:val="666666"/>
                <w:sz w:val="20"/>
                <w:szCs w:val="20"/>
              </w:rPr>
              <w:t xml:space="preserve">, </w:t>
            </w:r>
            <w:r w:rsidRPr="007470C1">
              <w:rPr>
                <w:rFonts w:ascii="Segoe UI" w:eastAsia="Times New Roman" w:hAnsi="Segoe UI" w:cs="Segoe UI"/>
                <w:color w:val="666666"/>
                <w:sz w:val="20"/>
                <w:szCs w:val="20"/>
              </w:rPr>
              <w:br/>
              <w:t xml:space="preserve">      and $(14))</w:t>
            </w:r>
          </w:p>
        </w:tc>
        <w:tc>
          <w:tcPr>
            <w:tcW w:w="1076" w:type="dxa"/>
            <w:tcBorders>
              <w:top w:val="nil"/>
              <w:left w:val="nil"/>
              <w:bottom w:val="nil"/>
              <w:right w:val="nil"/>
            </w:tcBorders>
            <w:shd w:val="clear" w:color="auto" w:fill="auto"/>
            <w:noWrap/>
            <w:vAlign w:val="bottom"/>
            <w:hideMark/>
          </w:tcPr>
          <w:p w14:paraId="01CAC0A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(21)</w:t>
            </w:r>
          </w:p>
        </w:tc>
        <w:tc>
          <w:tcPr>
            <w:tcW w:w="93" w:type="dxa"/>
            <w:tcBorders>
              <w:top w:val="nil"/>
              <w:left w:val="nil"/>
              <w:bottom w:val="nil"/>
              <w:right w:val="nil"/>
            </w:tcBorders>
            <w:shd w:val="clear" w:color="auto" w:fill="auto"/>
            <w:noWrap/>
            <w:vAlign w:val="bottom"/>
            <w:hideMark/>
          </w:tcPr>
          <w:p w14:paraId="5A4DB07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7177B15A"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(7)</w:t>
            </w:r>
          </w:p>
        </w:tc>
        <w:tc>
          <w:tcPr>
            <w:tcW w:w="169" w:type="dxa"/>
            <w:tcBorders>
              <w:top w:val="nil"/>
              <w:left w:val="nil"/>
              <w:bottom w:val="nil"/>
              <w:right w:val="nil"/>
            </w:tcBorders>
            <w:shd w:val="clear" w:color="auto" w:fill="auto"/>
            <w:noWrap/>
            <w:vAlign w:val="bottom"/>
            <w:hideMark/>
          </w:tcPr>
          <w:p w14:paraId="17DBBEA9"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081" w:type="dxa"/>
            <w:tcBorders>
              <w:top w:val="nil"/>
              <w:left w:val="nil"/>
              <w:bottom w:val="nil"/>
              <w:right w:val="nil"/>
            </w:tcBorders>
            <w:shd w:val="clear" w:color="auto" w:fill="auto"/>
            <w:noWrap/>
            <w:vAlign w:val="bottom"/>
            <w:hideMark/>
          </w:tcPr>
          <w:p w14:paraId="642E21B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(35)</w:t>
            </w:r>
          </w:p>
        </w:tc>
        <w:tc>
          <w:tcPr>
            <w:tcW w:w="93" w:type="dxa"/>
            <w:tcBorders>
              <w:top w:val="nil"/>
              <w:left w:val="nil"/>
              <w:bottom w:val="nil"/>
              <w:right w:val="nil"/>
            </w:tcBorders>
            <w:shd w:val="clear" w:color="auto" w:fill="auto"/>
            <w:noWrap/>
            <w:vAlign w:val="bottom"/>
            <w:hideMark/>
          </w:tcPr>
          <w:p w14:paraId="58CFB4B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33554892"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(26)</w:t>
            </w:r>
          </w:p>
        </w:tc>
      </w:tr>
      <w:tr w:rsidR="007470C1" w:rsidRPr="007470C1" w14:paraId="40AAB3EB" w14:textId="77777777" w:rsidTr="007470C1">
        <w:trPr>
          <w:trHeight w:val="1140"/>
        </w:trPr>
        <w:tc>
          <w:tcPr>
            <w:tcW w:w="3706" w:type="dxa"/>
            <w:tcBorders>
              <w:top w:val="nil"/>
              <w:left w:val="nil"/>
              <w:bottom w:val="nil"/>
              <w:right w:val="nil"/>
            </w:tcBorders>
            <w:shd w:val="clear" w:color="auto" w:fill="auto"/>
            <w:vAlign w:val="bottom"/>
            <w:hideMark/>
          </w:tcPr>
          <w:p w14:paraId="17246A57"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Net unrealized gains (losses) on </w:t>
            </w:r>
            <w:r w:rsidRPr="007470C1">
              <w:rPr>
                <w:rFonts w:ascii="Segoe UI" w:eastAsia="Times New Roman" w:hAnsi="Segoe UI" w:cs="Segoe UI"/>
                <w:color w:val="666666"/>
                <w:sz w:val="20"/>
                <w:szCs w:val="20"/>
              </w:rPr>
              <w:br/>
              <w:t xml:space="preserve">      investments (net of tax </w:t>
            </w:r>
            <w:r w:rsidRPr="007470C1">
              <w:rPr>
                <w:rFonts w:ascii="Segoe UI" w:eastAsia="Times New Roman" w:hAnsi="Segoe UI" w:cs="Segoe UI"/>
                <w:color w:val="666666"/>
                <w:sz w:val="20"/>
                <w:szCs w:val="20"/>
              </w:rPr>
              <w:br/>
              <w:t xml:space="preserve">      effects of </w:t>
            </w:r>
            <w:r w:rsidRPr="007470C1">
              <w:rPr>
                <w:rFonts w:ascii="Segoe UI" w:eastAsia="Times New Roman" w:hAnsi="Segoe UI" w:cs="Segoe UI"/>
                <w:b/>
                <w:bCs/>
                <w:color w:val="666666"/>
                <w:sz w:val="20"/>
                <w:szCs w:val="20"/>
              </w:rPr>
              <w:t>$162</w:t>
            </w:r>
            <w:r w:rsidRPr="007470C1">
              <w:rPr>
                <w:rFonts w:ascii="Segoe UI" w:eastAsia="Times New Roman" w:hAnsi="Segoe UI" w:cs="Segoe UI"/>
                <w:color w:val="666666"/>
                <w:sz w:val="20"/>
                <w:szCs w:val="20"/>
              </w:rPr>
              <w:t xml:space="preserve">, $(206), </w:t>
            </w:r>
            <w:r w:rsidRPr="007470C1">
              <w:rPr>
                <w:rFonts w:ascii="Segoe UI" w:eastAsia="Times New Roman" w:hAnsi="Segoe UI" w:cs="Segoe UI"/>
                <w:color w:val="666666"/>
                <w:sz w:val="20"/>
                <w:szCs w:val="20"/>
              </w:rPr>
              <w:br/>
              <w:t xml:space="preserve">      </w:t>
            </w:r>
            <w:r w:rsidRPr="007470C1">
              <w:rPr>
                <w:rFonts w:ascii="Segoe UI" w:eastAsia="Times New Roman" w:hAnsi="Segoe UI" w:cs="Segoe UI"/>
                <w:b/>
                <w:bCs/>
                <w:color w:val="666666"/>
                <w:sz w:val="20"/>
                <w:szCs w:val="20"/>
              </w:rPr>
              <w:t>$936</w:t>
            </w:r>
            <w:r w:rsidRPr="007470C1">
              <w:rPr>
                <w:rFonts w:ascii="Segoe UI" w:eastAsia="Times New Roman" w:hAnsi="Segoe UI" w:cs="Segoe UI"/>
                <w:color w:val="666666"/>
                <w:sz w:val="20"/>
                <w:szCs w:val="20"/>
              </w:rPr>
              <w:t>, and $195)</w:t>
            </w:r>
          </w:p>
        </w:tc>
        <w:tc>
          <w:tcPr>
            <w:tcW w:w="1076" w:type="dxa"/>
            <w:tcBorders>
              <w:top w:val="nil"/>
              <w:left w:val="nil"/>
              <w:bottom w:val="nil"/>
              <w:right w:val="nil"/>
            </w:tcBorders>
            <w:shd w:val="clear" w:color="auto" w:fill="auto"/>
            <w:noWrap/>
            <w:vAlign w:val="bottom"/>
            <w:hideMark/>
          </w:tcPr>
          <w:p w14:paraId="6B104B7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235 </w:t>
            </w:r>
          </w:p>
        </w:tc>
        <w:tc>
          <w:tcPr>
            <w:tcW w:w="93" w:type="dxa"/>
            <w:tcBorders>
              <w:top w:val="nil"/>
              <w:left w:val="nil"/>
              <w:bottom w:val="nil"/>
              <w:right w:val="nil"/>
            </w:tcBorders>
            <w:shd w:val="clear" w:color="auto" w:fill="auto"/>
            <w:noWrap/>
            <w:vAlign w:val="bottom"/>
            <w:hideMark/>
          </w:tcPr>
          <w:p w14:paraId="6B2B24F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nil"/>
              <w:right w:val="nil"/>
            </w:tcBorders>
            <w:shd w:val="clear" w:color="auto" w:fill="auto"/>
            <w:noWrap/>
            <w:vAlign w:val="bottom"/>
            <w:hideMark/>
          </w:tcPr>
          <w:p w14:paraId="7135D565"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(381)</w:t>
            </w:r>
          </w:p>
        </w:tc>
        <w:tc>
          <w:tcPr>
            <w:tcW w:w="169" w:type="dxa"/>
            <w:tcBorders>
              <w:top w:val="nil"/>
              <w:left w:val="nil"/>
              <w:bottom w:val="nil"/>
              <w:right w:val="nil"/>
            </w:tcBorders>
            <w:shd w:val="clear" w:color="auto" w:fill="auto"/>
            <w:noWrap/>
            <w:vAlign w:val="bottom"/>
            <w:hideMark/>
          </w:tcPr>
          <w:p w14:paraId="3948706A"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081" w:type="dxa"/>
            <w:tcBorders>
              <w:top w:val="nil"/>
              <w:left w:val="nil"/>
              <w:bottom w:val="nil"/>
              <w:right w:val="nil"/>
            </w:tcBorders>
            <w:shd w:val="clear" w:color="auto" w:fill="auto"/>
            <w:noWrap/>
            <w:vAlign w:val="bottom"/>
            <w:hideMark/>
          </w:tcPr>
          <w:p w14:paraId="2B0D5B9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1,737 </w:t>
            </w:r>
          </w:p>
        </w:tc>
        <w:tc>
          <w:tcPr>
            <w:tcW w:w="93" w:type="dxa"/>
            <w:tcBorders>
              <w:top w:val="nil"/>
              <w:left w:val="nil"/>
              <w:bottom w:val="nil"/>
              <w:right w:val="nil"/>
            </w:tcBorders>
            <w:shd w:val="clear" w:color="auto" w:fill="auto"/>
            <w:noWrap/>
            <w:vAlign w:val="bottom"/>
            <w:hideMark/>
          </w:tcPr>
          <w:p w14:paraId="3A7E80F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2226AC3F"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363 </w:t>
            </w:r>
          </w:p>
        </w:tc>
      </w:tr>
      <w:tr w:rsidR="007470C1" w:rsidRPr="007470C1" w14:paraId="3D0C1575" w14:textId="77777777" w:rsidTr="007470C1">
        <w:trPr>
          <w:trHeight w:val="1140"/>
        </w:trPr>
        <w:tc>
          <w:tcPr>
            <w:tcW w:w="3706" w:type="dxa"/>
            <w:tcBorders>
              <w:top w:val="nil"/>
              <w:left w:val="nil"/>
              <w:bottom w:val="single" w:sz="4" w:space="0" w:color="auto"/>
              <w:right w:val="nil"/>
            </w:tcBorders>
            <w:shd w:val="clear" w:color="auto" w:fill="auto"/>
            <w:vAlign w:val="bottom"/>
            <w:hideMark/>
          </w:tcPr>
          <w:p w14:paraId="6FC51FB3"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Translation adjustments and </w:t>
            </w:r>
            <w:r w:rsidRPr="007470C1">
              <w:rPr>
                <w:rFonts w:ascii="Segoe UI" w:eastAsia="Times New Roman" w:hAnsi="Segoe UI" w:cs="Segoe UI"/>
                <w:color w:val="666666"/>
                <w:sz w:val="20"/>
                <w:szCs w:val="20"/>
              </w:rPr>
              <w:br/>
              <w:t xml:space="preserve">      other (net of tax effects </w:t>
            </w:r>
            <w:r w:rsidRPr="007470C1">
              <w:rPr>
                <w:rFonts w:ascii="Segoe UI" w:eastAsia="Times New Roman" w:hAnsi="Segoe UI" w:cs="Segoe UI"/>
                <w:color w:val="666666"/>
                <w:sz w:val="20"/>
                <w:szCs w:val="20"/>
              </w:rPr>
              <w:br/>
              <w:t xml:space="preserve">      of </w:t>
            </w:r>
            <w:r w:rsidRPr="007470C1">
              <w:rPr>
                <w:rFonts w:ascii="Segoe UI" w:eastAsia="Times New Roman" w:hAnsi="Segoe UI" w:cs="Segoe UI"/>
                <w:b/>
                <w:bCs/>
                <w:color w:val="666666"/>
                <w:sz w:val="20"/>
                <w:szCs w:val="20"/>
              </w:rPr>
              <w:t>$(41)</w:t>
            </w:r>
            <w:r w:rsidRPr="007470C1">
              <w:rPr>
                <w:rFonts w:ascii="Segoe UI" w:eastAsia="Times New Roman" w:hAnsi="Segoe UI" w:cs="Segoe UI"/>
                <w:color w:val="666666"/>
                <w:sz w:val="20"/>
                <w:szCs w:val="20"/>
              </w:rPr>
              <w:t xml:space="preserve">, $(40), </w:t>
            </w:r>
            <w:r w:rsidRPr="007470C1">
              <w:rPr>
                <w:rFonts w:ascii="Segoe UI" w:eastAsia="Times New Roman" w:hAnsi="Segoe UI" w:cs="Segoe UI"/>
                <w:b/>
                <w:bCs/>
                <w:color w:val="666666"/>
                <w:sz w:val="20"/>
                <w:szCs w:val="20"/>
              </w:rPr>
              <w:t>$12</w:t>
            </w:r>
            <w:r w:rsidRPr="007470C1">
              <w:rPr>
                <w:rFonts w:ascii="Segoe UI" w:eastAsia="Times New Roman" w:hAnsi="Segoe UI" w:cs="Segoe UI"/>
                <w:color w:val="666666"/>
                <w:sz w:val="20"/>
                <w:szCs w:val="20"/>
              </w:rPr>
              <w:t xml:space="preserve">, </w:t>
            </w:r>
            <w:r w:rsidRPr="007470C1">
              <w:rPr>
                <w:rFonts w:ascii="Segoe UI" w:eastAsia="Times New Roman" w:hAnsi="Segoe UI" w:cs="Segoe UI"/>
                <w:color w:val="666666"/>
                <w:sz w:val="20"/>
                <w:szCs w:val="20"/>
              </w:rPr>
              <w:br/>
              <w:t xml:space="preserve">      and $(8))</w:t>
            </w:r>
          </w:p>
        </w:tc>
        <w:tc>
          <w:tcPr>
            <w:tcW w:w="1076" w:type="dxa"/>
            <w:tcBorders>
              <w:top w:val="nil"/>
              <w:left w:val="nil"/>
              <w:bottom w:val="single" w:sz="4" w:space="0" w:color="auto"/>
              <w:right w:val="nil"/>
            </w:tcBorders>
            <w:shd w:val="clear" w:color="auto" w:fill="auto"/>
            <w:noWrap/>
            <w:vAlign w:val="bottom"/>
            <w:hideMark/>
          </w:tcPr>
          <w:p w14:paraId="785E145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162 </w:t>
            </w:r>
          </w:p>
        </w:tc>
        <w:tc>
          <w:tcPr>
            <w:tcW w:w="93" w:type="dxa"/>
            <w:tcBorders>
              <w:top w:val="nil"/>
              <w:left w:val="nil"/>
              <w:bottom w:val="nil"/>
              <w:right w:val="nil"/>
            </w:tcBorders>
            <w:shd w:val="clear" w:color="auto" w:fill="auto"/>
            <w:noWrap/>
            <w:vAlign w:val="bottom"/>
            <w:hideMark/>
          </w:tcPr>
          <w:p w14:paraId="4C3FCA7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single" w:sz="4" w:space="0" w:color="auto"/>
              <w:right w:val="nil"/>
            </w:tcBorders>
            <w:shd w:val="clear" w:color="auto" w:fill="auto"/>
            <w:noWrap/>
            <w:vAlign w:val="bottom"/>
            <w:hideMark/>
          </w:tcPr>
          <w:p w14:paraId="4647F8BF"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(74)</w:t>
            </w:r>
          </w:p>
        </w:tc>
        <w:tc>
          <w:tcPr>
            <w:tcW w:w="169" w:type="dxa"/>
            <w:tcBorders>
              <w:top w:val="nil"/>
              <w:left w:val="nil"/>
              <w:bottom w:val="nil"/>
              <w:right w:val="nil"/>
            </w:tcBorders>
            <w:shd w:val="clear" w:color="auto" w:fill="auto"/>
            <w:noWrap/>
            <w:vAlign w:val="bottom"/>
            <w:hideMark/>
          </w:tcPr>
          <w:p w14:paraId="521EA15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081" w:type="dxa"/>
            <w:tcBorders>
              <w:top w:val="nil"/>
              <w:left w:val="nil"/>
              <w:bottom w:val="single" w:sz="4" w:space="0" w:color="auto"/>
              <w:right w:val="nil"/>
            </w:tcBorders>
            <w:shd w:val="clear" w:color="auto" w:fill="auto"/>
            <w:noWrap/>
            <w:vAlign w:val="bottom"/>
            <w:hideMark/>
          </w:tcPr>
          <w:p w14:paraId="7C2033E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263 </w:t>
            </w:r>
          </w:p>
        </w:tc>
        <w:tc>
          <w:tcPr>
            <w:tcW w:w="93" w:type="dxa"/>
            <w:tcBorders>
              <w:top w:val="nil"/>
              <w:left w:val="nil"/>
              <w:bottom w:val="nil"/>
              <w:right w:val="nil"/>
            </w:tcBorders>
            <w:shd w:val="clear" w:color="auto" w:fill="auto"/>
            <w:noWrap/>
            <w:vAlign w:val="bottom"/>
            <w:hideMark/>
          </w:tcPr>
          <w:p w14:paraId="7A7553E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single" w:sz="4" w:space="0" w:color="auto"/>
              <w:right w:val="nil"/>
            </w:tcBorders>
            <w:shd w:val="clear" w:color="auto" w:fill="auto"/>
            <w:noWrap/>
            <w:vAlign w:val="bottom"/>
            <w:hideMark/>
          </w:tcPr>
          <w:p w14:paraId="0220BD55"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(16)</w:t>
            </w:r>
          </w:p>
        </w:tc>
      </w:tr>
      <w:tr w:rsidR="007470C1" w:rsidRPr="007470C1" w14:paraId="146BAF0F" w14:textId="77777777" w:rsidTr="007470C1">
        <w:trPr>
          <w:trHeight w:val="300"/>
        </w:trPr>
        <w:tc>
          <w:tcPr>
            <w:tcW w:w="3706" w:type="dxa"/>
            <w:tcBorders>
              <w:top w:val="nil"/>
              <w:left w:val="nil"/>
              <w:bottom w:val="single" w:sz="4" w:space="0" w:color="auto"/>
              <w:right w:val="nil"/>
            </w:tcBorders>
            <w:shd w:val="clear" w:color="auto" w:fill="auto"/>
            <w:vAlign w:val="bottom"/>
            <w:hideMark/>
          </w:tcPr>
          <w:p w14:paraId="13A01076"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Other comprehensive income (loss)</w:t>
            </w:r>
          </w:p>
        </w:tc>
        <w:tc>
          <w:tcPr>
            <w:tcW w:w="1076" w:type="dxa"/>
            <w:tcBorders>
              <w:top w:val="nil"/>
              <w:left w:val="nil"/>
              <w:bottom w:val="single" w:sz="4" w:space="0" w:color="auto"/>
              <w:right w:val="nil"/>
            </w:tcBorders>
            <w:shd w:val="clear" w:color="auto" w:fill="auto"/>
            <w:noWrap/>
            <w:vAlign w:val="bottom"/>
            <w:hideMark/>
          </w:tcPr>
          <w:p w14:paraId="7EA4390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376 </w:t>
            </w:r>
          </w:p>
        </w:tc>
        <w:tc>
          <w:tcPr>
            <w:tcW w:w="93" w:type="dxa"/>
            <w:tcBorders>
              <w:top w:val="nil"/>
              <w:left w:val="nil"/>
              <w:bottom w:val="nil"/>
              <w:right w:val="nil"/>
            </w:tcBorders>
            <w:shd w:val="clear" w:color="auto" w:fill="auto"/>
            <w:noWrap/>
            <w:vAlign w:val="bottom"/>
            <w:hideMark/>
          </w:tcPr>
          <w:p w14:paraId="7D2C002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022" w:type="dxa"/>
            <w:tcBorders>
              <w:top w:val="nil"/>
              <w:left w:val="nil"/>
              <w:bottom w:val="single" w:sz="4" w:space="0" w:color="auto"/>
              <w:right w:val="nil"/>
            </w:tcBorders>
            <w:shd w:val="clear" w:color="auto" w:fill="auto"/>
            <w:noWrap/>
            <w:vAlign w:val="bottom"/>
            <w:hideMark/>
          </w:tcPr>
          <w:p w14:paraId="1C0DDC5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(462)</w:t>
            </w:r>
          </w:p>
        </w:tc>
        <w:tc>
          <w:tcPr>
            <w:tcW w:w="169" w:type="dxa"/>
            <w:tcBorders>
              <w:top w:val="nil"/>
              <w:left w:val="nil"/>
              <w:bottom w:val="nil"/>
              <w:right w:val="nil"/>
            </w:tcBorders>
            <w:shd w:val="clear" w:color="auto" w:fill="auto"/>
            <w:noWrap/>
            <w:vAlign w:val="bottom"/>
            <w:hideMark/>
          </w:tcPr>
          <w:p w14:paraId="5AC9B94F"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081" w:type="dxa"/>
            <w:tcBorders>
              <w:top w:val="nil"/>
              <w:left w:val="nil"/>
              <w:bottom w:val="single" w:sz="4" w:space="0" w:color="auto"/>
              <w:right w:val="nil"/>
            </w:tcBorders>
            <w:shd w:val="clear" w:color="auto" w:fill="auto"/>
            <w:noWrap/>
            <w:vAlign w:val="bottom"/>
            <w:hideMark/>
          </w:tcPr>
          <w:p w14:paraId="07D6FA2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1,965 </w:t>
            </w:r>
          </w:p>
        </w:tc>
        <w:tc>
          <w:tcPr>
            <w:tcW w:w="93" w:type="dxa"/>
            <w:tcBorders>
              <w:top w:val="nil"/>
              <w:left w:val="nil"/>
              <w:bottom w:val="nil"/>
              <w:right w:val="nil"/>
            </w:tcBorders>
            <w:shd w:val="clear" w:color="auto" w:fill="auto"/>
            <w:noWrap/>
            <w:vAlign w:val="bottom"/>
            <w:hideMark/>
          </w:tcPr>
          <w:p w14:paraId="5D472D3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single" w:sz="4" w:space="0" w:color="auto"/>
              <w:right w:val="nil"/>
            </w:tcBorders>
            <w:shd w:val="clear" w:color="auto" w:fill="auto"/>
            <w:noWrap/>
            <w:vAlign w:val="bottom"/>
            <w:hideMark/>
          </w:tcPr>
          <w:p w14:paraId="0E9F6829"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321 </w:t>
            </w:r>
          </w:p>
        </w:tc>
      </w:tr>
      <w:tr w:rsidR="007470C1" w:rsidRPr="007470C1" w14:paraId="34658342" w14:textId="77777777" w:rsidTr="007470C1">
        <w:trPr>
          <w:trHeight w:val="315"/>
        </w:trPr>
        <w:tc>
          <w:tcPr>
            <w:tcW w:w="3706" w:type="dxa"/>
            <w:tcBorders>
              <w:top w:val="nil"/>
              <w:left w:val="nil"/>
              <w:bottom w:val="nil"/>
              <w:right w:val="nil"/>
            </w:tcBorders>
            <w:shd w:val="clear" w:color="auto" w:fill="auto"/>
            <w:noWrap/>
            <w:vAlign w:val="bottom"/>
            <w:hideMark/>
          </w:tcPr>
          <w:p w14:paraId="022794D7"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Comprehensive income</w:t>
            </w:r>
          </w:p>
        </w:tc>
        <w:tc>
          <w:tcPr>
            <w:tcW w:w="1076" w:type="dxa"/>
            <w:tcBorders>
              <w:top w:val="single" w:sz="4" w:space="0" w:color="auto"/>
              <w:left w:val="nil"/>
              <w:bottom w:val="single" w:sz="8" w:space="0" w:color="auto"/>
              <w:right w:val="nil"/>
            </w:tcBorders>
            <w:shd w:val="clear" w:color="auto" w:fill="auto"/>
            <w:noWrap/>
            <w:vAlign w:val="bottom"/>
            <w:hideMark/>
          </w:tcPr>
          <w:p w14:paraId="4385AD0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4,988 </w:t>
            </w:r>
          </w:p>
        </w:tc>
        <w:tc>
          <w:tcPr>
            <w:tcW w:w="93" w:type="dxa"/>
            <w:tcBorders>
              <w:top w:val="nil"/>
              <w:left w:val="nil"/>
              <w:bottom w:val="nil"/>
              <w:right w:val="nil"/>
            </w:tcBorders>
            <w:shd w:val="clear" w:color="auto" w:fill="auto"/>
            <w:noWrap/>
            <w:vAlign w:val="bottom"/>
            <w:hideMark/>
          </w:tcPr>
          <w:p w14:paraId="7A4BFD3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022" w:type="dxa"/>
            <w:tcBorders>
              <w:top w:val="single" w:sz="4" w:space="0" w:color="auto"/>
              <w:left w:val="nil"/>
              <w:bottom w:val="single" w:sz="8" w:space="0" w:color="auto"/>
              <w:right w:val="nil"/>
            </w:tcBorders>
            <w:shd w:val="clear" w:color="auto" w:fill="auto"/>
            <w:noWrap/>
            <w:vAlign w:val="bottom"/>
            <w:hideMark/>
          </w:tcPr>
          <w:p w14:paraId="503D7095"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     4,503 </w:t>
            </w:r>
          </w:p>
        </w:tc>
        <w:tc>
          <w:tcPr>
            <w:tcW w:w="169" w:type="dxa"/>
            <w:tcBorders>
              <w:top w:val="nil"/>
              <w:left w:val="nil"/>
              <w:bottom w:val="nil"/>
              <w:right w:val="nil"/>
            </w:tcBorders>
            <w:shd w:val="clear" w:color="auto" w:fill="auto"/>
            <w:noWrap/>
            <w:vAlign w:val="bottom"/>
            <w:hideMark/>
          </w:tcPr>
          <w:p w14:paraId="6014E31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081" w:type="dxa"/>
            <w:tcBorders>
              <w:top w:val="single" w:sz="4" w:space="0" w:color="auto"/>
              <w:left w:val="nil"/>
              <w:bottom w:val="single" w:sz="8" w:space="0" w:color="auto"/>
              <w:right w:val="nil"/>
            </w:tcBorders>
            <w:shd w:val="clear" w:color="auto" w:fill="auto"/>
            <w:noWrap/>
            <w:vAlign w:val="bottom"/>
            <w:hideMark/>
          </w:tcPr>
          <w:p w14:paraId="1C57BBF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24,039 </w:t>
            </w:r>
          </w:p>
        </w:tc>
        <w:tc>
          <w:tcPr>
            <w:tcW w:w="93" w:type="dxa"/>
            <w:tcBorders>
              <w:top w:val="nil"/>
              <w:left w:val="nil"/>
              <w:bottom w:val="nil"/>
              <w:right w:val="nil"/>
            </w:tcBorders>
            <w:shd w:val="clear" w:color="auto" w:fill="auto"/>
            <w:noWrap/>
            <w:vAlign w:val="bottom"/>
            <w:hideMark/>
          </w:tcPr>
          <w:p w14:paraId="6CD30D2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020" w:type="dxa"/>
            <w:tcBorders>
              <w:top w:val="single" w:sz="4" w:space="0" w:color="auto"/>
              <w:left w:val="nil"/>
              <w:bottom w:val="single" w:sz="8" w:space="0" w:color="auto"/>
              <w:right w:val="nil"/>
            </w:tcBorders>
            <w:shd w:val="clear" w:color="auto" w:fill="auto"/>
            <w:noWrap/>
            <w:vAlign w:val="bottom"/>
            <w:hideMark/>
          </w:tcPr>
          <w:p w14:paraId="77AC9F3B"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   22,184 </w:t>
            </w:r>
          </w:p>
        </w:tc>
      </w:tr>
    </w:tbl>
    <w:p w14:paraId="1305C7A1" w14:textId="718EF9D4" w:rsidR="008A7AB3" w:rsidRDefault="008A7AB3">
      <w:pPr>
        <w:spacing w:after="160" w:line="259" w:lineRule="auto"/>
        <w:rPr>
          <w:rFonts w:ascii="Segoe UI" w:eastAsia="Times New Roman" w:hAnsi="Segoe UI" w:cs="Segoe UI"/>
          <w:b/>
          <w:bCs/>
          <w:color w:val="FF0000"/>
          <w:sz w:val="20"/>
          <w:szCs w:val="20"/>
        </w:rPr>
      </w:pPr>
      <w:r>
        <w:rPr>
          <w:rFonts w:ascii="Segoe UI" w:hAnsi="Segoe UI" w:cs="Segoe UI"/>
          <w:b/>
          <w:bCs/>
          <w:color w:val="FF0000"/>
          <w:sz w:val="20"/>
          <w:szCs w:val="20"/>
        </w:rPr>
        <w:br w:type="page"/>
      </w:r>
    </w:p>
    <w:tbl>
      <w:tblPr>
        <w:tblW w:w="7760" w:type="dxa"/>
        <w:tblCellMar>
          <w:left w:w="0" w:type="dxa"/>
          <w:right w:w="0" w:type="dxa"/>
        </w:tblCellMar>
        <w:tblLook w:val="04A0" w:firstRow="1" w:lastRow="0" w:firstColumn="1" w:lastColumn="0" w:noHBand="0" w:noVBand="1"/>
      </w:tblPr>
      <w:tblGrid>
        <w:gridCol w:w="5036"/>
        <w:gridCol w:w="1456"/>
        <w:gridCol w:w="196"/>
        <w:gridCol w:w="1136"/>
      </w:tblGrid>
      <w:tr w:rsidR="007470C1" w:rsidRPr="007470C1" w14:paraId="2DF901C1" w14:textId="77777777" w:rsidTr="007470C1">
        <w:trPr>
          <w:trHeight w:val="285"/>
        </w:trPr>
        <w:tc>
          <w:tcPr>
            <w:tcW w:w="7760" w:type="dxa"/>
            <w:gridSpan w:val="4"/>
            <w:tcBorders>
              <w:top w:val="nil"/>
              <w:left w:val="nil"/>
              <w:bottom w:val="nil"/>
              <w:right w:val="nil"/>
            </w:tcBorders>
            <w:shd w:val="clear" w:color="auto" w:fill="auto"/>
            <w:noWrap/>
            <w:vAlign w:val="bottom"/>
            <w:hideMark/>
          </w:tcPr>
          <w:p w14:paraId="118ECA71"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lastRenderedPageBreak/>
              <w:t>BALANCE SHEETS</w:t>
            </w:r>
          </w:p>
        </w:tc>
      </w:tr>
      <w:tr w:rsidR="007470C1" w:rsidRPr="007470C1" w14:paraId="5A3C77EA" w14:textId="77777777" w:rsidTr="007470C1">
        <w:trPr>
          <w:trHeight w:val="285"/>
        </w:trPr>
        <w:tc>
          <w:tcPr>
            <w:tcW w:w="7760" w:type="dxa"/>
            <w:gridSpan w:val="4"/>
            <w:tcBorders>
              <w:top w:val="nil"/>
              <w:left w:val="nil"/>
              <w:bottom w:val="nil"/>
              <w:right w:val="nil"/>
            </w:tcBorders>
            <w:shd w:val="clear" w:color="auto" w:fill="auto"/>
            <w:noWrap/>
            <w:vAlign w:val="bottom"/>
            <w:hideMark/>
          </w:tcPr>
          <w:p w14:paraId="44C52580"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(In millions)(Unaudited)</w:t>
            </w:r>
          </w:p>
        </w:tc>
      </w:tr>
      <w:tr w:rsidR="007470C1" w:rsidRPr="007470C1" w14:paraId="00FF3754" w14:textId="77777777" w:rsidTr="007470C1">
        <w:trPr>
          <w:trHeight w:val="285"/>
        </w:trPr>
        <w:tc>
          <w:tcPr>
            <w:tcW w:w="5020" w:type="dxa"/>
            <w:tcBorders>
              <w:top w:val="nil"/>
              <w:left w:val="nil"/>
              <w:bottom w:val="nil"/>
              <w:right w:val="nil"/>
            </w:tcBorders>
            <w:shd w:val="clear" w:color="auto" w:fill="auto"/>
            <w:noWrap/>
            <w:vAlign w:val="bottom"/>
            <w:hideMark/>
          </w:tcPr>
          <w:p w14:paraId="5CD132BC"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p>
        </w:tc>
        <w:tc>
          <w:tcPr>
            <w:tcW w:w="1440" w:type="dxa"/>
            <w:tcBorders>
              <w:top w:val="nil"/>
              <w:left w:val="nil"/>
              <w:bottom w:val="nil"/>
              <w:right w:val="nil"/>
            </w:tcBorders>
            <w:shd w:val="clear" w:color="auto" w:fill="auto"/>
            <w:noWrap/>
            <w:vAlign w:val="bottom"/>
            <w:hideMark/>
          </w:tcPr>
          <w:p w14:paraId="60943142"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30329E73"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20F563B7" w14:textId="77777777" w:rsidR="007470C1" w:rsidRPr="007470C1" w:rsidRDefault="007470C1" w:rsidP="007470C1">
            <w:pPr>
              <w:spacing w:after="0" w:line="240" w:lineRule="auto"/>
              <w:jc w:val="center"/>
              <w:rPr>
                <w:rFonts w:ascii="Times New Roman" w:eastAsia="Times New Roman" w:hAnsi="Times New Roman"/>
                <w:sz w:val="20"/>
                <w:szCs w:val="20"/>
              </w:rPr>
            </w:pPr>
          </w:p>
        </w:tc>
      </w:tr>
      <w:tr w:rsidR="007470C1" w:rsidRPr="007470C1" w14:paraId="028F328D" w14:textId="77777777" w:rsidTr="007470C1">
        <w:trPr>
          <w:trHeight w:val="570"/>
        </w:trPr>
        <w:tc>
          <w:tcPr>
            <w:tcW w:w="5020" w:type="dxa"/>
            <w:tcBorders>
              <w:top w:val="nil"/>
              <w:left w:val="nil"/>
              <w:bottom w:val="single" w:sz="4" w:space="0" w:color="auto"/>
              <w:right w:val="nil"/>
            </w:tcBorders>
            <w:shd w:val="clear" w:color="auto" w:fill="auto"/>
            <w:noWrap/>
            <w:vAlign w:val="bottom"/>
            <w:hideMark/>
          </w:tcPr>
          <w:p w14:paraId="59FA4ECE"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1440" w:type="dxa"/>
            <w:tcBorders>
              <w:top w:val="nil"/>
              <w:left w:val="nil"/>
              <w:bottom w:val="single" w:sz="4" w:space="0" w:color="auto"/>
              <w:right w:val="nil"/>
            </w:tcBorders>
            <w:shd w:val="clear" w:color="auto" w:fill="auto"/>
            <w:vAlign w:val="bottom"/>
            <w:hideMark/>
          </w:tcPr>
          <w:p w14:paraId="72AE250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June 30,       2014</w:t>
            </w:r>
          </w:p>
        </w:tc>
        <w:tc>
          <w:tcPr>
            <w:tcW w:w="180" w:type="dxa"/>
            <w:tcBorders>
              <w:top w:val="nil"/>
              <w:left w:val="nil"/>
              <w:bottom w:val="single" w:sz="4" w:space="0" w:color="auto"/>
              <w:right w:val="nil"/>
            </w:tcBorders>
            <w:shd w:val="clear" w:color="auto" w:fill="auto"/>
            <w:vAlign w:val="bottom"/>
            <w:hideMark/>
          </w:tcPr>
          <w:p w14:paraId="1DCE797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1120" w:type="dxa"/>
            <w:tcBorders>
              <w:top w:val="nil"/>
              <w:left w:val="nil"/>
              <w:bottom w:val="single" w:sz="4" w:space="0" w:color="auto"/>
              <w:right w:val="nil"/>
            </w:tcBorders>
            <w:shd w:val="clear" w:color="auto" w:fill="auto"/>
            <w:vAlign w:val="bottom"/>
            <w:hideMark/>
          </w:tcPr>
          <w:p w14:paraId="1515DB6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June 30, 2013</w:t>
            </w:r>
          </w:p>
        </w:tc>
      </w:tr>
      <w:tr w:rsidR="007470C1" w:rsidRPr="007470C1" w14:paraId="6910A3CD" w14:textId="77777777" w:rsidTr="007470C1">
        <w:trPr>
          <w:trHeight w:val="285"/>
        </w:trPr>
        <w:tc>
          <w:tcPr>
            <w:tcW w:w="5020" w:type="dxa"/>
            <w:tcBorders>
              <w:top w:val="nil"/>
              <w:left w:val="nil"/>
              <w:bottom w:val="nil"/>
              <w:right w:val="nil"/>
            </w:tcBorders>
            <w:shd w:val="clear" w:color="auto" w:fill="auto"/>
            <w:noWrap/>
            <w:vAlign w:val="bottom"/>
            <w:hideMark/>
          </w:tcPr>
          <w:p w14:paraId="4A92F1CF"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Assets</w:t>
            </w:r>
          </w:p>
        </w:tc>
        <w:tc>
          <w:tcPr>
            <w:tcW w:w="1440" w:type="dxa"/>
            <w:tcBorders>
              <w:top w:val="nil"/>
              <w:left w:val="nil"/>
              <w:bottom w:val="nil"/>
              <w:right w:val="nil"/>
            </w:tcBorders>
            <w:shd w:val="clear" w:color="auto" w:fill="auto"/>
            <w:vAlign w:val="bottom"/>
            <w:hideMark/>
          </w:tcPr>
          <w:p w14:paraId="025380F3" w14:textId="77777777" w:rsidR="007470C1" w:rsidRPr="007470C1" w:rsidRDefault="007470C1" w:rsidP="007470C1">
            <w:pPr>
              <w:spacing w:after="0" w:line="240" w:lineRule="auto"/>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5886A039"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3FBDA285" w14:textId="77777777" w:rsidR="007470C1" w:rsidRPr="007470C1" w:rsidRDefault="007470C1" w:rsidP="007470C1">
            <w:pPr>
              <w:spacing w:after="0" w:line="240" w:lineRule="auto"/>
              <w:rPr>
                <w:rFonts w:ascii="Times New Roman" w:eastAsia="Times New Roman" w:hAnsi="Times New Roman"/>
                <w:sz w:val="20"/>
                <w:szCs w:val="20"/>
              </w:rPr>
            </w:pPr>
          </w:p>
        </w:tc>
      </w:tr>
      <w:tr w:rsidR="007470C1" w:rsidRPr="007470C1" w14:paraId="70D133FA" w14:textId="77777777" w:rsidTr="007470C1">
        <w:trPr>
          <w:trHeight w:val="450"/>
        </w:trPr>
        <w:tc>
          <w:tcPr>
            <w:tcW w:w="5020" w:type="dxa"/>
            <w:tcBorders>
              <w:top w:val="nil"/>
              <w:left w:val="nil"/>
              <w:bottom w:val="nil"/>
              <w:right w:val="nil"/>
            </w:tcBorders>
            <w:shd w:val="clear" w:color="auto" w:fill="auto"/>
            <w:noWrap/>
            <w:vAlign w:val="bottom"/>
            <w:hideMark/>
          </w:tcPr>
          <w:p w14:paraId="3E68E75C"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Current assets:</w:t>
            </w:r>
          </w:p>
        </w:tc>
        <w:tc>
          <w:tcPr>
            <w:tcW w:w="1440" w:type="dxa"/>
            <w:tcBorders>
              <w:top w:val="nil"/>
              <w:left w:val="nil"/>
              <w:bottom w:val="nil"/>
              <w:right w:val="nil"/>
            </w:tcBorders>
            <w:shd w:val="clear" w:color="auto" w:fill="auto"/>
            <w:noWrap/>
            <w:vAlign w:val="bottom"/>
            <w:hideMark/>
          </w:tcPr>
          <w:p w14:paraId="59807FE0" w14:textId="77777777" w:rsidR="007470C1" w:rsidRPr="007470C1" w:rsidRDefault="007470C1" w:rsidP="007470C1">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31B68AD8"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42F94B79" w14:textId="77777777" w:rsidR="007470C1" w:rsidRPr="007470C1" w:rsidRDefault="007470C1" w:rsidP="007470C1">
            <w:pPr>
              <w:spacing w:after="0" w:line="240" w:lineRule="auto"/>
              <w:rPr>
                <w:rFonts w:ascii="Times New Roman" w:eastAsia="Times New Roman" w:hAnsi="Times New Roman"/>
                <w:sz w:val="20"/>
                <w:szCs w:val="20"/>
              </w:rPr>
            </w:pPr>
          </w:p>
        </w:tc>
      </w:tr>
      <w:tr w:rsidR="007470C1" w:rsidRPr="007470C1" w14:paraId="7FD7BB94" w14:textId="77777777" w:rsidTr="007470C1">
        <w:trPr>
          <w:trHeight w:val="285"/>
        </w:trPr>
        <w:tc>
          <w:tcPr>
            <w:tcW w:w="5020" w:type="dxa"/>
            <w:tcBorders>
              <w:top w:val="nil"/>
              <w:left w:val="nil"/>
              <w:bottom w:val="nil"/>
              <w:right w:val="nil"/>
            </w:tcBorders>
            <w:shd w:val="clear" w:color="auto" w:fill="auto"/>
            <w:noWrap/>
            <w:vAlign w:val="bottom"/>
            <w:hideMark/>
          </w:tcPr>
          <w:p w14:paraId="24C3E18D"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Cash and cash equivalents</w:t>
            </w:r>
          </w:p>
        </w:tc>
        <w:tc>
          <w:tcPr>
            <w:tcW w:w="1440" w:type="dxa"/>
            <w:tcBorders>
              <w:top w:val="nil"/>
              <w:left w:val="nil"/>
              <w:bottom w:val="nil"/>
              <w:right w:val="nil"/>
            </w:tcBorders>
            <w:shd w:val="clear" w:color="auto" w:fill="auto"/>
            <w:noWrap/>
            <w:vAlign w:val="bottom"/>
            <w:hideMark/>
          </w:tcPr>
          <w:p w14:paraId="09B0AF1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8,669 </w:t>
            </w:r>
          </w:p>
        </w:tc>
        <w:tc>
          <w:tcPr>
            <w:tcW w:w="180" w:type="dxa"/>
            <w:tcBorders>
              <w:top w:val="nil"/>
              <w:left w:val="nil"/>
              <w:bottom w:val="nil"/>
              <w:right w:val="nil"/>
            </w:tcBorders>
            <w:shd w:val="clear" w:color="auto" w:fill="auto"/>
            <w:noWrap/>
            <w:vAlign w:val="bottom"/>
            <w:hideMark/>
          </w:tcPr>
          <w:p w14:paraId="5A391F0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5C673E8E"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      3,804 </w:t>
            </w:r>
          </w:p>
        </w:tc>
      </w:tr>
      <w:tr w:rsidR="007470C1" w:rsidRPr="007470C1" w14:paraId="26CC9EF4" w14:textId="77777777" w:rsidTr="007470C1">
        <w:trPr>
          <w:trHeight w:val="570"/>
        </w:trPr>
        <w:tc>
          <w:tcPr>
            <w:tcW w:w="5020" w:type="dxa"/>
            <w:tcBorders>
              <w:top w:val="nil"/>
              <w:left w:val="nil"/>
              <w:bottom w:val="single" w:sz="4" w:space="0" w:color="auto"/>
              <w:right w:val="nil"/>
            </w:tcBorders>
            <w:shd w:val="clear" w:color="auto" w:fill="auto"/>
            <w:vAlign w:val="bottom"/>
            <w:hideMark/>
          </w:tcPr>
          <w:p w14:paraId="12440F7C"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Short-term investments (including securities</w:t>
            </w:r>
            <w:r w:rsidRPr="007470C1">
              <w:rPr>
                <w:rFonts w:ascii="Segoe UI" w:eastAsia="Times New Roman" w:hAnsi="Segoe UI" w:cs="Segoe UI"/>
                <w:color w:val="666666"/>
                <w:sz w:val="20"/>
                <w:szCs w:val="20"/>
              </w:rPr>
              <w:br/>
              <w:t xml:space="preserve">    loaned of </w:t>
            </w:r>
            <w:r w:rsidRPr="007470C1">
              <w:rPr>
                <w:rFonts w:ascii="Segoe UI" w:eastAsia="Times New Roman" w:hAnsi="Segoe UI" w:cs="Segoe UI"/>
                <w:b/>
                <w:bCs/>
                <w:color w:val="666666"/>
                <w:sz w:val="20"/>
                <w:szCs w:val="20"/>
              </w:rPr>
              <w:t>$541</w:t>
            </w:r>
            <w:r w:rsidRPr="007470C1">
              <w:rPr>
                <w:rFonts w:ascii="Segoe UI" w:eastAsia="Times New Roman" w:hAnsi="Segoe UI" w:cs="Segoe UI"/>
                <w:color w:val="666666"/>
                <w:sz w:val="20"/>
                <w:szCs w:val="20"/>
              </w:rPr>
              <w:t xml:space="preserve"> and $579)</w:t>
            </w:r>
          </w:p>
        </w:tc>
        <w:tc>
          <w:tcPr>
            <w:tcW w:w="1440" w:type="dxa"/>
            <w:tcBorders>
              <w:top w:val="nil"/>
              <w:left w:val="nil"/>
              <w:bottom w:val="single" w:sz="4" w:space="0" w:color="auto"/>
              <w:right w:val="nil"/>
            </w:tcBorders>
            <w:shd w:val="clear" w:color="auto" w:fill="auto"/>
            <w:noWrap/>
            <w:vAlign w:val="bottom"/>
            <w:hideMark/>
          </w:tcPr>
          <w:p w14:paraId="5812BF1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77,040 </w:t>
            </w:r>
          </w:p>
        </w:tc>
        <w:tc>
          <w:tcPr>
            <w:tcW w:w="180" w:type="dxa"/>
            <w:tcBorders>
              <w:top w:val="nil"/>
              <w:left w:val="nil"/>
              <w:bottom w:val="nil"/>
              <w:right w:val="nil"/>
            </w:tcBorders>
            <w:shd w:val="clear" w:color="auto" w:fill="auto"/>
            <w:noWrap/>
            <w:vAlign w:val="bottom"/>
            <w:hideMark/>
          </w:tcPr>
          <w:p w14:paraId="623ACF2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4" w:space="0" w:color="auto"/>
              <w:right w:val="nil"/>
            </w:tcBorders>
            <w:shd w:val="clear" w:color="auto" w:fill="auto"/>
            <w:noWrap/>
            <w:vAlign w:val="bottom"/>
            <w:hideMark/>
          </w:tcPr>
          <w:p w14:paraId="052991D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73,218 </w:t>
            </w:r>
          </w:p>
        </w:tc>
      </w:tr>
      <w:tr w:rsidR="007470C1" w:rsidRPr="007470C1" w14:paraId="1D0CD9FF" w14:textId="77777777" w:rsidTr="007470C1">
        <w:trPr>
          <w:trHeight w:val="570"/>
        </w:trPr>
        <w:tc>
          <w:tcPr>
            <w:tcW w:w="5020" w:type="dxa"/>
            <w:tcBorders>
              <w:top w:val="nil"/>
              <w:left w:val="nil"/>
              <w:bottom w:val="nil"/>
              <w:right w:val="nil"/>
            </w:tcBorders>
            <w:shd w:val="clear" w:color="auto" w:fill="auto"/>
            <w:vAlign w:val="bottom"/>
            <w:hideMark/>
          </w:tcPr>
          <w:p w14:paraId="12FAB2D0"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Total cash, cash equivalents, and short-term </w:t>
            </w:r>
            <w:r w:rsidRPr="007470C1">
              <w:rPr>
                <w:rFonts w:ascii="Segoe UI" w:eastAsia="Times New Roman" w:hAnsi="Segoe UI" w:cs="Segoe UI"/>
                <w:color w:val="666666"/>
                <w:sz w:val="20"/>
                <w:szCs w:val="20"/>
              </w:rPr>
              <w:br/>
              <w:t xml:space="preserve">      investments</w:t>
            </w:r>
          </w:p>
        </w:tc>
        <w:tc>
          <w:tcPr>
            <w:tcW w:w="1440" w:type="dxa"/>
            <w:tcBorders>
              <w:top w:val="nil"/>
              <w:left w:val="nil"/>
              <w:bottom w:val="nil"/>
              <w:right w:val="nil"/>
            </w:tcBorders>
            <w:shd w:val="clear" w:color="auto" w:fill="auto"/>
            <w:noWrap/>
            <w:vAlign w:val="bottom"/>
            <w:hideMark/>
          </w:tcPr>
          <w:p w14:paraId="36AA839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85,709 </w:t>
            </w:r>
          </w:p>
        </w:tc>
        <w:tc>
          <w:tcPr>
            <w:tcW w:w="180" w:type="dxa"/>
            <w:tcBorders>
              <w:top w:val="nil"/>
              <w:left w:val="nil"/>
              <w:bottom w:val="nil"/>
              <w:right w:val="nil"/>
            </w:tcBorders>
            <w:shd w:val="clear" w:color="auto" w:fill="auto"/>
            <w:noWrap/>
            <w:vAlign w:val="bottom"/>
            <w:hideMark/>
          </w:tcPr>
          <w:p w14:paraId="46863FB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274855B5"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77,022 </w:t>
            </w:r>
          </w:p>
        </w:tc>
      </w:tr>
      <w:tr w:rsidR="007470C1" w:rsidRPr="007470C1" w14:paraId="1AE7DC79" w14:textId="77777777" w:rsidTr="007470C1">
        <w:trPr>
          <w:trHeight w:val="570"/>
        </w:trPr>
        <w:tc>
          <w:tcPr>
            <w:tcW w:w="5020" w:type="dxa"/>
            <w:tcBorders>
              <w:top w:val="nil"/>
              <w:left w:val="nil"/>
              <w:bottom w:val="nil"/>
              <w:right w:val="nil"/>
            </w:tcBorders>
            <w:shd w:val="clear" w:color="auto" w:fill="auto"/>
            <w:vAlign w:val="bottom"/>
            <w:hideMark/>
          </w:tcPr>
          <w:p w14:paraId="1113CBEE"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Accounts receivable, net of allowance for doubtful</w:t>
            </w:r>
            <w:r w:rsidRPr="007470C1">
              <w:rPr>
                <w:rFonts w:ascii="Segoe UI" w:eastAsia="Times New Roman" w:hAnsi="Segoe UI" w:cs="Segoe UI"/>
                <w:color w:val="666666"/>
                <w:sz w:val="20"/>
                <w:szCs w:val="20"/>
              </w:rPr>
              <w:br/>
              <w:t xml:space="preserve">    accounts of </w:t>
            </w:r>
            <w:r w:rsidRPr="007470C1">
              <w:rPr>
                <w:rFonts w:ascii="Segoe UI" w:eastAsia="Times New Roman" w:hAnsi="Segoe UI" w:cs="Segoe UI"/>
                <w:b/>
                <w:bCs/>
                <w:color w:val="666666"/>
                <w:sz w:val="20"/>
                <w:szCs w:val="20"/>
              </w:rPr>
              <w:t>$301</w:t>
            </w:r>
            <w:r w:rsidRPr="007470C1">
              <w:rPr>
                <w:rFonts w:ascii="Segoe UI" w:eastAsia="Times New Roman" w:hAnsi="Segoe UI" w:cs="Segoe UI"/>
                <w:color w:val="666666"/>
                <w:sz w:val="20"/>
                <w:szCs w:val="20"/>
              </w:rPr>
              <w:t xml:space="preserve"> and $336</w:t>
            </w:r>
          </w:p>
        </w:tc>
        <w:tc>
          <w:tcPr>
            <w:tcW w:w="1440" w:type="dxa"/>
            <w:tcBorders>
              <w:top w:val="nil"/>
              <w:left w:val="nil"/>
              <w:bottom w:val="nil"/>
              <w:right w:val="nil"/>
            </w:tcBorders>
            <w:shd w:val="clear" w:color="auto" w:fill="auto"/>
            <w:noWrap/>
            <w:vAlign w:val="bottom"/>
            <w:hideMark/>
          </w:tcPr>
          <w:p w14:paraId="3F83171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19,544 </w:t>
            </w:r>
          </w:p>
        </w:tc>
        <w:tc>
          <w:tcPr>
            <w:tcW w:w="180" w:type="dxa"/>
            <w:tcBorders>
              <w:top w:val="nil"/>
              <w:left w:val="nil"/>
              <w:bottom w:val="nil"/>
              <w:right w:val="nil"/>
            </w:tcBorders>
            <w:shd w:val="clear" w:color="auto" w:fill="auto"/>
            <w:noWrap/>
            <w:vAlign w:val="bottom"/>
            <w:hideMark/>
          </w:tcPr>
          <w:p w14:paraId="2319BEF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2DBF31D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17,486 </w:t>
            </w:r>
          </w:p>
        </w:tc>
      </w:tr>
      <w:tr w:rsidR="007470C1" w:rsidRPr="007470C1" w14:paraId="330F5301" w14:textId="77777777" w:rsidTr="007470C1">
        <w:trPr>
          <w:trHeight w:val="285"/>
        </w:trPr>
        <w:tc>
          <w:tcPr>
            <w:tcW w:w="5020" w:type="dxa"/>
            <w:tcBorders>
              <w:top w:val="nil"/>
              <w:left w:val="nil"/>
              <w:bottom w:val="nil"/>
              <w:right w:val="nil"/>
            </w:tcBorders>
            <w:shd w:val="clear" w:color="auto" w:fill="auto"/>
            <w:noWrap/>
            <w:vAlign w:val="bottom"/>
            <w:hideMark/>
          </w:tcPr>
          <w:p w14:paraId="4C01DFDA"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Inventories</w:t>
            </w:r>
          </w:p>
        </w:tc>
        <w:tc>
          <w:tcPr>
            <w:tcW w:w="1440" w:type="dxa"/>
            <w:tcBorders>
              <w:top w:val="nil"/>
              <w:left w:val="nil"/>
              <w:bottom w:val="nil"/>
              <w:right w:val="nil"/>
            </w:tcBorders>
            <w:shd w:val="clear" w:color="auto" w:fill="auto"/>
            <w:noWrap/>
            <w:vAlign w:val="bottom"/>
            <w:hideMark/>
          </w:tcPr>
          <w:p w14:paraId="7EF59C7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2,660 </w:t>
            </w:r>
          </w:p>
        </w:tc>
        <w:tc>
          <w:tcPr>
            <w:tcW w:w="180" w:type="dxa"/>
            <w:tcBorders>
              <w:top w:val="nil"/>
              <w:left w:val="nil"/>
              <w:bottom w:val="nil"/>
              <w:right w:val="nil"/>
            </w:tcBorders>
            <w:shd w:val="clear" w:color="auto" w:fill="auto"/>
            <w:noWrap/>
            <w:vAlign w:val="bottom"/>
            <w:hideMark/>
          </w:tcPr>
          <w:p w14:paraId="2F814FA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0ED8ED2B"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1,938 </w:t>
            </w:r>
          </w:p>
        </w:tc>
      </w:tr>
      <w:tr w:rsidR="007470C1" w:rsidRPr="007470C1" w14:paraId="4983B90C" w14:textId="77777777" w:rsidTr="007470C1">
        <w:trPr>
          <w:trHeight w:val="285"/>
        </w:trPr>
        <w:tc>
          <w:tcPr>
            <w:tcW w:w="5020" w:type="dxa"/>
            <w:tcBorders>
              <w:top w:val="nil"/>
              <w:left w:val="nil"/>
              <w:bottom w:val="nil"/>
              <w:right w:val="nil"/>
            </w:tcBorders>
            <w:shd w:val="clear" w:color="auto" w:fill="auto"/>
            <w:noWrap/>
            <w:vAlign w:val="bottom"/>
            <w:hideMark/>
          </w:tcPr>
          <w:p w14:paraId="6DF012AB"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Deferred income taxes</w:t>
            </w:r>
          </w:p>
        </w:tc>
        <w:tc>
          <w:tcPr>
            <w:tcW w:w="1440" w:type="dxa"/>
            <w:tcBorders>
              <w:top w:val="nil"/>
              <w:left w:val="nil"/>
              <w:bottom w:val="nil"/>
              <w:right w:val="nil"/>
            </w:tcBorders>
            <w:shd w:val="clear" w:color="auto" w:fill="auto"/>
            <w:noWrap/>
            <w:vAlign w:val="bottom"/>
            <w:hideMark/>
          </w:tcPr>
          <w:p w14:paraId="2E092B0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1,941 </w:t>
            </w:r>
          </w:p>
        </w:tc>
        <w:tc>
          <w:tcPr>
            <w:tcW w:w="180" w:type="dxa"/>
            <w:tcBorders>
              <w:top w:val="nil"/>
              <w:left w:val="nil"/>
              <w:bottom w:val="nil"/>
              <w:right w:val="nil"/>
            </w:tcBorders>
            <w:shd w:val="clear" w:color="auto" w:fill="auto"/>
            <w:noWrap/>
            <w:vAlign w:val="bottom"/>
            <w:hideMark/>
          </w:tcPr>
          <w:p w14:paraId="30C362A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52ACC80F"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1,632 </w:t>
            </w:r>
          </w:p>
        </w:tc>
      </w:tr>
      <w:tr w:rsidR="007470C1" w:rsidRPr="007470C1" w14:paraId="3CA37ECE" w14:textId="77777777" w:rsidTr="007470C1">
        <w:trPr>
          <w:trHeight w:val="285"/>
        </w:trPr>
        <w:tc>
          <w:tcPr>
            <w:tcW w:w="5020" w:type="dxa"/>
            <w:tcBorders>
              <w:top w:val="nil"/>
              <w:left w:val="nil"/>
              <w:bottom w:val="single" w:sz="4" w:space="0" w:color="auto"/>
              <w:right w:val="nil"/>
            </w:tcBorders>
            <w:shd w:val="clear" w:color="auto" w:fill="auto"/>
            <w:noWrap/>
            <w:vAlign w:val="center"/>
            <w:hideMark/>
          </w:tcPr>
          <w:p w14:paraId="5D5ED3C7"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Other</w:t>
            </w:r>
          </w:p>
        </w:tc>
        <w:tc>
          <w:tcPr>
            <w:tcW w:w="1440" w:type="dxa"/>
            <w:tcBorders>
              <w:top w:val="nil"/>
              <w:left w:val="nil"/>
              <w:bottom w:val="single" w:sz="4" w:space="0" w:color="auto"/>
              <w:right w:val="nil"/>
            </w:tcBorders>
            <w:shd w:val="clear" w:color="auto" w:fill="auto"/>
            <w:noWrap/>
            <w:vAlign w:val="bottom"/>
            <w:hideMark/>
          </w:tcPr>
          <w:p w14:paraId="19EF720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4,392 </w:t>
            </w:r>
          </w:p>
        </w:tc>
        <w:tc>
          <w:tcPr>
            <w:tcW w:w="180" w:type="dxa"/>
            <w:tcBorders>
              <w:top w:val="nil"/>
              <w:left w:val="nil"/>
              <w:bottom w:val="nil"/>
              <w:right w:val="nil"/>
            </w:tcBorders>
            <w:shd w:val="clear" w:color="auto" w:fill="auto"/>
            <w:noWrap/>
            <w:vAlign w:val="bottom"/>
            <w:hideMark/>
          </w:tcPr>
          <w:p w14:paraId="11F55BB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4" w:space="0" w:color="auto"/>
              <w:right w:val="nil"/>
            </w:tcBorders>
            <w:shd w:val="clear" w:color="auto" w:fill="auto"/>
            <w:noWrap/>
            <w:vAlign w:val="bottom"/>
            <w:hideMark/>
          </w:tcPr>
          <w:p w14:paraId="0CCD578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3,388 </w:t>
            </w:r>
          </w:p>
        </w:tc>
      </w:tr>
      <w:tr w:rsidR="007470C1" w:rsidRPr="007470C1" w14:paraId="66069183" w14:textId="77777777" w:rsidTr="007470C1">
        <w:trPr>
          <w:trHeight w:val="285"/>
        </w:trPr>
        <w:tc>
          <w:tcPr>
            <w:tcW w:w="5020" w:type="dxa"/>
            <w:tcBorders>
              <w:top w:val="nil"/>
              <w:left w:val="nil"/>
              <w:bottom w:val="nil"/>
              <w:right w:val="nil"/>
            </w:tcBorders>
            <w:shd w:val="clear" w:color="auto" w:fill="auto"/>
            <w:noWrap/>
            <w:vAlign w:val="bottom"/>
            <w:hideMark/>
          </w:tcPr>
          <w:p w14:paraId="6744777B"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Total current assets</w:t>
            </w:r>
          </w:p>
        </w:tc>
        <w:tc>
          <w:tcPr>
            <w:tcW w:w="1440" w:type="dxa"/>
            <w:tcBorders>
              <w:top w:val="nil"/>
              <w:left w:val="nil"/>
              <w:bottom w:val="nil"/>
              <w:right w:val="nil"/>
            </w:tcBorders>
            <w:shd w:val="clear" w:color="auto" w:fill="auto"/>
            <w:noWrap/>
            <w:vAlign w:val="bottom"/>
            <w:hideMark/>
          </w:tcPr>
          <w:p w14:paraId="48A890E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114,246 </w:t>
            </w:r>
          </w:p>
        </w:tc>
        <w:tc>
          <w:tcPr>
            <w:tcW w:w="180" w:type="dxa"/>
            <w:tcBorders>
              <w:top w:val="nil"/>
              <w:left w:val="nil"/>
              <w:bottom w:val="nil"/>
              <w:right w:val="nil"/>
            </w:tcBorders>
            <w:shd w:val="clear" w:color="auto" w:fill="auto"/>
            <w:noWrap/>
            <w:vAlign w:val="bottom"/>
            <w:hideMark/>
          </w:tcPr>
          <w:p w14:paraId="05CD063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2573C984"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101,466 </w:t>
            </w:r>
          </w:p>
        </w:tc>
      </w:tr>
      <w:tr w:rsidR="007470C1" w:rsidRPr="007470C1" w14:paraId="4B893982" w14:textId="77777777" w:rsidTr="007470C1">
        <w:trPr>
          <w:trHeight w:val="570"/>
        </w:trPr>
        <w:tc>
          <w:tcPr>
            <w:tcW w:w="5020" w:type="dxa"/>
            <w:tcBorders>
              <w:top w:val="nil"/>
              <w:left w:val="nil"/>
              <w:bottom w:val="nil"/>
              <w:right w:val="nil"/>
            </w:tcBorders>
            <w:shd w:val="clear" w:color="auto" w:fill="auto"/>
            <w:vAlign w:val="bottom"/>
            <w:hideMark/>
          </w:tcPr>
          <w:p w14:paraId="25093026"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Property and equipment, net of accumulated</w:t>
            </w:r>
            <w:r w:rsidRPr="007470C1">
              <w:rPr>
                <w:rFonts w:ascii="Segoe UI" w:eastAsia="Times New Roman" w:hAnsi="Segoe UI" w:cs="Segoe UI"/>
                <w:color w:val="666666"/>
                <w:sz w:val="20"/>
                <w:szCs w:val="20"/>
              </w:rPr>
              <w:br/>
              <w:t xml:space="preserve">  depreciation of </w:t>
            </w:r>
            <w:r w:rsidRPr="007470C1">
              <w:rPr>
                <w:rFonts w:ascii="Segoe UI" w:eastAsia="Times New Roman" w:hAnsi="Segoe UI" w:cs="Segoe UI"/>
                <w:b/>
                <w:bCs/>
                <w:color w:val="666666"/>
                <w:sz w:val="20"/>
                <w:szCs w:val="20"/>
              </w:rPr>
              <w:t>$14,793</w:t>
            </w:r>
            <w:r w:rsidRPr="007470C1">
              <w:rPr>
                <w:rFonts w:ascii="Segoe UI" w:eastAsia="Times New Roman" w:hAnsi="Segoe UI" w:cs="Segoe UI"/>
                <w:color w:val="666666"/>
                <w:sz w:val="20"/>
                <w:szCs w:val="20"/>
              </w:rPr>
              <w:t xml:space="preserve"> and $12,513</w:t>
            </w:r>
          </w:p>
        </w:tc>
        <w:tc>
          <w:tcPr>
            <w:tcW w:w="1440" w:type="dxa"/>
            <w:tcBorders>
              <w:top w:val="nil"/>
              <w:left w:val="nil"/>
              <w:bottom w:val="nil"/>
              <w:right w:val="nil"/>
            </w:tcBorders>
            <w:shd w:val="clear" w:color="auto" w:fill="auto"/>
            <w:noWrap/>
            <w:vAlign w:val="bottom"/>
            <w:hideMark/>
          </w:tcPr>
          <w:p w14:paraId="6C88E84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13,011 </w:t>
            </w:r>
          </w:p>
        </w:tc>
        <w:tc>
          <w:tcPr>
            <w:tcW w:w="180" w:type="dxa"/>
            <w:tcBorders>
              <w:top w:val="nil"/>
              <w:left w:val="nil"/>
              <w:bottom w:val="nil"/>
              <w:right w:val="nil"/>
            </w:tcBorders>
            <w:shd w:val="clear" w:color="auto" w:fill="auto"/>
            <w:noWrap/>
            <w:vAlign w:val="bottom"/>
            <w:hideMark/>
          </w:tcPr>
          <w:p w14:paraId="5B451BF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054F3AA3"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9,991 </w:t>
            </w:r>
          </w:p>
        </w:tc>
      </w:tr>
      <w:tr w:rsidR="007470C1" w:rsidRPr="007470C1" w14:paraId="2E41A75B" w14:textId="77777777" w:rsidTr="007470C1">
        <w:trPr>
          <w:trHeight w:val="285"/>
        </w:trPr>
        <w:tc>
          <w:tcPr>
            <w:tcW w:w="5020" w:type="dxa"/>
            <w:tcBorders>
              <w:top w:val="nil"/>
              <w:left w:val="nil"/>
              <w:bottom w:val="nil"/>
              <w:right w:val="nil"/>
            </w:tcBorders>
            <w:shd w:val="clear" w:color="auto" w:fill="auto"/>
            <w:noWrap/>
            <w:vAlign w:val="bottom"/>
            <w:hideMark/>
          </w:tcPr>
          <w:p w14:paraId="6A701634"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Equity and other investments</w:t>
            </w:r>
          </w:p>
        </w:tc>
        <w:tc>
          <w:tcPr>
            <w:tcW w:w="1440" w:type="dxa"/>
            <w:tcBorders>
              <w:top w:val="nil"/>
              <w:left w:val="nil"/>
              <w:bottom w:val="nil"/>
              <w:right w:val="nil"/>
            </w:tcBorders>
            <w:shd w:val="clear" w:color="auto" w:fill="auto"/>
            <w:noWrap/>
            <w:vAlign w:val="bottom"/>
            <w:hideMark/>
          </w:tcPr>
          <w:p w14:paraId="6910AAE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14,597 </w:t>
            </w:r>
          </w:p>
        </w:tc>
        <w:tc>
          <w:tcPr>
            <w:tcW w:w="180" w:type="dxa"/>
            <w:tcBorders>
              <w:top w:val="nil"/>
              <w:left w:val="nil"/>
              <w:bottom w:val="nil"/>
              <w:right w:val="nil"/>
            </w:tcBorders>
            <w:shd w:val="clear" w:color="auto" w:fill="auto"/>
            <w:noWrap/>
            <w:vAlign w:val="bottom"/>
            <w:hideMark/>
          </w:tcPr>
          <w:p w14:paraId="3F79038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208876C8"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10,844 </w:t>
            </w:r>
          </w:p>
        </w:tc>
      </w:tr>
      <w:tr w:rsidR="007470C1" w:rsidRPr="007470C1" w14:paraId="225FBBFF" w14:textId="77777777" w:rsidTr="007470C1">
        <w:trPr>
          <w:trHeight w:val="285"/>
        </w:trPr>
        <w:tc>
          <w:tcPr>
            <w:tcW w:w="5020" w:type="dxa"/>
            <w:tcBorders>
              <w:top w:val="nil"/>
              <w:left w:val="nil"/>
              <w:bottom w:val="nil"/>
              <w:right w:val="nil"/>
            </w:tcBorders>
            <w:shd w:val="clear" w:color="auto" w:fill="auto"/>
            <w:noWrap/>
            <w:vAlign w:val="bottom"/>
            <w:hideMark/>
          </w:tcPr>
          <w:p w14:paraId="27BE1997"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Goodwill</w:t>
            </w:r>
          </w:p>
        </w:tc>
        <w:tc>
          <w:tcPr>
            <w:tcW w:w="1440" w:type="dxa"/>
            <w:tcBorders>
              <w:top w:val="nil"/>
              <w:left w:val="nil"/>
              <w:bottom w:val="nil"/>
              <w:right w:val="nil"/>
            </w:tcBorders>
            <w:shd w:val="clear" w:color="auto" w:fill="auto"/>
            <w:noWrap/>
            <w:vAlign w:val="bottom"/>
            <w:hideMark/>
          </w:tcPr>
          <w:p w14:paraId="42E86CE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20,127 </w:t>
            </w:r>
          </w:p>
        </w:tc>
        <w:tc>
          <w:tcPr>
            <w:tcW w:w="180" w:type="dxa"/>
            <w:tcBorders>
              <w:top w:val="nil"/>
              <w:left w:val="nil"/>
              <w:bottom w:val="nil"/>
              <w:right w:val="nil"/>
            </w:tcBorders>
            <w:shd w:val="clear" w:color="auto" w:fill="auto"/>
            <w:noWrap/>
            <w:vAlign w:val="bottom"/>
            <w:hideMark/>
          </w:tcPr>
          <w:p w14:paraId="69A7AD5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60B1DC5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14,655 </w:t>
            </w:r>
          </w:p>
        </w:tc>
      </w:tr>
      <w:tr w:rsidR="007470C1" w:rsidRPr="007470C1" w14:paraId="160CD12E" w14:textId="77777777" w:rsidTr="007470C1">
        <w:trPr>
          <w:trHeight w:val="285"/>
        </w:trPr>
        <w:tc>
          <w:tcPr>
            <w:tcW w:w="5020" w:type="dxa"/>
            <w:tcBorders>
              <w:top w:val="nil"/>
              <w:left w:val="nil"/>
              <w:bottom w:val="nil"/>
              <w:right w:val="nil"/>
            </w:tcBorders>
            <w:shd w:val="clear" w:color="auto" w:fill="auto"/>
            <w:noWrap/>
            <w:vAlign w:val="bottom"/>
            <w:hideMark/>
          </w:tcPr>
          <w:p w14:paraId="4DBBE1CE"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Intangible assets, net</w:t>
            </w:r>
          </w:p>
        </w:tc>
        <w:tc>
          <w:tcPr>
            <w:tcW w:w="1440" w:type="dxa"/>
            <w:tcBorders>
              <w:top w:val="nil"/>
              <w:left w:val="nil"/>
              <w:bottom w:val="nil"/>
              <w:right w:val="nil"/>
            </w:tcBorders>
            <w:shd w:val="clear" w:color="auto" w:fill="auto"/>
            <w:noWrap/>
            <w:vAlign w:val="bottom"/>
            <w:hideMark/>
          </w:tcPr>
          <w:p w14:paraId="3BD2703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6,981 </w:t>
            </w:r>
          </w:p>
        </w:tc>
        <w:tc>
          <w:tcPr>
            <w:tcW w:w="180" w:type="dxa"/>
            <w:tcBorders>
              <w:top w:val="nil"/>
              <w:left w:val="nil"/>
              <w:bottom w:val="nil"/>
              <w:right w:val="nil"/>
            </w:tcBorders>
            <w:shd w:val="clear" w:color="auto" w:fill="auto"/>
            <w:noWrap/>
            <w:vAlign w:val="bottom"/>
            <w:hideMark/>
          </w:tcPr>
          <w:p w14:paraId="132768F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69F278AF"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3,083 </w:t>
            </w:r>
          </w:p>
        </w:tc>
      </w:tr>
      <w:tr w:rsidR="007470C1" w:rsidRPr="007470C1" w14:paraId="0A5836FD" w14:textId="77777777" w:rsidTr="007470C1">
        <w:trPr>
          <w:trHeight w:val="285"/>
        </w:trPr>
        <w:tc>
          <w:tcPr>
            <w:tcW w:w="5020" w:type="dxa"/>
            <w:tcBorders>
              <w:top w:val="nil"/>
              <w:left w:val="nil"/>
              <w:bottom w:val="single" w:sz="4" w:space="0" w:color="auto"/>
              <w:right w:val="nil"/>
            </w:tcBorders>
            <w:shd w:val="clear" w:color="auto" w:fill="auto"/>
            <w:noWrap/>
            <w:vAlign w:val="bottom"/>
            <w:hideMark/>
          </w:tcPr>
          <w:p w14:paraId="04C19201"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Other long-term assets</w:t>
            </w:r>
          </w:p>
        </w:tc>
        <w:tc>
          <w:tcPr>
            <w:tcW w:w="1440" w:type="dxa"/>
            <w:tcBorders>
              <w:top w:val="nil"/>
              <w:left w:val="nil"/>
              <w:bottom w:val="single" w:sz="4" w:space="0" w:color="auto"/>
              <w:right w:val="nil"/>
            </w:tcBorders>
            <w:shd w:val="clear" w:color="auto" w:fill="auto"/>
            <w:noWrap/>
            <w:vAlign w:val="bottom"/>
            <w:hideMark/>
          </w:tcPr>
          <w:p w14:paraId="110ADDF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3,422 </w:t>
            </w:r>
          </w:p>
        </w:tc>
        <w:tc>
          <w:tcPr>
            <w:tcW w:w="180" w:type="dxa"/>
            <w:tcBorders>
              <w:top w:val="nil"/>
              <w:left w:val="nil"/>
              <w:bottom w:val="nil"/>
              <w:right w:val="nil"/>
            </w:tcBorders>
            <w:shd w:val="clear" w:color="auto" w:fill="auto"/>
            <w:noWrap/>
            <w:vAlign w:val="bottom"/>
            <w:hideMark/>
          </w:tcPr>
          <w:p w14:paraId="68F34AD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4" w:space="0" w:color="auto"/>
              <w:right w:val="nil"/>
            </w:tcBorders>
            <w:shd w:val="clear" w:color="auto" w:fill="auto"/>
            <w:noWrap/>
            <w:vAlign w:val="bottom"/>
            <w:hideMark/>
          </w:tcPr>
          <w:p w14:paraId="588BE83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2,392 </w:t>
            </w:r>
          </w:p>
        </w:tc>
      </w:tr>
      <w:tr w:rsidR="007470C1" w:rsidRPr="007470C1" w14:paraId="28927269" w14:textId="77777777" w:rsidTr="007470C1">
        <w:trPr>
          <w:trHeight w:val="300"/>
        </w:trPr>
        <w:tc>
          <w:tcPr>
            <w:tcW w:w="5020" w:type="dxa"/>
            <w:tcBorders>
              <w:top w:val="nil"/>
              <w:left w:val="nil"/>
              <w:bottom w:val="nil"/>
              <w:right w:val="nil"/>
            </w:tcBorders>
            <w:shd w:val="clear" w:color="auto" w:fill="auto"/>
            <w:noWrap/>
            <w:vAlign w:val="bottom"/>
            <w:hideMark/>
          </w:tcPr>
          <w:p w14:paraId="75423371"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Total assets</w:t>
            </w:r>
          </w:p>
        </w:tc>
        <w:tc>
          <w:tcPr>
            <w:tcW w:w="1440" w:type="dxa"/>
            <w:tcBorders>
              <w:top w:val="nil"/>
              <w:left w:val="nil"/>
              <w:bottom w:val="single" w:sz="8" w:space="0" w:color="auto"/>
              <w:right w:val="nil"/>
            </w:tcBorders>
            <w:shd w:val="clear" w:color="auto" w:fill="auto"/>
            <w:noWrap/>
            <w:vAlign w:val="bottom"/>
            <w:hideMark/>
          </w:tcPr>
          <w:p w14:paraId="07BC645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172,384 </w:t>
            </w:r>
          </w:p>
        </w:tc>
        <w:tc>
          <w:tcPr>
            <w:tcW w:w="180" w:type="dxa"/>
            <w:tcBorders>
              <w:top w:val="nil"/>
              <w:left w:val="nil"/>
              <w:bottom w:val="nil"/>
              <w:right w:val="nil"/>
            </w:tcBorders>
            <w:shd w:val="clear" w:color="auto" w:fill="auto"/>
            <w:noWrap/>
            <w:vAlign w:val="bottom"/>
            <w:hideMark/>
          </w:tcPr>
          <w:p w14:paraId="61626C3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8" w:space="0" w:color="auto"/>
              <w:right w:val="nil"/>
            </w:tcBorders>
            <w:shd w:val="clear" w:color="auto" w:fill="auto"/>
            <w:noWrap/>
            <w:vAlign w:val="bottom"/>
            <w:hideMark/>
          </w:tcPr>
          <w:p w14:paraId="17DD870B"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  142,431 </w:t>
            </w:r>
          </w:p>
        </w:tc>
      </w:tr>
      <w:tr w:rsidR="007470C1" w:rsidRPr="007470C1" w14:paraId="0C3671A0" w14:textId="77777777" w:rsidTr="007470C1">
        <w:trPr>
          <w:trHeight w:val="285"/>
        </w:trPr>
        <w:tc>
          <w:tcPr>
            <w:tcW w:w="5020" w:type="dxa"/>
            <w:tcBorders>
              <w:top w:val="nil"/>
              <w:left w:val="nil"/>
              <w:bottom w:val="nil"/>
              <w:right w:val="nil"/>
            </w:tcBorders>
            <w:shd w:val="clear" w:color="auto" w:fill="auto"/>
            <w:noWrap/>
            <w:vAlign w:val="bottom"/>
            <w:hideMark/>
          </w:tcPr>
          <w:p w14:paraId="153BEF94"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440" w:type="dxa"/>
            <w:tcBorders>
              <w:top w:val="nil"/>
              <w:left w:val="nil"/>
              <w:bottom w:val="nil"/>
              <w:right w:val="nil"/>
            </w:tcBorders>
            <w:shd w:val="clear" w:color="auto" w:fill="auto"/>
            <w:noWrap/>
            <w:vAlign w:val="bottom"/>
            <w:hideMark/>
          </w:tcPr>
          <w:p w14:paraId="3762B48B" w14:textId="77777777" w:rsidR="007470C1" w:rsidRPr="007470C1" w:rsidRDefault="007470C1" w:rsidP="007470C1">
            <w:pPr>
              <w:spacing w:after="0" w:line="240" w:lineRule="auto"/>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60B4FFAD"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1AC17F1E" w14:textId="77777777" w:rsidR="007470C1" w:rsidRPr="007470C1" w:rsidRDefault="007470C1" w:rsidP="007470C1">
            <w:pPr>
              <w:spacing w:after="0" w:line="240" w:lineRule="auto"/>
              <w:rPr>
                <w:rFonts w:ascii="Times New Roman" w:eastAsia="Times New Roman" w:hAnsi="Times New Roman"/>
                <w:sz w:val="20"/>
                <w:szCs w:val="20"/>
              </w:rPr>
            </w:pPr>
          </w:p>
        </w:tc>
      </w:tr>
      <w:tr w:rsidR="007470C1" w:rsidRPr="007470C1" w14:paraId="18341D9D" w14:textId="77777777" w:rsidTr="007470C1">
        <w:trPr>
          <w:trHeight w:val="285"/>
        </w:trPr>
        <w:tc>
          <w:tcPr>
            <w:tcW w:w="5020" w:type="dxa"/>
            <w:tcBorders>
              <w:top w:val="nil"/>
              <w:left w:val="nil"/>
              <w:bottom w:val="nil"/>
              <w:right w:val="nil"/>
            </w:tcBorders>
            <w:shd w:val="clear" w:color="auto" w:fill="auto"/>
            <w:noWrap/>
            <w:vAlign w:val="bottom"/>
            <w:hideMark/>
          </w:tcPr>
          <w:p w14:paraId="1FB1C4CB"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Liabilities and stockholders' equity</w:t>
            </w:r>
          </w:p>
        </w:tc>
        <w:tc>
          <w:tcPr>
            <w:tcW w:w="1440" w:type="dxa"/>
            <w:tcBorders>
              <w:top w:val="nil"/>
              <w:left w:val="nil"/>
              <w:bottom w:val="nil"/>
              <w:right w:val="nil"/>
            </w:tcBorders>
            <w:shd w:val="clear" w:color="auto" w:fill="auto"/>
            <w:noWrap/>
            <w:vAlign w:val="bottom"/>
            <w:hideMark/>
          </w:tcPr>
          <w:p w14:paraId="01D76608" w14:textId="77777777" w:rsidR="007470C1" w:rsidRPr="007470C1" w:rsidRDefault="007470C1" w:rsidP="007470C1">
            <w:pPr>
              <w:spacing w:after="0" w:line="240" w:lineRule="auto"/>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3F7202EB"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13E6CC31" w14:textId="77777777" w:rsidR="007470C1" w:rsidRPr="007470C1" w:rsidRDefault="007470C1" w:rsidP="007470C1">
            <w:pPr>
              <w:spacing w:after="0" w:line="240" w:lineRule="auto"/>
              <w:rPr>
                <w:rFonts w:ascii="Times New Roman" w:eastAsia="Times New Roman" w:hAnsi="Times New Roman"/>
                <w:sz w:val="20"/>
                <w:szCs w:val="20"/>
              </w:rPr>
            </w:pPr>
          </w:p>
        </w:tc>
      </w:tr>
      <w:tr w:rsidR="007470C1" w:rsidRPr="007470C1" w14:paraId="50399EAD" w14:textId="77777777" w:rsidTr="007470C1">
        <w:trPr>
          <w:trHeight w:val="285"/>
        </w:trPr>
        <w:tc>
          <w:tcPr>
            <w:tcW w:w="5020" w:type="dxa"/>
            <w:tcBorders>
              <w:top w:val="nil"/>
              <w:left w:val="nil"/>
              <w:bottom w:val="nil"/>
              <w:right w:val="nil"/>
            </w:tcBorders>
            <w:shd w:val="clear" w:color="auto" w:fill="auto"/>
            <w:noWrap/>
            <w:vAlign w:val="bottom"/>
            <w:hideMark/>
          </w:tcPr>
          <w:p w14:paraId="2260D126"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Current liabilities:</w:t>
            </w:r>
          </w:p>
        </w:tc>
        <w:tc>
          <w:tcPr>
            <w:tcW w:w="1440" w:type="dxa"/>
            <w:tcBorders>
              <w:top w:val="nil"/>
              <w:left w:val="nil"/>
              <w:bottom w:val="nil"/>
              <w:right w:val="nil"/>
            </w:tcBorders>
            <w:shd w:val="clear" w:color="auto" w:fill="auto"/>
            <w:noWrap/>
            <w:vAlign w:val="bottom"/>
            <w:hideMark/>
          </w:tcPr>
          <w:p w14:paraId="774472B9" w14:textId="77777777" w:rsidR="007470C1" w:rsidRPr="007470C1" w:rsidRDefault="007470C1" w:rsidP="007470C1">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17F20DD5"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3C096A23" w14:textId="77777777" w:rsidR="007470C1" w:rsidRPr="007470C1" w:rsidRDefault="007470C1" w:rsidP="007470C1">
            <w:pPr>
              <w:spacing w:after="0" w:line="240" w:lineRule="auto"/>
              <w:rPr>
                <w:rFonts w:ascii="Times New Roman" w:eastAsia="Times New Roman" w:hAnsi="Times New Roman"/>
                <w:sz w:val="20"/>
                <w:szCs w:val="20"/>
              </w:rPr>
            </w:pPr>
          </w:p>
        </w:tc>
      </w:tr>
      <w:tr w:rsidR="007470C1" w:rsidRPr="007470C1" w14:paraId="18ACB253" w14:textId="77777777" w:rsidTr="007470C1">
        <w:trPr>
          <w:trHeight w:val="285"/>
        </w:trPr>
        <w:tc>
          <w:tcPr>
            <w:tcW w:w="5020" w:type="dxa"/>
            <w:tcBorders>
              <w:top w:val="nil"/>
              <w:left w:val="nil"/>
              <w:bottom w:val="nil"/>
              <w:right w:val="nil"/>
            </w:tcBorders>
            <w:shd w:val="clear" w:color="auto" w:fill="auto"/>
            <w:noWrap/>
            <w:vAlign w:val="bottom"/>
            <w:hideMark/>
          </w:tcPr>
          <w:p w14:paraId="4D892425"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Accounts payable</w:t>
            </w:r>
          </w:p>
        </w:tc>
        <w:tc>
          <w:tcPr>
            <w:tcW w:w="1440" w:type="dxa"/>
            <w:tcBorders>
              <w:top w:val="nil"/>
              <w:left w:val="nil"/>
              <w:bottom w:val="nil"/>
              <w:right w:val="nil"/>
            </w:tcBorders>
            <w:shd w:val="clear" w:color="auto" w:fill="auto"/>
            <w:noWrap/>
            <w:vAlign w:val="bottom"/>
            <w:hideMark/>
          </w:tcPr>
          <w:p w14:paraId="213C7C5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7,432 </w:t>
            </w:r>
          </w:p>
        </w:tc>
        <w:tc>
          <w:tcPr>
            <w:tcW w:w="180" w:type="dxa"/>
            <w:tcBorders>
              <w:top w:val="nil"/>
              <w:left w:val="nil"/>
              <w:bottom w:val="nil"/>
              <w:right w:val="nil"/>
            </w:tcBorders>
            <w:shd w:val="clear" w:color="auto" w:fill="auto"/>
            <w:noWrap/>
            <w:vAlign w:val="bottom"/>
            <w:hideMark/>
          </w:tcPr>
          <w:p w14:paraId="287B6B8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21D8E3E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      4,828 </w:t>
            </w:r>
          </w:p>
        </w:tc>
      </w:tr>
      <w:tr w:rsidR="007470C1" w:rsidRPr="007470C1" w14:paraId="2450986B" w14:textId="77777777" w:rsidTr="007470C1">
        <w:trPr>
          <w:trHeight w:val="285"/>
        </w:trPr>
        <w:tc>
          <w:tcPr>
            <w:tcW w:w="5020" w:type="dxa"/>
            <w:tcBorders>
              <w:top w:val="nil"/>
              <w:left w:val="nil"/>
              <w:bottom w:val="nil"/>
              <w:right w:val="nil"/>
            </w:tcBorders>
            <w:shd w:val="clear" w:color="auto" w:fill="auto"/>
            <w:noWrap/>
            <w:vAlign w:val="bottom"/>
            <w:hideMark/>
          </w:tcPr>
          <w:p w14:paraId="3441C89C"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Short-term debt</w:t>
            </w:r>
          </w:p>
        </w:tc>
        <w:tc>
          <w:tcPr>
            <w:tcW w:w="1440" w:type="dxa"/>
            <w:tcBorders>
              <w:top w:val="nil"/>
              <w:left w:val="nil"/>
              <w:bottom w:val="nil"/>
              <w:right w:val="nil"/>
            </w:tcBorders>
            <w:shd w:val="clear" w:color="auto" w:fill="auto"/>
            <w:noWrap/>
            <w:vAlign w:val="bottom"/>
            <w:hideMark/>
          </w:tcPr>
          <w:p w14:paraId="5AB9D3D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2,000 </w:t>
            </w:r>
          </w:p>
        </w:tc>
        <w:tc>
          <w:tcPr>
            <w:tcW w:w="180" w:type="dxa"/>
            <w:tcBorders>
              <w:top w:val="nil"/>
              <w:left w:val="nil"/>
              <w:bottom w:val="nil"/>
              <w:right w:val="nil"/>
            </w:tcBorders>
            <w:shd w:val="clear" w:color="auto" w:fill="auto"/>
            <w:noWrap/>
            <w:vAlign w:val="bottom"/>
            <w:hideMark/>
          </w:tcPr>
          <w:p w14:paraId="2600269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6ED60A28"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0 </w:t>
            </w:r>
          </w:p>
        </w:tc>
      </w:tr>
      <w:tr w:rsidR="007470C1" w:rsidRPr="007470C1" w14:paraId="497BD070" w14:textId="77777777" w:rsidTr="007470C1">
        <w:trPr>
          <w:trHeight w:val="285"/>
        </w:trPr>
        <w:tc>
          <w:tcPr>
            <w:tcW w:w="5020" w:type="dxa"/>
            <w:tcBorders>
              <w:top w:val="nil"/>
              <w:left w:val="nil"/>
              <w:bottom w:val="nil"/>
              <w:right w:val="nil"/>
            </w:tcBorders>
            <w:shd w:val="clear" w:color="auto" w:fill="auto"/>
            <w:noWrap/>
            <w:vAlign w:val="bottom"/>
            <w:hideMark/>
          </w:tcPr>
          <w:p w14:paraId="42F40C53"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Current portion of long-term debt</w:t>
            </w:r>
          </w:p>
        </w:tc>
        <w:tc>
          <w:tcPr>
            <w:tcW w:w="1440" w:type="dxa"/>
            <w:tcBorders>
              <w:top w:val="nil"/>
              <w:left w:val="nil"/>
              <w:bottom w:val="nil"/>
              <w:right w:val="nil"/>
            </w:tcBorders>
            <w:shd w:val="clear" w:color="auto" w:fill="auto"/>
            <w:noWrap/>
            <w:vAlign w:val="bottom"/>
            <w:hideMark/>
          </w:tcPr>
          <w:p w14:paraId="2789A29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0 </w:t>
            </w:r>
          </w:p>
        </w:tc>
        <w:tc>
          <w:tcPr>
            <w:tcW w:w="180" w:type="dxa"/>
            <w:tcBorders>
              <w:top w:val="nil"/>
              <w:left w:val="nil"/>
              <w:bottom w:val="nil"/>
              <w:right w:val="nil"/>
            </w:tcBorders>
            <w:shd w:val="clear" w:color="auto" w:fill="auto"/>
            <w:noWrap/>
            <w:vAlign w:val="bottom"/>
            <w:hideMark/>
          </w:tcPr>
          <w:p w14:paraId="663078C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6C95CA39"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2,999 </w:t>
            </w:r>
          </w:p>
        </w:tc>
      </w:tr>
      <w:tr w:rsidR="007470C1" w:rsidRPr="007470C1" w14:paraId="2544EBA3" w14:textId="77777777" w:rsidTr="007470C1">
        <w:trPr>
          <w:trHeight w:val="285"/>
        </w:trPr>
        <w:tc>
          <w:tcPr>
            <w:tcW w:w="5020" w:type="dxa"/>
            <w:tcBorders>
              <w:top w:val="nil"/>
              <w:left w:val="nil"/>
              <w:bottom w:val="nil"/>
              <w:right w:val="nil"/>
            </w:tcBorders>
            <w:shd w:val="clear" w:color="auto" w:fill="auto"/>
            <w:noWrap/>
            <w:vAlign w:val="bottom"/>
            <w:hideMark/>
          </w:tcPr>
          <w:p w14:paraId="2DF82989"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Accrued compensation</w:t>
            </w:r>
          </w:p>
        </w:tc>
        <w:tc>
          <w:tcPr>
            <w:tcW w:w="1440" w:type="dxa"/>
            <w:tcBorders>
              <w:top w:val="nil"/>
              <w:left w:val="nil"/>
              <w:bottom w:val="nil"/>
              <w:right w:val="nil"/>
            </w:tcBorders>
            <w:shd w:val="clear" w:color="auto" w:fill="auto"/>
            <w:noWrap/>
            <w:vAlign w:val="bottom"/>
            <w:hideMark/>
          </w:tcPr>
          <w:p w14:paraId="245E463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4,797 </w:t>
            </w:r>
          </w:p>
        </w:tc>
        <w:tc>
          <w:tcPr>
            <w:tcW w:w="180" w:type="dxa"/>
            <w:tcBorders>
              <w:top w:val="nil"/>
              <w:left w:val="nil"/>
              <w:bottom w:val="nil"/>
              <w:right w:val="nil"/>
            </w:tcBorders>
            <w:shd w:val="clear" w:color="auto" w:fill="auto"/>
            <w:noWrap/>
            <w:vAlign w:val="bottom"/>
            <w:hideMark/>
          </w:tcPr>
          <w:p w14:paraId="4FB940F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10FF17E8"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4,117 </w:t>
            </w:r>
          </w:p>
        </w:tc>
      </w:tr>
      <w:tr w:rsidR="007470C1" w:rsidRPr="007470C1" w14:paraId="4F544F8B" w14:textId="77777777" w:rsidTr="007470C1">
        <w:trPr>
          <w:trHeight w:val="285"/>
        </w:trPr>
        <w:tc>
          <w:tcPr>
            <w:tcW w:w="5020" w:type="dxa"/>
            <w:tcBorders>
              <w:top w:val="nil"/>
              <w:left w:val="nil"/>
              <w:bottom w:val="nil"/>
              <w:right w:val="nil"/>
            </w:tcBorders>
            <w:shd w:val="clear" w:color="auto" w:fill="auto"/>
            <w:noWrap/>
            <w:vAlign w:val="bottom"/>
            <w:hideMark/>
          </w:tcPr>
          <w:p w14:paraId="60108336"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Income taxes</w:t>
            </w:r>
          </w:p>
        </w:tc>
        <w:tc>
          <w:tcPr>
            <w:tcW w:w="1440" w:type="dxa"/>
            <w:tcBorders>
              <w:top w:val="nil"/>
              <w:left w:val="nil"/>
              <w:bottom w:val="nil"/>
              <w:right w:val="nil"/>
            </w:tcBorders>
            <w:shd w:val="clear" w:color="auto" w:fill="auto"/>
            <w:noWrap/>
            <w:vAlign w:val="bottom"/>
            <w:hideMark/>
          </w:tcPr>
          <w:p w14:paraId="748694E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782 </w:t>
            </w:r>
          </w:p>
        </w:tc>
        <w:tc>
          <w:tcPr>
            <w:tcW w:w="180" w:type="dxa"/>
            <w:tcBorders>
              <w:top w:val="nil"/>
              <w:left w:val="nil"/>
              <w:bottom w:val="nil"/>
              <w:right w:val="nil"/>
            </w:tcBorders>
            <w:shd w:val="clear" w:color="auto" w:fill="auto"/>
            <w:noWrap/>
            <w:vAlign w:val="bottom"/>
            <w:hideMark/>
          </w:tcPr>
          <w:p w14:paraId="6A0AECB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4027BB9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592 </w:t>
            </w:r>
          </w:p>
        </w:tc>
      </w:tr>
      <w:tr w:rsidR="007470C1" w:rsidRPr="007470C1" w14:paraId="21B63052" w14:textId="77777777" w:rsidTr="007470C1">
        <w:trPr>
          <w:trHeight w:val="285"/>
        </w:trPr>
        <w:tc>
          <w:tcPr>
            <w:tcW w:w="5020" w:type="dxa"/>
            <w:tcBorders>
              <w:top w:val="nil"/>
              <w:left w:val="nil"/>
              <w:bottom w:val="nil"/>
              <w:right w:val="nil"/>
            </w:tcBorders>
            <w:shd w:val="clear" w:color="auto" w:fill="auto"/>
            <w:noWrap/>
            <w:vAlign w:val="bottom"/>
            <w:hideMark/>
          </w:tcPr>
          <w:p w14:paraId="707C7078"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Short-term unearned revenue</w:t>
            </w:r>
          </w:p>
        </w:tc>
        <w:tc>
          <w:tcPr>
            <w:tcW w:w="1440" w:type="dxa"/>
            <w:tcBorders>
              <w:top w:val="nil"/>
              <w:left w:val="nil"/>
              <w:bottom w:val="nil"/>
              <w:right w:val="nil"/>
            </w:tcBorders>
            <w:shd w:val="clear" w:color="auto" w:fill="auto"/>
            <w:noWrap/>
            <w:vAlign w:val="bottom"/>
            <w:hideMark/>
          </w:tcPr>
          <w:p w14:paraId="70F397C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23,150 </w:t>
            </w:r>
          </w:p>
        </w:tc>
        <w:tc>
          <w:tcPr>
            <w:tcW w:w="180" w:type="dxa"/>
            <w:tcBorders>
              <w:top w:val="nil"/>
              <w:left w:val="nil"/>
              <w:bottom w:val="nil"/>
              <w:right w:val="nil"/>
            </w:tcBorders>
            <w:shd w:val="clear" w:color="auto" w:fill="auto"/>
            <w:noWrap/>
            <w:vAlign w:val="bottom"/>
            <w:hideMark/>
          </w:tcPr>
          <w:p w14:paraId="4C13055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10BF9B51"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20,639 </w:t>
            </w:r>
          </w:p>
        </w:tc>
      </w:tr>
      <w:tr w:rsidR="007470C1" w:rsidRPr="007470C1" w14:paraId="105DE3BB" w14:textId="77777777" w:rsidTr="007470C1">
        <w:trPr>
          <w:trHeight w:val="285"/>
        </w:trPr>
        <w:tc>
          <w:tcPr>
            <w:tcW w:w="5020" w:type="dxa"/>
            <w:tcBorders>
              <w:top w:val="nil"/>
              <w:left w:val="nil"/>
              <w:bottom w:val="nil"/>
              <w:right w:val="nil"/>
            </w:tcBorders>
            <w:shd w:val="clear" w:color="auto" w:fill="auto"/>
            <w:noWrap/>
            <w:vAlign w:val="bottom"/>
            <w:hideMark/>
          </w:tcPr>
          <w:p w14:paraId="65686E9D"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Securities lending payable</w:t>
            </w:r>
          </w:p>
        </w:tc>
        <w:tc>
          <w:tcPr>
            <w:tcW w:w="1440" w:type="dxa"/>
            <w:tcBorders>
              <w:top w:val="nil"/>
              <w:left w:val="nil"/>
              <w:bottom w:val="nil"/>
              <w:right w:val="nil"/>
            </w:tcBorders>
            <w:shd w:val="clear" w:color="auto" w:fill="auto"/>
            <w:noWrap/>
            <w:vAlign w:val="bottom"/>
            <w:hideMark/>
          </w:tcPr>
          <w:p w14:paraId="7268590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558 </w:t>
            </w:r>
          </w:p>
        </w:tc>
        <w:tc>
          <w:tcPr>
            <w:tcW w:w="180" w:type="dxa"/>
            <w:tcBorders>
              <w:top w:val="nil"/>
              <w:left w:val="nil"/>
              <w:bottom w:val="nil"/>
              <w:right w:val="nil"/>
            </w:tcBorders>
            <w:shd w:val="clear" w:color="auto" w:fill="auto"/>
            <w:noWrap/>
            <w:vAlign w:val="bottom"/>
            <w:hideMark/>
          </w:tcPr>
          <w:p w14:paraId="282CFD4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60FE21A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645 </w:t>
            </w:r>
          </w:p>
        </w:tc>
      </w:tr>
      <w:tr w:rsidR="007470C1" w:rsidRPr="007470C1" w14:paraId="7C712F96" w14:textId="77777777" w:rsidTr="007470C1">
        <w:trPr>
          <w:trHeight w:val="285"/>
        </w:trPr>
        <w:tc>
          <w:tcPr>
            <w:tcW w:w="5020" w:type="dxa"/>
            <w:tcBorders>
              <w:top w:val="nil"/>
              <w:left w:val="nil"/>
              <w:bottom w:val="single" w:sz="4" w:space="0" w:color="auto"/>
              <w:right w:val="nil"/>
            </w:tcBorders>
            <w:shd w:val="clear" w:color="auto" w:fill="auto"/>
            <w:noWrap/>
            <w:vAlign w:val="bottom"/>
            <w:hideMark/>
          </w:tcPr>
          <w:p w14:paraId="7CF62B29"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Other</w:t>
            </w:r>
          </w:p>
        </w:tc>
        <w:tc>
          <w:tcPr>
            <w:tcW w:w="1440" w:type="dxa"/>
            <w:tcBorders>
              <w:top w:val="nil"/>
              <w:left w:val="nil"/>
              <w:bottom w:val="single" w:sz="4" w:space="0" w:color="auto"/>
              <w:right w:val="nil"/>
            </w:tcBorders>
            <w:shd w:val="clear" w:color="auto" w:fill="auto"/>
            <w:noWrap/>
            <w:vAlign w:val="bottom"/>
            <w:hideMark/>
          </w:tcPr>
          <w:p w14:paraId="0AE2C6D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6,906 </w:t>
            </w:r>
          </w:p>
        </w:tc>
        <w:tc>
          <w:tcPr>
            <w:tcW w:w="180" w:type="dxa"/>
            <w:tcBorders>
              <w:top w:val="nil"/>
              <w:left w:val="nil"/>
              <w:bottom w:val="nil"/>
              <w:right w:val="nil"/>
            </w:tcBorders>
            <w:shd w:val="clear" w:color="auto" w:fill="auto"/>
            <w:noWrap/>
            <w:vAlign w:val="bottom"/>
            <w:hideMark/>
          </w:tcPr>
          <w:p w14:paraId="38F41FF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4" w:space="0" w:color="auto"/>
              <w:right w:val="nil"/>
            </w:tcBorders>
            <w:shd w:val="clear" w:color="auto" w:fill="auto"/>
            <w:noWrap/>
            <w:vAlign w:val="bottom"/>
            <w:hideMark/>
          </w:tcPr>
          <w:p w14:paraId="087B477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3,597 </w:t>
            </w:r>
          </w:p>
        </w:tc>
      </w:tr>
      <w:tr w:rsidR="007470C1" w:rsidRPr="007470C1" w14:paraId="553B66AA" w14:textId="77777777" w:rsidTr="007470C1">
        <w:trPr>
          <w:trHeight w:val="285"/>
        </w:trPr>
        <w:tc>
          <w:tcPr>
            <w:tcW w:w="5020" w:type="dxa"/>
            <w:tcBorders>
              <w:top w:val="nil"/>
              <w:left w:val="nil"/>
              <w:bottom w:val="nil"/>
              <w:right w:val="nil"/>
            </w:tcBorders>
            <w:shd w:val="clear" w:color="auto" w:fill="auto"/>
            <w:noWrap/>
            <w:vAlign w:val="bottom"/>
            <w:hideMark/>
          </w:tcPr>
          <w:p w14:paraId="1D3B96C3"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Total current liabilities</w:t>
            </w:r>
          </w:p>
        </w:tc>
        <w:tc>
          <w:tcPr>
            <w:tcW w:w="1440" w:type="dxa"/>
            <w:tcBorders>
              <w:top w:val="nil"/>
              <w:left w:val="nil"/>
              <w:bottom w:val="nil"/>
              <w:right w:val="nil"/>
            </w:tcBorders>
            <w:shd w:val="clear" w:color="auto" w:fill="auto"/>
            <w:noWrap/>
            <w:vAlign w:val="bottom"/>
            <w:hideMark/>
          </w:tcPr>
          <w:p w14:paraId="121387B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45,625 </w:t>
            </w:r>
          </w:p>
        </w:tc>
        <w:tc>
          <w:tcPr>
            <w:tcW w:w="180" w:type="dxa"/>
            <w:tcBorders>
              <w:top w:val="nil"/>
              <w:left w:val="nil"/>
              <w:bottom w:val="nil"/>
              <w:right w:val="nil"/>
            </w:tcBorders>
            <w:shd w:val="clear" w:color="auto" w:fill="auto"/>
            <w:noWrap/>
            <w:vAlign w:val="bottom"/>
            <w:hideMark/>
          </w:tcPr>
          <w:p w14:paraId="1249446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1FD1F89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37,417 </w:t>
            </w:r>
          </w:p>
        </w:tc>
      </w:tr>
      <w:tr w:rsidR="007470C1" w:rsidRPr="007470C1" w14:paraId="415DDA1D" w14:textId="77777777" w:rsidTr="007470C1">
        <w:trPr>
          <w:trHeight w:val="285"/>
        </w:trPr>
        <w:tc>
          <w:tcPr>
            <w:tcW w:w="5020" w:type="dxa"/>
            <w:tcBorders>
              <w:top w:val="nil"/>
              <w:left w:val="nil"/>
              <w:bottom w:val="nil"/>
              <w:right w:val="nil"/>
            </w:tcBorders>
            <w:shd w:val="clear" w:color="auto" w:fill="auto"/>
            <w:noWrap/>
            <w:vAlign w:val="bottom"/>
            <w:hideMark/>
          </w:tcPr>
          <w:p w14:paraId="62DE7A79"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Long-term debt</w:t>
            </w:r>
          </w:p>
        </w:tc>
        <w:tc>
          <w:tcPr>
            <w:tcW w:w="1440" w:type="dxa"/>
            <w:tcBorders>
              <w:top w:val="nil"/>
              <w:left w:val="nil"/>
              <w:bottom w:val="nil"/>
              <w:right w:val="nil"/>
            </w:tcBorders>
            <w:shd w:val="clear" w:color="auto" w:fill="auto"/>
            <w:noWrap/>
            <w:vAlign w:val="bottom"/>
            <w:hideMark/>
          </w:tcPr>
          <w:p w14:paraId="0C0D515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20,645 </w:t>
            </w:r>
          </w:p>
        </w:tc>
        <w:tc>
          <w:tcPr>
            <w:tcW w:w="180" w:type="dxa"/>
            <w:tcBorders>
              <w:top w:val="nil"/>
              <w:left w:val="nil"/>
              <w:bottom w:val="nil"/>
              <w:right w:val="nil"/>
            </w:tcBorders>
            <w:shd w:val="clear" w:color="auto" w:fill="auto"/>
            <w:noWrap/>
            <w:vAlign w:val="bottom"/>
            <w:hideMark/>
          </w:tcPr>
          <w:p w14:paraId="75F576B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64D7AEE8"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12,601 </w:t>
            </w:r>
          </w:p>
        </w:tc>
      </w:tr>
      <w:tr w:rsidR="007470C1" w:rsidRPr="007470C1" w14:paraId="75070237" w14:textId="77777777" w:rsidTr="007470C1">
        <w:trPr>
          <w:trHeight w:val="285"/>
        </w:trPr>
        <w:tc>
          <w:tcPr>
            <w:tcW w:w="5020" w:type="dxa"/>
            <w:tcBorders>
              <w:top w:val="nil"/>
              <w:left w:val="nil"/>
              <w:bottom w:val="nil"/>
              <w:right w:val="nil"/>
            </w:tcBorders>
            <w:shd w:val="clear" w:color="auto" w:fill="auto"/>
            <w:noWrap/>
            <w:vAlign w:val="bottom"/>
            <w:hideMark/>
          </w:tcPr>
          <w:p w14:paraId="48857096"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Long-term unearned revenue</w:t>
            </w:r>
          </w:p>
        </w:tc>
        <w:tc>
          <w:tcPr>
            <w:tcW w:w="1440" w:type="dxa"/>
            <w:tcBorders>
              <w:top w:val="nil"/>
              <w:left w:val="nil"/>
              <w:bottom w:val="nil"/>
              <w:right w:val="nil"/>
            </w:tcBorders>
            <w:shd w:val="clear" w:color="auto" w:fill="auto"/>
            <w:noWrap/>
            <w:vAlign w:val="bottom"/>
            <w:hideMark/>
          </w:tcPr>
          <w:p w14:paraId="423D137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2,008 </w:t>
            </w:r>
          </w:p>
        </w:tc>
        <w:tc>
          <w:tcPr>
            <w:tcW w:w="180" w:type="dxa"/>
            <w:tcBorders>
              <w:top w:val="nil"/>
              <w:left w:val="nil"/>
              <w:bottom w:val="nil"/>
              <w:right w:val="nil"/>
            </w:tcBorders>
            <w:shd w:val="clear" w:color="auto" w:fill="auto"/>
            <w:noWrap/>
            <w:vAlign w:val="bottom"/>
            <w:hideMark/>
          </w:tcPr>
          <w:p w14:paraId="3C20A86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4BEA428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1,760 </w:t>
            </w:r>
          </w:p>
        </w:tc>
      </w:tr>
      <w:tr w:rsidR="007470C1" w:rsidRPr="007470C1" w14:paraId="1B38D940" w14:textId="77777777" w:rsidTr="007470C1">
        <w:trPr>
          <w:trHeight w:val="285"/>
        </w:trPr>
        <w:tc>
          <w:tcPr>
            <w:tcW w:w="5020" w:type="dxa"/>
            <w:tcBorders>
              <w:top w:val="nil"/>
              <w:left w:val="nil"/>
              <w:bottom w:val="nil"/>
              <w:right w:val="nil"/>
            </w:tcBorders>
            <w:shd w:val="clear" w:color="auto" w:fill="auto"/>
            <w:noWrap/>
            <w:vAlign w:val="bottom"/>
            <w:hideMark/>
          </w:tcPr>
          <w:p w14:paraId="28ECFBA2"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Deferred income taxes</w:t>
            </w:r>
          </w:p>
        </w:tc>
        <w:tc>
          <w:tcPr>
            <w:tcW w:w="1440" w:type="dxa"/>
            <w:tcBorders>
              <w:top w:val="nil"/>
              <w:left w:val="nil"/>
              <w:bottom w:val="nil"/>
              <w:right w:val="nil"/>
            </w:tcBorders>
            <w:shd w:val="clear" w:color="auto" w:fill="auto"/>
            <w:noWrap/>
            <w:vAlign w:val="bottom"/>
            <w:hideMark/>
          </w:tcPr>
          <w:p w14:paraId="267E2EE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2,728 </w:t>
            </w:r>
          </w:p>
        </w:tc>
        <w:tc>
          <w:tcPr>
            <w:tcW w:w="180" w:type="dxa"/>
            <w:tcBorders>
              <w:top w:val="nil"/>
              <w:left w:val="nil"/>
              <w:bottom w:val="nil"/>
              <w:right w:val="nil"/>
            </w:tcBorders>
            <w:shd w:val="clear" w:color="auto" w:fill="auto"/>
            <w:noWrap/>
            <w:vAlign w:val="bottom"/>
            <w:hideMark/>
          </w:tcPr>
          <w:p w14:paraId="51D9039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0D6C9FB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1,709 </w:t>
            </w:r>
          </w:p>
        </w:tc>
      </w:tr>
      <w:tr w:rsidR="007470C1" w:rsidRPr="007470C1" w14:paraId="2B52EF3D" w14:textId="77777777" w:rsidTr="007470C1">
        <w:trPr>
          <w:trHeight w:val="330"/>
        </w:trPr>
        <w:tc>
          <w:tcPr>
            <w:tcW w:w="5020" w:type="dxa"/>
            <w:tcBorders>
              <w:top w:val="nil"/>
              <w:left w:val="nil"/>
              <w:bottom w:val="single" w:sz="4" w:space="0" w:color="auto"/>
              <w:right w:val="nil"/>
            </w:tcBorders>
            <w:shd w:val="clear" w:color="auto" w:fill="auto"/>
            <w:noWrap/>
            <w:vAlign w:val="bottom"/>
            <w:hideMark/>
          </w:tcPr>
          <w:p w14:paraId="6EF31994"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Other long-term liabilities</w:t>
            </w:r>
          </w:p>
        </w:tc>
        <w:tc>
          <w:tcPr>
            <w:tcW w:w="1440" w:type="dxa"/>
            <w:tcBorders>
              <w:top w:val="nil"/>
              <w:left w:val="nil"/>
              <w:bottom w:val="single" w:sz="4" w:space="0" w:color="auto"/>
              <w:right w:val="nil"/>
            </w:tcBorders>
            <w:shd w:val="clear" w:color="auto" w:fill="auto"/>
            <w:noWrap/>
            <w:vAlign w:val="bottom"/>
            <w:hideMark/>
          </w:tcPr>
          <w:p w14:paraId="7F293ED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11,594 </w:t>
            </w:r>
          </w:p>
        </w:tc>
        <w:tc>
          <w:tcPr>
            <w:tcW w:w="180" w:type="dxa"/>
            <w:tcBorders>
              <w:top w:val="nil"/>
              <w:left w:val="nil"/>
              <w:bottom w:val="nil"/>
              <w:right w:val="nil"/>
            </w:tcBorders>
            <w:shd w:val="clear" w:color="auto" w:fill="auto"/>
            <w:noWrap/>
            <w:vAlign w:val="bottom"/>
            <w:hideMark/>
          </w:tcPr>
          <w:p w14:paraId="6C5CDCE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4" w:space="0" w:color="auto"/>
              <w:right w:val="nil"/>
            </w:tcBorders>
            <w:shd w:val="clear" w:color="auto" w:fill="auto"/>
            <w:noWrap/>
            <w:vAlign w:val="bottom"/>
            <w:hideMark/>
          </w:tcPr>
          <w:p w14:paraId="419279AE"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10,000 </w:t>
            </w:r>
          </w:p>
        </w:tc>
      </w:tr>
      <w:tr w:rsidR="007470C1" w:rsidRPr="007470C1" w14:paraId="0F3CC694" w14:textId="77777777" w:rsidTr="007470C1">
        <w:trPr>
          <w:trHeight w:val="285"/>
        </w:trPr>
        <w:tc>
          <w:tcPr>
            <w:tcW w:w="5020" w:type="dxa"/>
            <w:tcBorders>
              <w:top w:val="nil"/>
              <w:left w:val="nil"/>
              <w:bottom w:val="single" w:sz="4" w:space="0" w:color="auto"/>
              <w:right w:val="nil"/>
            </w:tcBorders>
            <w:shd w:val="clear" w:color="auto" w:fill="auto"/>
            <w:noWrap/>
            <w:vAlign w:val="bottom"/>
            <w:hideMark/>
          </w:tcPr>
          <w:p w14:paraId="27B0C7A3"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Total liabilities</w:t>
            </w:r>
          </w:p>
        </w:tc>
        <w:tc>
          <w:tcPr>
            <w:tcW w:w="1440" w:type="dxa"/>
            <w:tcBorders>
              <w:top w:val="nil"/>
              <w:left w:val="nil"/>
              <w:bottom w:val="single" w:sz="4" w:space="0" w:color="auto"/>
              <w:right w:val="nil"/>
            </w:tcBorders>
            <w:shd w:val="clear" w:color="auto" w:fill="auto"/>
            <w:noWrap/>
            <w:vAlign w:val="bottom"/>
            <w:hideMark/>
          </w:tcPr>
          <w:p w14:paraId="43E76ED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82,600 </w:t>
            </w:r>
          </w:p>
        </w:tc>
        <w:tc>
          <w:tcPr>
            <w:tcW w:w="180" w:type="dxa"/>
            <w:tcBorders>
              <w:top w:val="nil"/>
              <w:left w:val="nil"/>
              <w:bottom w:val="nil"/>
              <w:right w:val="nil"/>
            </w:tcBorders>
            <w:shd w:val="clear" w:color="auto" w:fill="auto"/>
            <w:noWrap/>
            <w:vAlign w:val="bottom"/>
            <w:hideMark/>
          </w:tcPr>
          <w:p w14:paraId="2093F18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4" w:space="0" w:color="auto"/>
              <w:right w:val="nil"/>
            </w:tcBorders>
            <w:shd w:val="clear" w:color="auto" w:fill="auto"/>
            <w:noWrap/>
            <w:vAlign w:val="bottom"/>
            <w:hideMark/>
          </w:tcPr>
          <w:p w14:paraId="66A62741"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63,487 </w:t>
            </w:r>
          </w:p>
        </w:tc>
      </w:tr>
      <w:tr w:rsidR="007470C1" w:rsidRPr="007470C1" w14:paraId="44398A40" w14:textId="77777777" w:rsidTr="007470C1">
        <w:trPr>
          <w:trHeight w:val="285"/>
        </w:trPr>
        <w:tc>
          <w:tcPr>
            <w:tcW w:w="5020" w:type="dxa"/>
            <w:tcBorders>
              <w:top w:val="nil"/>
              <w:left w:val="nil"/>
              <w:bottom w:val="nil"/>
              <w:right w:val="nil"/>
            </w:tcBorders>
            <w:shd w:val="clear" w:color="auto" w:fill="auto"/>
            <w:noWrap/>
            <w:vAlign w:val="bottom"/>
            <w:hideMark/>
          </w:tcPr>
          <w:p w14:paraId="299AC6B4"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Commitments and contingencies</w:t>
            </w:r>
          </w:p>
        </w:tc>
        <w:tc>
          <w:tcPr>
            <w:tcW w:w="1440" w:type="dxa"/>
            <w:tcBorders>
              <w:top w:val="nil"/>
              <w:left w:val="nil"/>
              <w:bottom w:val="nil"/>
              <w:right w:val="nil"/>
            </w:tcBorders>
            <w:shd w:val="clear" w:color="auto" w:fill="auto"/>
            <w:noWrap/>
            <w:vAlign w:val="bottom"/>
            <w:hideMark/>
          </w:tcPr>
          <w:p w14:paraId="31C59DF1" w14:textId="77777777" w:rsidR="007470C1" w:rsidRPr="007470C1" w:rsidRDefault="007470C1" w:rsidP="007470C1">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0548E306"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583A00B2" w14:textId="77777777" w:rsidR="007470C1" w:rsidRPr="007470C1" w:rsidRDefault="007470C1" w:rsidP="007470C1">
            <w:pPr>
              <w:spacing w:after="0" w:line="240" w:lineRule="auto"/>
              <w:rPr>
                <w:rFonts w:ascii="Times New Roman" w:eastAsia="Times New Roman" w:hAnsi="Times New Roman"/>
                <w:sz w:val="20"/>
                <w:szCs w:val="20"/>
              </w:rPr>
            </w:pPr>
          </w:p>
        </w:tc>
      </w:tr>
      <w:tr w:rsidR="007470C1" w:rsidRPr="007470C1" w14:paraId="0451B1A6" w14:textId="77777777" w:rsidTr="007470C1">
        <w:trPr>
          <w:trHeight w:val="285"/>
        </w:trPr>
        <w:tc>
          <w:tcPr>
            <w:tcW w:w="5020" w:type="dxa"/>
            <w:tcBorders>
              <w:top w:val="nil"/>
              <w:left w:val="nil"/>
              <w:bottom w:val="nil"/>
              <w:right w:val="nil"/>
            </w:tcBorders>
            <w:shd w:val="clear" w:color="auto" w:fill="auto"/>
            <w:noWrap/>
            <w:vAlign w:val="bottom"/>
            <w:hideMark/>
          </w:tcPr>
          <w:p w14:paraId="6E798E11"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Stockholders' equity:</w:t>
            </w:r>
          </w:p>
        </w:tc>
        <w:tc>
          <w:tcPr>
            <w:tcW w:w="1440" w:type="dxa"/>
            <w:tcBorders>
              <w:top w:val="nil"/>
              <w:left w:val="nil"/>
              <w:bottom w:val="nil"/>
              <w:right w:val="nil"/>
            </w:tcBorders>
            <w:shd w:val="clear" w:color="auto" w:fill="auto"/>
            <w:noWrap/>
            <w:vAlign w:val="bottom"/>
            <w:hideMark/>
          </w:tcPr>
          <w:p w14:paraId="484C13B1" w14:textId="77777777" w:rsidR="007470C1" w:rsidRPr="007470C1" w:rsidRDefault="007470C1" w:rsidP="007470C1">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299C4E56"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6C75F555" w14:textId="77777777" w:rsidR="007470C1" w:rsidRPr="007470C1" w:rsidRDefault="007470C1" w:rsidP="007470C1">
            <w:pPr>
              <w:spacing w:after="0" w:line="240" w:lineRule="auto"/>
              <w:rPr>
                <w:rFonts w:ascii="Times New Roman" w:eastAsia="Times New Roman" w:hAnsi="Times New Roman"/>
                <w:sz w:val="20"/>
                <w:szCs w:val="20"/>
              </w:rPr>
            </w:pPr>
          </w:p>
        </w:tc>
      </w:tr>
      <w:tr w:rsidR="007470C1" w:rsidRPr="007470C1" w14:paraId="0037CF5A" w14:textId="77777777" w:rsidTr="007470C1">
        <w:trPr>
          <w:trHeight w:val="570"/>
        </w:trPr>
        <w:tc>
          <w:tcPr>
            <w:tcW w:w="5020" w:type="dxa"/>
            <w:tcBorders>
              <w:top w:val="nil"/>
              <w:left w:val="nil"/>
              <w:bottom w:val="nil"/>
              <w:right w:val="nil"/>
            </w:tcBorders>
            <w:shd w:val="clear" w:color="auto" w:fill="auto"/>
            <w:vAlign w:val="bottom"/>
            <w:hideMark/>
          </w:tcPr>
          <w:p w14:paraId="4D18D2D8"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Common stock and paid-in capital - shares</w:t>
            </w:r>
            <w:r w:rsidRPr="007470C1">
              <w:rPr>
                <w:rFonts w:ascii="Segoe UI" w:eastAsia="Times New Roman" w:hAnsi="Segoe UI" w:cs="Segoe UI"/>
                <w:color w:val="666666"/>
                <w:sz w:val="20"/>
                <w:szCs w:val="20"/>
              </w:rPr>
              <w:br/>
              <w:t xml:space="preserve">     authorized 24,000; outstanding </w:t>
            </w:r>
            <w:r w:rsidRPr="007470C1">
              <w:rPr>
                <w:rFonts w:ascii="Segoe UI" w:eastAsia="Times New Roman" w:hAnsi="Segoe UI" w:cs="Segoe UI"/>
                <w:b/>
                <w:bCs/>
                <w:color w:val="666666"/>
                <w:sz w:val="20"/>
                <w:szCs w:val="20"/>
              </w:rPr>
              <w:t>8,239</w:t>
            </w:r>
            <w:r w:rsidRPr="007470C1">
              <w:rPr>
                <w:rFonts w:ascii="Segoe UI" w:eastAsia="Times New Roman" w:hAnsi="Segoe UI" w:cs="Segoe UI"/>
                <w:color w:val="666666"/>
                <w:sz w:val="20"/>
                <w:szCs w:val="20"/>
              </w:rPr>
              <w:t xml:space="preserve"> and 8,328</w:t>
            </w:r>
          </w:p>
        </w:tc>
        <w:tc>
          <w:tcPr>
            <w:tcW w:w="1440" w:type="dxa"/>
            <w:tcBorders>
              <w:top w:val="nil"/>
              <w:left w:val="nil"/>
              <w:bottom w:val="nil"/>
              <w:right w:val="nil"/>
            </w:tcBorders>
            <w:shd w:val="clear" w:color="auto" w:fill="auto"/>
            <w:noWrap/>
            <w:vAlign w:val="bottom"/>
            <w:hideMark/>
          </w:tcPr>
          <w:p w14:paraId="4C5D826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68,366 </w:t>
            </w:r>
          </w:p>
        </w:tc>
        <w:tc>
          <w:tcPr>
            <w:tcW w:w="180" w:type="dxa"/>
            <w:tcBorders>
              <w:top w:val="nil"/>
              <w:left w:val="nil"/>
              <w:bottom w:val="nil"/>
              <w:right w:val="nil"/>
            </w:tcBorders>
            <w:shd w:val="clear" w:color="auto" w:fill="auto"/>
            <w:noWrap/>
            <w:vAlign w:val="bottom"/>
            <w:hideMark/>
          </w:tcPr>
          <w:p w14:paraId="3A5FC23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06AB99CC"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67,306 </w:t>
            </w:r>
          </w:p>
        </w:tc>
      </w:tr>
      <w:tr w:rsidR="007470C1" w:rsidRPr="007470C1" w14:paraId="74B61ACD" w14:textId="77777777" w:rsidTr="007470C1">
        <w:trPr>
          <w:trHeight w:val="285"/>
        </w:trPr>
        <w:tc>
          <w:tcPr>
            <w:tcW w:w="5020" w:type="dxa"/>
            <w:tcBorders>
              <w:top w:val="nil"/>
              <w:left w:val="nil"/>
              <w:bottom w:val="nil"/>
              <w:right w:val="nil"/>
            </w:tcBorders>
            <w:shd w:val="clear" w:color="auto" w:fill="auto"/>
            <w:vAlign w:val="bottom"/>
            <w:hideMark/>
          </w:tcPr>
          <w:p w14:paraId="781A518F"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Retained earnings</w:t>
            </w:r>
          </w:p>
        </w:tc>
        <w:tc>
          <w:tcPr>
            <w:tcW w:w="1440" w:type="dxa"/>
            <w:tcBorders>
              <w:top w:val="nil"/>
              <w:left w:val="nil"/>
              <w:bottom w:val="nil"/>
              <w:right w:val="nil"/>
            </w:tcBorders>
            <w:shd w:val="clear" w:color="auto" w:fill="auto"/>
            <w:noWrap/>
            <w:vAlign w:val="bottom"/>
            <w:hideMark/>
          </w:tcPr>
          <w:p w14:paraId="24B7DF0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17,710 </w:t>
            </w:r>
          </w:p>
        </w:tc>
        <w:tc>
          <w:tcPr>
            <w:tcW w:w="180" w:type="dxa"/>
            <w:tcBorders>
              <w:top w:val="nil"/>
              <w:left w:val="nil"/>
              <w:bottom w:val="nil"/>
              <w:right w:val="nil"/>
            </w:tcBorders>
            <w:shd w:val="clear" w:color="auto" w:fill="auto"/>
            <w:noWrap/>
            <w:vAlign w:val="bottom"/>
            <w:hideMark/>
          </w:tcPr>
          <w:p w14:paraId="3CF4C09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148CB2DA"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9,895 </w:t>
            </w:r>
          </w:p>
        </w:tc>
      </w:tr>
      <w:tr w:rsidR="007470C1" w:rsidRPr="007470C1" w14:paraId="19D94B57" w14:textId="77777777" w:rsidTr="007470C1">
        <w:trPr>
          <w:trHeight w:val="285"/>
        </w:trPr>
        <w:tc>
          <w:tcPr>
            <w:tcW w:w="5020" w:type="dxa"/>
            <w:tcBorders>
              <w:top w:val="nil"/>
              <w:left w:val="nil"/>
              <w:bottom w:val="single" w:sz="4" w:space="0" w:color="auto"/>
              <w:right w:val="nil"/>
            </w:tcBorders>
            <w:shd w:val="clear" w:color="auto" w:fill="auto"/>
            <w:noWrap/>
            <w:vAlign w:val="bottom"/>
            <w:hideMark/>
          </w:tcPr>
          <w:p w14:paraId="092F20DD"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lastRenderedPageBreak/>
              <w:t xml:space="preserve">  Accumulated other comprehensive income</w:t>
            </w:r>
          </w:p>
        </w:tc>
        <w:tc>
          <w:tcPr>
            <w:tcW w:w="1440" w:type="dxa"/>
            <w:tcBorders>
              <w:top w:val="nil"/>
              <w:left w:val="nil"/>
              <w:bottom w:val="single" w:sz="4" w:space="0" w:color="auto"/>
              <w:right w:val="nil"/>
            </w:tcBorders>
            <w:shd w:val="clear" w:color="auto" w:fill="auto"/>
            <w:noWrap/>
            <w:vAlign w:val="bottom"/>
            <w:hideMark/>
          </w:tcPr>
          <w:p w14:paraId="700C717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3,708 </w:t>
            </w:r>
          </w:p>
        </w:tc>
        <w:tc>
          <w:tcPr>
            <w:tcW w:w="180" w:type="dxa"/>
            <w:tcBorders>
              <w:top w:val="nil"/>
              <w:left w:val="nil"/>
              <w:bottom w:val="nil"/>
              <w:right w:val="nil"/>
            </w:tcBorders>
            <w:shd w:val="clear" w:color="auto" w:fill="auto"/>
            <w:noWrap/>
            <w:vAlign w:val="bottom"/>
            <w:hideMark/>
          </w:tcPr>
          <w:p w14:paraId="2869980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75FA2E9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1,743 </w:t>
            </w:r>
          </w:p>
        </w:tc>
      </w:tr>
      <w:tr w:rsidR="007470C1" w:rsidRPr="007470C1" w14:paraId="31A04FCA" w14:textId="77777777" w:rsidTr="007470C1">
        <w:trPr>
          <w:trHeight w:val="330"/>
        </w:trPr>
        <w:tc>
          <w:tcPr>
            <w:tcW w:w="5020" w:type="dxa"/>
            <w:tcBorders>
              <w:top w:val="nil"/>
              <w:left w:val="nil"/>
              <w:bottom w:val="single" w:sz="4" w:space="0" w:color="auto"/>
              <w:right w:val="nil"/>
            </w:tcBorders>
            <w:shd w:val="clear" w:color="auto" w:fill="auto"/>
            <w:noWrap/>
            <w:vAlign w:val="bottom"/>
            <w:hideMark/>
          </w:tcPr>
          <w:p w14:paraId="402C1A5A"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Total stockholders' equity</w:t>
            </w:r>
          </w:p>
        </w:tc>
        <w:tc>
          <w:tcPr>
            <w:tcW w:w="1440" w:type="dxa"/>
            <w:tcBorders>
              <w:top w:val="nil"/>
              <w:left w:val="nil"/>
              <w:bottom w:val="single" w:sz="4" w:space="0" w:color="auto"/>
              <w:right w:val="nil"/>
            </w:tcBorders>
            <w:shd w:val="clear" w:color="auto" w:fill="auto"/>
            <w:noWrap/>
            <w:vAlign w:val="bottom"/>
            <w:hideMark/>
          </w:tcPr>
          <w:p w14:paraId="76FBCF0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89,784 </w:t>
            </w:r>
          </w:p>
        </w:tc>
        <w:tc>
          <w:tcPr>
            <w:tcW w:w="180" w:type="dxa"/>
            <w:tcBorders>
              <w:top w:val="nil"/>
              <w:left w:val="nil"/>
              <w:bottom w:val="nil"/>
              <w:right w:val="nil"/>
            </w:tcBorders>
            <w:shd w:val="clear" w:color="auto" w:fill="auto"/>
            <w:noWrap/>
            <w:vAlign w:val="bottom"/>
            <w:hideMark/>
          </w:tcPr>
          <w:p w14:paraId="3543163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single" w:sz="4" w:space="0" w:color="auto"/>
              <w:left w:val="nil"/>
              <w:bottom w:val="single" w:sz="4" w:space="0" w:color="auto"/>
              <w:right w:val="nil"/>
            </w:tcBorders>
            <w:shd w:val="clear" w:color="auto" w:fill="auto"/>
            <w:noWrap/>
            <w:vAlign w:val="bottom"/>
            <w:hideMark/>
          </w:tcPr>
          <w:p w14:paraId="69B7220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78,944 </w:t>
            </w:r>
          </w:p>
        </w:tc>
      </w:tr>
      <w:tr w:rsidR="007470C1" w:rsidRPr="007470C1" w14:paraId="216C26EF" w14:textId="77777777" w:rsidTr="007470C1">
        <w:trPr>
          <w:trHeight w:val="345"/>
        </w:trPr>
        <w:tc>
          <w:tcPr>
            <w:tcW w:w="5020" w:type="dxa"/>
            <w:tcBorders>
              <w:top w:val="nil"/>
              <w:left w:val="nil"/>
              <w:bottom w:val="nil"/>
              <w:right w:val="nil"/>
            </w:tcBorders>
            <w:shd w:val="clear" w:color="auto" w:fill="auto"/>
            <w:noWrap/>
            <w:vAlign w:val="bottom"/>
            <w:hideMark/>
          </w:tcPr>
          <w:p w14:paraId="6E21C089"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Total liabilities and stockholders' equity</w:t>
            </w:r>
          </w:p>
        </w:tc>
        <w:tc>
          <w:tcPr>
            <w:tcW w:w="1440" w:type="dxa"/>
            <w:tcBorders>
              <w:top w:val="nil"/>
              <w:left w:val="nil"/>
              <w:bottom w:val="single" w:sz="8" w:space="0" w:color="auto"/>
              <w:right w:val="nil"/>
            </w:tcBorders>
            <w:shd w:val="clear" w:color="auto" w:fill="auto"/>
            <w:noWrap/>
            <w:vAlign w:val="bottom"/>
            <w:hideMark/>
          </w:tcPr>
          <w:p w14:paraId="1FE444E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172,384 </w:t>
            </w:r>
          </w:p>
        </w:tc>
        <w:tc>
          <w:tcPr>
            <w:tcW w:w="180" w:type="dxa"/>
            <w:tcBorders>
              <w:top w:val="nil"/>
              <w:left w:val="nil"/>
              <w:bottom w:val="nil"/>
              <w:right w:val="nil"/>
            </w:tcBorders>
            <w:shd w:val="clear" w:color="auto" w:fill="auto"/>
            <w:noWrap/>
            <w:vAlign w:val="bottom"/>
            <w:hideMark/>
          </w:tcPr>
          <w:p w14:paraId="1334129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8" w:space="0" w:color="auto"/>
              <w:right w:val="nil"/>
            </w:tcBorders>
            <w:shd w:val="clear" w:color="auto" w:fill="auto"/>
            <w:noWrap/>
            <w:vAlign w:val="bottom"/>
            <w:hideMark/>
          </w:tcPr>
          <w:p w14:paraId="4FB9AE9A"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  142,431 </w:t>
            </w:r>
          </w:p>
        </w:tc>
      </w:tr>
    </w:tbl>
    <w:p w14:paraId="5371BDCA" w14:textId="29570E80" w:rsidR="0047750B" w:rsidRDefault="0047750B" w:rsidP="0047750B">
      <w:r>
        <w:br w:type="page"/>
      </w:r>
    </w:p>
    <w:tbl>
      <w:tblPr>
        <w:tblW w:w="8509" w:type="dxa"/>
        <w:tblCellMar>
          <w:left w:w="0" w:type="dxa"/>
          <w:right w:w="0" w:type="dxa"/>
        </w:tblCellMar>
        <w:tblLook w:val="04A0" w:firstRow="1" w:lastRow="0" w:firstColumn="1" w:lastColumn="0" w:noHBand="0" w:noVBand="1"/>
      </w:tblPr>
      <w:tblGrid>
        <w:gridCol w:w="4056"/>
        <w:gridCol w:w="1150"/>
        <w:gridCol w:w="129"/>
        <w:gridCol w:w="909"/>
        <w:gridCol w:w="137"/>
        <w:gridCol w:w="1218"/>
        <w:gridCol w:w="129"/>
        <w:gridCol w:w="909"/>
      </w:tblGrid>
      <w:tr w:rsidR="007470C1" w:rsidRPr="007470C1" w14:paraId="27FC45D3" w14:textId="77777777" w:rsidTr="007470C1">
        <w:trPr>
          <w:trHeight w:val="285"/>
        </w:trPr>
        <w:tc>
          <w:tcPr>
            <w:tcW w:w="8509" w:type="dxa"/>
            <w:gridSpan w:val="8"/>
            <w:tcBorders>
              <w:top w:val="nil"/>
              <w:left w:val="nil"/>
              <w:bottom w:val="nil"/>
              <w:right w:val="nil"/>
            </w:tcBorders>
            <w:shd w:val="clear" w:color="auto" w:fill="auto"/>
            <w:noWrap/>
            <w:vAlign w:val="bottom"/>
            <w:hideMark/>
          </w:tcPr>
          <w:p w14:paraId="0244E470"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lastRenderedPageBreak/>
              <w:t>CASH FLOWS STATEMENTS</w:t>
            </w:r>
          </w:p>
        </w:tc>
      </w:tr>
      <w:tr w:rsidR="007470C1" w:rsidRPr="007470C1" w14:paraId="317F81F1" w14:textId="77777777" w:rsidTr="007470C1">
        <w:trPr>
          <w:trHeight w:val="285"/>
        </w:trPr>
        <w:tc>
          <w:tcPr>
            <w:tcW w:w="8509" w:type="dxa"/>
            <w:gridSpan w:val="8"/>
            <w:tcBorders>
              <w:top w:val="nil"/>
              <w:left w:val="nil"/>
              <w:bottom w:val="nil"/>
              <w:right w:val="nil"/>
            </w:tcBorders>
            <w:shd w:val="clear" w:color="auto" w:fill="auto"/>
            <w:noWrap/>
            <w:vAlign w:val="bottom"/>
            <w:hideMark/>
          </w:tcPr>
          <w:p w14:paraId="140F7EC8"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(In millions)(Unaudited)</w:t>
            </w:r>
          </w:p>
        </w:tc>
      </w:tr>
      <w:tr w:rsidR="007470C1" w:rsidRPr="007470C1" w14:paraId="6EA30A7E" w14:textId="77777777" w:rsidTr="007470C1">
        <w:trPr>
          <w:trHeight w:val="285"/>
        </w:trPr>
        <w:tc>
          <w:tcPr>
            <w:tcW w:w="4040" w:type="dxa"/>
            <w:tcBorders>
              <w:top w:val="nil"/>
              <w:left w:val="nil"/>
              <w:bottom w:val="nil"/>
              <w:right w:val="nil"/>
            </w:tcBorders>
            <w:shd w:val="clear" w:color="auto" w:fill="auto"/>
            <w:noWrap/>
            <w:vAlign w:val="bottom"/>
            <w:hideMark/>
          </w:tcPr>
          <w:p w14:paraId="03A8D8BD"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p>
        </w:tc>
        <w:tc>
          <w:tcPr>
            <w:tcW w:w="1134" w:type="dxa"/>
            <w:tcBorders>
              <w:top w:val="nil"/>
              <w:left w:val="nil"/>
              <w:bottom w:val="nil"/>
              <w:right w:val="nil"/>
            </w:tcBorders>
            <w:shd w:val="clear" w:color="auto" w:fill="auto"/>
            <w:noWrap/>
            <w:vAlign w:val="bottom"/>
            <w:hideMark/>
          </w:tcPr>
          <w:p w14:paraId="7F8F8A7F"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40C1210C"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4C1DAD63"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29919B9D"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520B980C"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21D4DF2D"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7E827A84" w14:textId="77777777" w:rsidR="007470C1" w:rsidRPr="007470C1" w:rsidRDefault="007470C1" w:rsidP="007470C1">
            <w:pPr>
              <w:spacing w:after="0" w:line="240" w:lineRule="auto"/>
              <w:jc w:val="center"/>
              <w:rPr>
                <w:rFonts w:ascii="Times New Roman" w:eastAsia="Times New Roman" w:hAnsi="Times New Roman"/>
                <w:sz w:val="20"/>
                <w:szCs w:val="20"/>
              </w:rPr>
            </w:pPr>
          </w:p>
        </w:tc>
      </w:tr>
      <w:tr w:rsidR="007470C1" w:rsidRPr="007470C1" w14:paraId="6418556B" w14:textId="77777777" w:rsidTr="007470C1">
        <w:trPr>
          <w:trHeight w:val="300"/>
        </w:trPr>
        <w:tc>
          <w:tcPr>
            <w:tcW w:w="4040" w:type="dxa"/>
            <w:tcBorders>
              <w:top w:val="nil"/>
              <w:left w:val="nil"/>
              <w:bottom w:val="nil"/>
              <w:right w:val="nil"/>
            </w:tcBorders>
            <w:shd w:val="clear" w:color="auto" w:fill="auto"/>
            <w:noWrap/>
            <w:vAlign w:val="bottom"/>
            <w:hideMark/>
          </w:tcPr>
          <w:p w14:paraId="7FD67D61"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2140" w:type="dxa"/>
            <w:gridSpan w:val="3"/>
            <w:vMerge w:val="restart"/>
            <w:tcBorders>
              <w:top w:val="nil"/>
              <w:left w:val="nil"/>
              <w:bottom w:val="nil"/>
              <w:right w:val="nil"/>
            </w:tcBorders>
            <w:shd w:val="clear" w:color="auto" w:fill="auto"/>
            <w:vAlign w:val="bottom"/>
            <w:hideMark/>
          </w:tcPr>
          <w:p w14:paraId="6294EAF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Three Months Ended June 30,</w:t>
            </w:r>
          </w:p>
        </w:tc>
        <w:tc>
          <w:tcPr>
            <w:tcW w:w="121" w:type="dxa"/>
            <w:tcBorders>
              <w:top w:val="nil"/>
              <w:left w:val="nil"/>
              <w:bottom w:val="nil"/>
              <w:right w:val="nil"/>
            </w:tcBorders>
            <w:shd w:val="clear" w:color="auto" w:fill="auto"/>
            <w:vAlign w:val="bottom"/>
            <w:hideMark/>
          </w:tcPr>
          <w:p w14:paraId="060637B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2208" w:type="dxa"/>
            <w:gridSpan w:val="3"/>
            <w:vMerge w:val="restart"/>
            <w:tcBorders>
              <w:top w:val="nil"/>
              <w:left w:val="nil"/>
              <w:bottom w:val="nil"/>
              <w:right w:val="nil"/>
            </w:tcBorders>
            <w:shd w:val="clear" w:color="auto" w:fill="auto"/>
            <w:vAlign w:val="bottom"/>
            <w:hideMark/>
          </w:tcPr>
          <w:p w14:paraId="3794D76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Twelve Months Ended June 30,</w:t>
            </w:r>
          </w:p>
        </w:tc>
      </w:tr>
      <w:tr w:rsidR="007470C1" w:rsidRPr="007470C1" w14:paraId="59557EA1" w14:textId="77777777" w:rsidTr="007470C1">
        <w:trPr>
          <w:trHeight w:val="285"/>
        </w:trPr>
        <w:tc>
          <w:tcPr>
            <w:tcW w:w="4040" w:type="dxa"/>
            <w:tcBorders>
              <w:top w:val="nil"/>
              <w:left w:val="nil"/>
              <w:bottom w:val="nil"/>
              <w:right w:val="nil"/>
            </w:tcBorders>
            <w:shd w:val="clear" w:color="auto" w:fill="auto"/>
            <w:noWrap/>
            <w:vAlign w:val="bottom"/>
            <w:hideMark/>
          </w:tcPr>
          <w:p w14:paraId="1491E34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2140" w:type="dxa"/>
            <w:gridSpan w:val="3"/>
            <w:vMerge/>
            <w:tcBorders>
              <w:top w:val="nil"/>
              <w:left w:val="nil"/>
              <w:bottom w:val="nil"/>
              <w:right w:val="nil"/>
            </w:tcBorders>
            <w:vAlign w:val="center"/>
            <w:hideMark/>
          </w:tcPr>
          <w:p w14:paraId="3BC81858" w14:textId="77777777" w:rsidR="007470C1" w:rsidRPr="007470C1" w:rsidRDefault="007470C1" w:rsidP="007470C1">
            <w:pPr>
              <w:spacing w:after="0" w:line="240" w:lineRule="auto"/>
              <w:rPr>
                <w:rFonts w:ascii="Segoe UI" w:eastAsia="Times New Roman" w:hAnsi="Segoe UI" w:cs="Segoe UI"/>
                <w:b/>
                <w:bCs/>
                <w:color w:val="666666"/>
                <w:sz w:val="20"/>
                <w:szCs w:val="20"/>
              </w:rPr>
            </w:pPr>
          </w:p>
        </w:tc>
        <w:tc>
          <w:tcPr>
            <w:tcW w:w="121" w:type="dxa"/>
            <w:tcBorders>
              <w:top w:val="nil"/>
              <w:left w:val="nil"/>
              <w:bottom w:val="nil"/>
              <w:right w:val="nil"/>
            </w:tcBorders>
            <w:shd w:val="clear" w:color="auto" w:fill="auto"/>
            <w:vAlign w:val="bottom"/>
            <w:hideMark/>
          </w:tcPr>
          <w:p w14:paraId="065AB8BF" w14:textId="77777777" w:rsidR="007470C1" w:rsidRPr="007470C1" w:rsidRDefault="007470C1" w:rsidP="007470C1">
            <w:pPr>
              <w:spacing w:after="0" w:line="240" w:lineRule="auto"/>
              <w:rPr>
                <w:rFonts w:ascii="Times New Roman" w:eastAsia="Times New Roman" w:hAnsi="Times New Roman"/>
                <w:sz w:val="20"/>
                <w:szCs w:val="20"/>
              </w:rPr>
            </w:pPr>
          </w:p>
        </w:tc>
        <w:tc>
          <w:tcPr>
            <w:tcW w:w="2208" w:type="dxa"/>
            <w:gridSpan w:val="3"/>
            <w:vMerge/>
            <w:tcBorders>
              <w:top w:val="nil"/>
              <w:left w:val="nil"/>
              <w:bottom w:val="nil"/>
              <w:right w:val="nil"/>
            </w:tcBorders>
            <w:vAlign w:val="center"/>
            <w:hideMark/>
          </w:tcPr>
          <w:p w14:paraId="616E2385" w14:textId="77777777" w:rsidR="007470C1" w:rsidRPr="007470C1" w:rsidRDefault="007470C1" w:rsidP="007470C1">
            <w:pPr>
              <w:spacing w:after="0" w:line="240" w:lineRule="auto"/>
              <w:rPr>
                <w:rFonts w:ascii="Segoe UI" w:eastAsia="Times New Roman" w:hAnsi="Segoe UI" w:cs="Segoe UI"/>
                <w:b/>
                <w:bCs/>
                <w:color w:val="666666"/>
                <w:sz w:val="20"/>
                <w:szCs w:val="20"/>
              </w:rPr>
            </w:pPr>
          </w:p>
        </w:tc>
      </w:tr>
      <w:tr w:rsidR="007470C1" w:rsidRPr="007470C1" w14:paraId="43A82DEB" w14:textId="77777777" w:rsidTr="007470C1">
        <w:trPr>
          <w:trHeight w:val="285"/>
        </w:trPr>
        <w:tc>
          <w:tcPr>
            <w:tcW w:w="4040" w:type="dxa"/>
            <w:tcBorders>
              <w:top w:val="nil"/>
              <w:left w:val="nil"/>
              <w:bottom w:val="single" w:sz="4" w:space="0" w:color="auto"/>
              <w:right w:val="nil"/>
            </w:tcBorders>
            <w:shd w:val="clear" w:color="auto" w:fill="auto"/>
            <w:noWrap/>
            <w:vAlign w:val="bottom"/>
            <w:hideMark/>
          </w:tcPr>
          <w:p w14:paraId="3FE7D41C"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1134" w:type="dxa"/>
            <w:tcBorders>
              <w:top w:val="nil"/>
              <w:left w:val="nil"/>
              <w:bottom w:val="single" w:sz="4" w:space="0" w:color="auto"/>
              <w:right w:val="nil"/>
            </w:tcBorders>
            <w:shd w:val="clear" w:color="auto" w:fill="auto"/>
            <w:noWrap/>
            <w:vAlign w:val="bottom"/>
            <w:hideMark/>
          </w:tcPr>
          <w:p w14:paraId="3BC1060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2014</w:t>
            </w:r>
          </w:p>
        </w:tc>
        <w:tc>
          <w:tcPr>
            <w:tcW w:w="113" w:type="dxa"/>
            <w:tcBorders>
              <w:top w:val="nil"/>
              <w:left w:val="nil"/>
              <w:bottom w:val="single" w:sz="4" w:space="0" w:color="auto"/>
              <w:right w:val="nil"/>
            </w:tcBorders>
            <w:shd w:val="clear" w:color="auto" w:fill="auto"/>
            <w:noWrap/>
            <w:vAlign w:val="bottom"/>
            <w:hideMark/>
          </w:tcPr>
          <w:p w14:paraId="7711C5F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893" w:type="dxa"/>
            <w:tcBorders>
              <w:top w:val="nil"/>
              <w:left w:val="nil"/>
              <w:bottom w:val="single" w:sz="4" w:space="0" w:color="auto"/>
              <w:right w:val="nil"/>
            </w:tcBorders>
            <w:shd w:val="clear" w:color="auto" w:fill="auto"/>
            <w:noWrap/>
            <w:vAlign w:val="bottom"/>
            <w:hideMark/>
          </w:tcPr>
          <w:p w14:paraId="7FE452C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2013</w:t>
            </w:r>
          </w:p>
        </w:tc>
        <w:tc>
          <w:tcPr>
            <w:tcW w:w="121" w:type="dxa"/>
            <w:tcBorders>
              <w:top w:val="nil"/>
              <w:left w:val="nil"/>
              <w:bottom w:val="single" w:sz="4" w:space="0" w:color="auto"/>
              <w:right w:val="nil"/>
            </w:tcBorders>
            <w:shd w:val="clear" w:color="auto" w:fill="auto"/>
            <w:noWrap/>
            <w:vAlign w:val="bottom"/>
            <w:hideMark/>
          </w:tcPr>
          <w:p w14:paraId="754838B0" w14:textId="77777777" w:rsidR="007470C1" w:rsidRPr="007470C1" w:rsidRDefault="007470C1" w:rsidP="007470C1">
            <w:pPr>
              <w:spacing w:after="0" w:line="240" w:lineRule="auto"/>
              <w:jc w:val="center"/>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1202" w:type="dxa"/>
            <w:tcBorders>
              <w:top w:val="nil"/>
              <w:left w:val="nil"/>
              <w:bottom w:val="single" w:sz="4" w:space="0" w:color="auto"/>
              <w:right w:val="nil"/>
            </w:tcBorders>
            <w:shd w:val="clear" w:color="auto" w:fill="auto"/>
            <w:noWrap/>
            <w:vAlign w:val="bottom"/>
            <w:hideMark/>
          </w:tcPr>
          <w:p w14:paraId="6EB3B22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2014</w:t>
            </w:r>
          </w:p>
        </w:tc>
        <w:tc>
          <w:tcPr>
            <w:tcW w:w="113" w:type="dxa"/>
            <w:tcBorders>
              <w:top w:val="nil"/>
              <w:left w:val="nil"/>
              <w:bottom w:val="single" w:sz="4" w:space="0" w:color="auto"/>
              <w:right w:val="nil"/>
            </w:tcBorders>
            <w:shd w:val="clear" w:color="auto" w:fill="auto"/>
            <w:noWrap/>
            <w:vAlign w:val="bottom"/>
            <w:hideMark/>
          </w:tcPr>
          <w:p w14:paraId="7EC6192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893" w:type="dxa"/>
            <w:tcBorders>
              <w:top w:val="nil"/>
              <w:left w:val="nil"/>
              <w:bottom w:val="single" w:sz="4" w:space="0" w:color="auto"/>
              <w:right w:val="nil"/>
            </w:tcBorders>
            <w:shd w:val="clear" w:color="auto" w:fill="auto"/>
            <w:noWrap/>
            <w:vAlign w:val="bottom"/>
            <w:hideMark/>
          </w:tcPr>
          <w:p w14:paraId="10C07DD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2013</w:t>
            </w:r>
          </w:p>
        </w:tc>
      </w:tr>
      <w:tr w:rsidR="007470C1" w:rsidRPr="007470C1" w14:paraId="25196C6B" w14:textId="77777777" w:rsidTr="007470C1">
        <w:trPr>
          <w:trHeight w:val="285"/>
        </w:trPr>
        <w:tc>
          <w:tcPr>
            <w:tcW w:w="4040" w:type="dxa"/>
            <w:tcBorders>
              <w:top w:val="nil"/>
              <w:left w:val="nil"/>
              <w:bottom w:val="nil"/>
              <w:right w:val="nil"/>
            </w:tcBorders>
            <w:shd w:val="clear" w:color="auto" w:fill="auto"/>
            <w:noWrap/>
            <w:vAlign w:val="bottom"/>
            <w:hideMark/>
          </w:tcPr>
          <w:p w14:paraId="25F66C89"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Operations</w:t>
            </w:r>
          </w:p>
        </w:tc>
        <w:tc>
          <w:tcPr>
            <w:tcW w:w="1134" w:type="dxa"/>
            <w:tcBorders>
              <w:top w:val="nil"/>
              <w:left w:val="nil"/>
              <w:bottom w:val="nil"/>
              <w:right w:val="nil"/>
            </w:tcBorders>
            <w:shd w:val="clear" w:color="auto" w:fill="auto"/>
            <w:noWrap/>
            <w:vAlign w:val="bottom"/>
            <w:hideMark/>
          </w:tcPr>
          <w:p w14:paraId="79AE8747" w14:textId="77777777" w:rsidR="007470C1" w:rsidRPr="007470C1" w:rsidRDefault="007470C1" w:rsidP="007470C1">
            <w:pPr>
              <w:spacing w:after="0" w:line="240" w:lineRule="auto"/>
              <w:rPr>
                <w:rFonts w:ascii="Segoe UI" w:eastAsia="Times New Roman" w:hAnsi="Segoe UI" w:cs="Segoe UI"/>
                <w:b/>
                <w:bCs/>
                <w:color w:val="666666"/>
                <w:sz w:val="20"/>
                <w:szCs w:val="20"/>
              </w:rPr>
            </w:pPr>
          </w:p>
        </w:tc>
        <w:tc>
          <w:tcPr>
            <w:tcW w:w="113" w:type="dxa"/>
            <w:tcBorders>
              <w:top w:val="nil"/>
              <w:left w:val="nil"/>
              <w:bottom w:val="nil"/>
              <w:right w:val="nil"/>
            </w:tcBorders>
            <w:shd w:val="clear" w:color="auto" w:fill="auto"/>
            <w:noWrap/>
            <w:vAlign w:val="bottom"/>
            <w:hideMark/>
          </w:tcPr>
          <w:p w14:paraId="3788A1E2"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0FB734F2"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0276D33A"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23920B19" w14:textId="77777777" w:rsidR="007470C1" w:rsidRPr="007470C1" w:rsidRDefault="007470C1" w:rsidP="007470C1">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34C08C4F"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59D39574" w14:textId="77777777" w:rsidR="007470C1" w:rsidRPr="007470C1" w:rsidRDefault="007470C1" w:rsidP="007470C1">
            <w:pPr>
              <w:spacing w:after="0" w:line="240" w:lineRule="auto"/>
              <w:jc w:val="center"/>
              <w:rPr>
                <w:rFonts w:ascii="Times New Roman" w:eastAsia="Times New Roman" w:hAnsi="Times New Roman"/>
                <w:sz w:val="20"/>
                <w:szCs w:val="20"/>
              </w:rPr>
            </w:pPr>
          </w:p>
        </w:tc>
      </w:tr>
      <w:tr w:rsidR="007470C1" w:rsidRPr="007470C1" w14:paraId="5A3E2489" w14:textId="77777777" w:rsidTr="007470C1">
        <w:trPr>
          <w:trHeight w:val="285"/>
        </w:trPr>
        <w:tc>
          <w:tcPr>
            <w:tcW w:w="4040" w:type="dxa"/>
            <w:tcBorders>
              <w:top w:val="nil"/>
              <w:left w:val="nil"/>
              <w:bottom w:val="nil"/>
              <w:right w:val="nil"/>
            </w:tcBorders>
            <w:shd w:val="clear" w:color="auto" w:fill="auto"/>
            <w:noWrap/>
            <w:vAlign w:val="bottom"/>
            <w:hideMark/>
          </w:tcPr>
          <w:p w14:paraId="5B610037"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Net income</w:t>
            </w:r>
          </w:p>
        </w:tc>
        <w:tc>
          <w:tcPr>
            <w:tcW w:w="1134" w:type="dxa"/>
            <w:tcBorders>
              <w:top w:val="nil"/>
              <w:left w:val="nil"/>
              <w:bottom w:val="nil"/>
              <w:right w:val="nil"/>
            </w:tcBorders>
            <w:shd w:val="clear" w:color="auto" w:fill="auto"/>
            <w:noWrap/>
            <w:vAlign w:val="bottom"/>
            <w:hideMark/>
          </w:tcPr>
          <w:p w14:paraId="3352126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4,612 </w:t>
            </w:r>
          </w:p>
        </w:tc>
        <w:tc>
          <w:tcPr>
            <w:tcW w:w="113" w:type="dxa"/>
            <w:tcBorders>
              <w:top w:val="nil"/>
              <w:left w:val="nil"/>
              <w:bottom w:val="nil"/>
              <w:right w:val="nil"/>
            </w:tcBorders>
            <w:shd w:val="clear" w:color="auto" w:fill="auto"/>
            <w:noWrap/>
            <w:vAlign w:val="bottom"/>
            <w:hideMark/>
          </w:tcPr>
          <w:p w14:paraId="6E99AE4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18BF82A2"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  4,965 </w:t>
            </w:r>
          </w:p>
        </w:tc>
        <w:tc>
          <w:tcPr>
            <w:tcW w:w="121" w:type="dxa"/>
            <w:tcBorders>
              <w:top w:val="nil"/>
              <w:left w:val="nil"/>
              <w:bottom w:val="nil"/>
              <w:right w:val="nil"/>
            </w:tcBorders>
            <w:shd w:val="clear" w:color="auto" w:fill="auto"/>
            <w:noWrap/>
            <w:vAlign w:val="bottom"/>
            <w:hideMark/>
          </w:tcPr>
          <w:p w14:paraId="0603342E"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43F58C7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22,074 </w:t>
            </w:r>
          </w:p>
        </w:tc>
        <w:tc>
          <w:tcPr>
            <w:tcW w:w="113" w:type="dxa"/>
            <w:tcBorders>
              <w:top w:val="nil"/>
              <w:left w:val="nil"/>
              <w:bottom w:val="nil"/>
              <w:right w:val="nil"/>
            </w:tcBorders>
            <w:shd w:val="clear" w:color="auto" w:fill="auto"/>
            <w:noWrap/>
            <w:vAlign w:val="bottom"/>
            <w:hideMark/>
          </w:tcPr>
          <w:p w14:paraId="3E19D30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7FC240D5"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$21,863 </w:t>
            </w:r>
          </w:p>
        </w:tc>
      </w:tr>
      <w:tr w:rsidR="007470C1" w:rsidRPr="007470C1" w14:paraId="522BC569" w14:textId="77777777" w:rsidTr="007470C1">
        <w:trPr>
          <w:trHeight w:val="855"/>
        </w:trPr>
        <w:tc>
          <w:tcPr>
            <w:tcW w:w="4040" w:type="dxa"/>
            <w:tcBorders>
              <w:top w:val="nil"/>
              <w:left w:val="nil"/>
              <w:bottom w:val="nil"/>
              <w:right w:val="nil"/>
            </w:tcBorders>
            <w:shd w:val="clear" w:color="auto" w:fill="auto"/>
            <w:vAlign w:val="bottom"/>
            <w:hideMark/>
          </w:tcPr>
          <w:p w14:paraId="1D0C9109"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Adjustments to reconcile net </w:t>
            </w:r>
            <w:r w:rsidRPr="007470C1">
              <w:rPr>
                <w:rFonts w:ascii="Segoe UI" w:eastAsia="Times New Roman" w:hAnsi="Segoe UI" w:cs="Segoe UI"/>
                <w:color w:val="666666"/>
                <w:sz w:val="20"/>
                <w:szCs w:val="20"/>
              </w:rPr>
              <w:br/>
              <w:t xml:space="preserve">   income to net cash from </w:t>
            </w:r>
            <w:r w:rsidRPr="007470C1">
              <w:rPr>
                <w:rFonts w:ascii="Segoe UI" w:eastAsia="Times New Roman" w:hAnsi="Segoe UI" w:cs="Segoe UI"/>
                <w:color w:val="666666"/>
                <w:sz w:val="20"/>
                <w:szCs w:val="20"/>
              </w:rPr>
              <w:br/>
              <w:t xml:space="preserve">   operations:</w:t>
            </w:r>
          </w:p>
        </w:tc>
        <w:tc>
          <w:tcPr>
            <w:tcW w:w="1134" w:type="dxa"/>
            <w:tcBorders>
              <w:top w:val="nil"/>
              <w:left w:val="nil"/>
              <w:bottom w:val="nil"/>
              <w:right w:val="nil"/>
            </w:tcBorders>
            <w:shd w:val="clear" w:color="auto" w:fill="auto"/>
            <w:noWrap/>
            <w:vAlign w:val="bottom"/>
            <w:hideMark/>
          </w:tcPr>
          <w:p w14:paraId="0624C404" w14:textId="77777777" w:rsidR="007470C1" w:rsidRPr="007470C1" w:rsidRDefault="007470C1" w:rsidP="007470C1">
            <w:pPr>
              <w:spacing w:after="0" w:line="240" w:lineRule="auto"/>
              <w:rPr>
                <w:rFonts w:ascii="Segoe UI" w:eastAsia="Times New Roman" w:hAnsi="Segoe UI" w:cs="Segoe UI"/>
                <w:color w:val="666666"/>
                <w:sz w:val="20"/>
                <w:szCs w:val="20"/>
              </w:rPr>
            </w:pPr>
          </w:p>
        </w:tc>
        <w:tc>
          <w:tcPr>
            <w:tcW w:w="113" w:type="dxa"/>
            <w:tcBorders>
              <w:top w:val="nil"/>
              <w:left w:val="nil"/>
              <w:bottom w:val="nil"/>
              <w:right w:val="nil"/>
            </w:tcBorders>
            <w:shd w:val="clear" w:color="auto" w:fill="auto"/>
            <w:noWrap/>
            <w:vAlign w:val="bottom"/>
            <w:hideMark/>
          </w:tcPr>
          <w:p w14:paraId="4B807457"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19FC11DD" w14:textId="77777777" w:rsidR="007470C1" w:rsidRPr="007470C1" w:rsidRDefault="007470C1" w:rsidP="007470C1">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7646001B"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767F0E2E" w14:textId="77777777" w:rsidR="007470C1" w:rsidRPr="007470C1" w:rsidRDefault="007470C1" w:rsidP="007470C1">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034FFD04"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2EAA3123" w14:textId="77777777" w:rsidR="007470C1" w:rsidRPr="007470C1" w:rsidRDefault="007470C1" w:rsidP="007470C1">
            <w:pPr>
              <w:spacing w:after="0" w:line="240" w:lineRule="auto"/>
              <w:rPr>
                <w:rFonts w:ascii="Times New Roman" w:eastAsia="Times New Roman" w:hAnsi="Times New Roman"/>
                <w:sz w:val="20"/>
                <w:szCs w:val="20"/>
              </w:rPr>
            </w:pPr>
          </w:p>
        </w:tc>
      </w:tr>
      <w:tr w:rsidR="007470C1" w:rsidRPr="007470C1" w14:paraId="06AFB080" w14:textId="77777777" w:rsidTr="007470C1">
        <w:trPr>
          <w:trHeight w:val="570"/>
        </w:trPr>
        <w:tc>
          <w:tcPr>
            <w:tcW w:w="4040" w:type="dxa"/>
            <w:tcBorders>
              <w:top w:val="nil"/>
              <w:left w:val="nil"/>
              <w:bottom w:val="nil"/>
              <w:right w:val="nil"/>
            </w:tcBorders>
            <w:shd w:val="clear" w:color="auto" w:fill="auto"/>
            <w:vAlign w:val="bottom"/>
            <w:hideMark/>
          </w:tcPr>
          <w:p w14:paraId="744138BD"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Depreciation, amortization, and</w:t>
            </w:r>
            <w:r w:rsidRPr="007470C1">
              <w:rPr>
                <w:rFonts w:ascii="Segoe UI" w:eastAsia="Times New Roman" w:hAnsi="Segoe UI" w:cs="Segoe UI"/>
                <w:color w:val="666666"/>
                <w:sz w:val="20"/>
                <w:szCs w:val="20"/>
              </w:rPr>
              <w:br/>
              <w:t xml:space="preserve">      other</w:t>
            </w:r>
          </w:p>
        </w:tc>
        <w:tc>
          <w:tcPr>
            <w:tcW w:w="1134" w:type="dxa"/>
            <w:tcBorders>
              <w:top w:val="nil"/>
              <w:left w:val="nil"/>
              <w:bottom w:val="nil"/>
              <w:right w:val="nil"/>
            </w:tcBorders>
            <w:shd w:val="clear" w:color="auto" w:fill="auto"/>
            <w:noWrap/>
            <w:vAlign w:val="bottom"/>
            <w:hideMark/>
          </w:tcPr>
          <w:p w14:paraId="052AA49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1,742 </w:t>
            </w:r>
          </w:p>
        </w:tc>
        <w:tc>
          <w:tcPr>
            <w:tcW w:w="113" w:type="dxa"/>
            <w:tcBorders>
              <w:top w:val="nil"/>
              <w:left w:val="nil"/>
              <w:bottom w:val="nil"/>
              <w:right w:val="nil"/>
            </w:tcBorders>
            <w:shd w:val="clear" w:color="auto" w:fill="auto"/>
            <w:noWrap/>
            <w:vAlign w:val="bottom"/>
            <w:hideMark/>
          </w:tcPr>
          <w:p w14:paraId="4FF83CE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0144FE74"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983 </w:t>
            </w:r>
          </w:p>
        </w:tc>
        <w:tc>
          <w:tcPr>
            <w:tcW w:w="121" w:type="dxa"/>
            <w:tcBorders>
              <w:top w:val="nil"/>
              <w:left w:val="nil"/>
              <w:bottom w:val="nil"/>
              <w:right w:val="nil"/>
            </w:tcBorders>
            <w:shd w:val="clear" w:color="auto" w:fill="auto"/>
            <w:noWrap/>
            <w:vAlign w:val="bottom"/>
            <w:hideMark/>
          </w:tcPr>
          <w:p w14:paraId="4EE252C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5B8E5D5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5,212 </w:t>
            </w:r>
          </w:p>
        </w:tc>
        <w:tc>
          <w:tcPr>
            <w:tcW w:w="113" w:type="dxa"/>
            <w:tcBorders>
              <w:top w:val="nil"/>
              <w:left w:val="nil"/>
              <w:bottom w:val="nil"/>
              <w:right w:val="nil"/>
            </w:tcBorders>
            <w:shd w:val="clear" w:color="auto" w:fill="auto"/>
            <w:noWrap/>
            <w:vAlign w:val="bottom"/>
            <w:hideMark/>
          </w:tcPr>
          <w:p w14:paraId="7F9F5E4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1FF149FA"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3,755 </w:t>
            </w:r>
          </w:p>
        </w:tc>
      </w:tr>
      <w:tr w:rsidR="007470C1" w:rsidRPr="007470C1" w14:paraId="739DABC2" w14:textId="77777777" w:rsidTr="007470C1">
        <w:trPr>
          <w:trHeight w:val="570"/>
        </w:trPr>
        <w:tc>
          <w:tcPr>
            <w:tcW w:w="4040" w:type="dxa"/>
            <w:tcBorders>
              <w:top w:val="nil"/>
              <w:left w:val="nil"/>
              <w:bottom w:val="nil"/>
              <w:right w:val="nil"/>
            </w:tcBorders>
            <w:shd w:val="clear" w:color="auto" w:fill="auto"/>
            <w:vAlign w:val="bottom"/>
            <w:hideMark/>
          </w:tcPr>
          <w:p w14:paraId="1D12C637"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Stock-based compensation</w:t>
            </w:r>
            <w:r w:rsidRPr="007470C1">
              <w:rPr>
                <w:rFonts w:ascii="Segoe UI" w:eastAsia="Times New Roman" w:hAnsi="Segoe UI" w:cs="Segoe UI"/>
                <w:color w:val="666666"/>
                <w:sz w:val="20"/>
                <w:szCs w:val="20"/>
              </w:rPr>
              <w:br/>
              <w:t xml:space="preserve">      expense</w:t>
            </w:r>
          </w:p>
        </w:tc>
        <w:tc>
          <w:tcPr>
            <w:tcW w:w="1134" w:type="dxa"/>
            <w:tcBorders>
              <w:top w:val="nil"/>
              <w:left w:val="nil"/>
              <w:bottom w:val="nil"/>
              <w:right w:val="nil"/>
            </w:tcBorders>
            <w:shd w:val="clear" w:color="auto" w:fill="auto"/>
            <w:noWrap/>
            <w:vAlign w:val="bottom"/>
            <w:hideMark/>
          </w:tcPr>
          <w:p w14:paraId="744AE9C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618 </w:t>
            </w:r>
          </w:p>
        </w:tc>
        <w:tc>
          <w:tcPr>
            <w:tcW w:w="113" w:type="dxa"/>
            <w:tcBorders>
              <w:top w:val="nil"/>
              <w:left w:val="nil"/>
              <w:bottom w:val="nil"/>
              <w:right w:val="nil"/>
            </w:tcBorders>
            <w:shd w:val="clear" w:color="auto" w:fill="auto"/>
            <w:noWrap/>
            <w:vAlign w:val="bottom"/>
            <w:hideMark/>
          </w:tcPr>
          <w:p w14:paraId="78F80B5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5ED775A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601 </w:t>
            </w:r>
          </w:p>
        </w:tc>
        <w:tc>
          <w:tcPr>
            <w:tcW w:w="121" w:type="dxa"/>
            <w:tcBorders>
              <w:top w:val="nil"/>
              <w:left w:val="nil"/>
              <w:bottom w:val="nil"/>
              <w:right w:val="nil"/>
            </w:tcBorders>
            <w:shd w:val="clear" w:color="auto" w:fill="auto"/>
            <w:noWrap/>
            <w:vAlign w:val="bottom"/>
            <w:hideMark/>
          </w:tcPr>
          <w:p w14:paraId="0AC93CF2"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6533C90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2,446 </w:t>
            </w:r>
          </w:p>
        </w:tc>
        <w:tc>
          <w:tcPr>
            <w:tcW w:w="113" w:type="dxa"/>
            <w:tcBorders>
              <w:top w:val="nil"/>
              <w:left w:val="nil"/>
              <w:bottom w:val="nil"/>
              <w:right w:val="nil"/>
            </w:tcBorders>
            <w:shd w:val="clear" w:color="auto" w:fill="auto"/>
            <w:noWrap/>
            <w:vAlign w:val="bottom"/>
            <w:hideMark/>
          </w:tcPr>
          <w:p w14:paraId="0EB33B4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0CF6D031"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2,406 </w:t>
            </w:r>
          </w:p>
        </w:tc>
      </w:tr>
      <w:tr w:rsidR="007470C1" w:rsidRPr="007470C1" w14:paraId="16E449DC" w14:textId="77777777" w:rsidTr="007470C1">
        <w:trPr>
          <w:trHeight w:val="855"/>
        </w:trPr>
        <w:tc>
          <w:tcPr>
            <w:tcW w:w="4040" w:type="dxa"/>
            <w:tcBorders>
              <w:top w:val="nil"/>
              <w:left w:val="nil"/>
              <w:bottom w:val="nil"/>
              <w:right w:val="nil"/>
            </w:tcBorders>
            <w:shd w:val="clear" w:color="auto" w:fill="auto"/>
            <w:vAlign w:val="bottom"/>
            <w:hideMark/>
          </w:tcPr>
          <w:p w14:paraId="02D32804"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Net recognized losses (gains)</w:t>
            </w:r>
            <w:r w:rsidRPr="007470C1">
              <w:rPr>
                <w:rFonts w:ascii="Segoe UI" w:eastAsia="Times New Roman" w:hAnsi="Segoe UI" w:cs="Segoe UI"/>
                <w:color w:val="666666"/>
                <w:sz w:val="20"/>
                <w:szCs w:val="20"/>
              </w:rPr>
              <w:br/>
              <w:t xml:space="preserve">      on investments and</w:t>
            </w:r>
            <w:r w:rsidRPr="007470C1">
              <w:rPr>
                <w:rFonts w:ascii="Segoe UI" w:eastAsia="Times New Roman" w:hAnsi="Segoe UI" w:cs="Segoe UI"/>
                <w:color w:val="666666"/>
                <w:sz w:val="20"/>
                <w:szCs w:val="20"/>
              </w:rPr>
              <w:br/>
              <w:t xml:space="preserve">      derivatives</w:t>
            </w:r>
          </w:p>
        </w:tc>
        <w:tc>
          <w:tcPr>
            <w:tcW w:w="1134" w:type="dxa"/>
            <w:tcBorders>
              <w:top w:val="nil"/>
              <w:left w:val="nil"/>
              <w:bottom w:val="nil"/>
              <w:right w:val="nil"/>
            </w:tcBorders>
            <w:shd w:val="clear" w:color="auto" w:fill="auto"/>
            <w:noWrap/>
            <w:vAlign w:val="bottom"/>
            <w:hideMark/>
          </w:tcPr>
          <w:p w14:paraId="79B2E2B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(209)</w:t>
            </w:r>
          </w:p>
        </w:tc>
        <w:tc>
          <w:tcPr>
            <w:tcW w:w="113" w:type="dxa"/>
            <w:tcBorders>
              <w:top w:val="nil"/>
              <w:left w:val="nil"/>
              <w:bottom w:val="nil"/>
              <w:right w:val="nil"/>
            </w:tcBorders>
            <w:shd w:val="clear" w:color="auto" w:fill="auto"/>
            <w:noWrap/>
            <w:vAlign w:val="bottom"/>
            <w:hideMark/>
          </w:tcPr>
          <w:p w14:paraId="5EB0685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309FA4B4"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99 </w:t>
            </w:r>
          </w:p>
        </w:tc>
        <w:tc>
          <w:tcPr>
            <w:tcW w:w="121" w:type="dxa"/>
            <w:tcBorders>
              <w:top w:val="nil"/>
              <w:left w:val="nil"/>
              <w:bottom w:val="nil"/>
              <w:right w:val="nil"/>
            </w:tcBorders>
            <w:shd w:val="clear" w:color="auto" w:fill="auto"/>
            <w:noWrap/>
            <w:vAlign w:val="bottom"/>
            <w:hideMark/>
          </w:tcPr>
          <w:p w14:paraId="777E51B9"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4412193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(109)</w:t>
            </w:r>
          </w:p>
        </w:tc>
        <w:tc>
          <w:tcPr>
            <w:tcW w:w="113" w:type="dxa"/>
            <w:tcBorders>
              <w:top w:val="nil"/>
              <w:left w:val="nil"/>
              <w:bottom w:val="nil"/>
              <w:right w:val="nil"/>
            </w:tcBorders>
            <w:shd w:val="clear" w:color="auto" w:fill="auto"/>
            <w:noWrap/>
            <w:vAlign w:val="bottom"/>
            <w:hideMark/>
          </w:tcPr>
          <w:p w14:paraId="055E72A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13614D6F"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80 </w:t>
            </w:r>
          </w:p>
        </w:tc>
      </w:tr>
      <w:tr w:rsidR="007470C1" w:rsidRPr="007470C1" w14:paraId="4D4C8F23" w14:textId="77777777" w:rsidTr="007470C1">
        <w:trPr>
          <w:trHeight w:val="570"/>
        </w:trPr>
        <w:tc>
          <w:tcPr>
            <w:tcW w:w="4040" w:type="dxa"/>
            <w:tcBorders>
              <w:top w:val="nil"/>
              <w:left w:val="nil"/>
              <w:bottom w:val="nil"/>
              <w:right w:val="nil"/>
            </w:tcBorders>
            <w:shd w:val="clear" w:color="auto" w:fill="auto"/>
            <w:vAlign w:val="bottom"/>
            <w:hideMark/>
          </w:tcPr>
          <w:p w14:paraId="4EF228AE"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Excess tax benefits from</w:t>
            </w:r>
            <w:r w:rsidRPr="007470C1">
              <w:rPr>
                <w:rFonts w:ascii="Segoe UI" w:eastAsia="Times New Roman" w:hAnsi="Segoe UI" w:cs="Segoe UI"/>
                <w:color w:val="666666"/>
                <w:sz w:val="20"/>
                <w:szCs w:val="20"/>
              </w:rPr>
              <w:br/>
              <w:t xml:space="preserve">      stock-based compensation</w:t>
            </w:r>
          </w:p>
        </w:tc>
        <w:tc>
          <w:tcPr>
            <w:tcW w:w="1134" w:type="dxa"/>
            <w:tcBorders>
              <w:top w:val="nil"/>
              <w:left w:val="nil"/>
              <w:bottom w:val="nil"/>
              <w:right w:val="nil"/>
            </w:tcBorders>
            <w:shd w:val="clear" w:color="auto" w:fill="auto"/>
            <w:noWrap/>
            <w:vAlign w:val="bottom"/>
            <w:hideMark/>
          </w:tcPr>
          <w:p w14:paraId="3B0F780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(24)</w:t>
            </w:r>
          </w:p>
        </w:tc>
        <w:tc>
          <w:tcPr>
            <w:tcW w:w="113" w:type="dxa"/>
            <w:tcBorders>
              <w:top w:val="nil"/>
              <w:left w:val="nil"/>
              <w:bottom w:val="nil"/>
              <w:right w:val="nil"/>
            </w:tcBorders>
            <w:shd w:val="clear" w:color="auto" w:fill="auto"/>
            <w:noWrap/>
            <w:vAlign w:val="bottom"/>
            <w:hideMark/>
          </w:tcPr>
          <w:p w14:paraId="5B7D403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6F1598B4"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(17)</w:t>
            </w:r>
          </w:p>
        </w:tc>
        <w:tc>
          <w:tcPr>
            <w:tcW w:w="121" w:type="dxa"/>
            <w:tcBorders>
              <w:top w:val="nil"/>
              <w:left w:val="nil"/>
              <w:bottom w:val="nil"/>
              <w:right w:val="nil"/>
            </w:tcBorders>
            <w:shd w:val="clear" w:color="auto" w:fill="auto"/>
            <w:noWrap/>
            <w:vAlign w:val="bottom"/>
            <w:hideMark/>
          </w:tcPr>
          <w:p w14:paraId="2A9034F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794CC01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(271)</w:t>
            </w:r>
          </w:p>
        </w:tc>
        <w:tc>
          <w:tcPr>
            <w:tcW w:w="113" w:type="dxa"/>
            <w:tcBorders>
              <w:top w:val="nil"/>
              <w:left w:val="nil"/>
              <w:bottom w:val="nil"/>
              <w:right w:val="nil"/>
            </w:tcBorders>
            <w:shd w:val="clear" w:color="auto" w:fill="auto"/>
            <w:noWrap/>
            <w:vAlign w:val="bottom"/>
            <w:hideMark/>
          </w:tcPr>
          <w:p w14:paraId="1071524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666F0CD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(209)</w:t>
            </w:r>
          </w:p>
        </w:tc>
      </w:tr>
      <w:tr w:rsidR="007470C1" w:rsidRPr="007470C1" w14:paraId="6F6B02BE" w14:textId="77777777" w:rsidTr="007470C1">
        <w:trPr>
          <w:trHeight w:val="285"/>
        </w:trPr>
        <w:tc>
          <w:tcPr>
            <w:tcW w:w="4040" w:type="dxa"/>
            <w:tcBorders>
              <w:top w:val="nil"/>
              <w:left w:val="nil"/>
              <w:bottom w:val="nil"/>
              <w:right w:val="nil"/>
            </w:tcBorders>
            <w:shd w:val="clear" w:color="auto" w:fill="auto"/>
            <w:vAlign w:val="bottom"/>
            <w:hideMark/>
          </w:tcPr>
          <w:p w14:paraId="0D1C154C"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Deferred income taxes</w:t>
            </w:r>
          </w:p>
        </w:tc>
        <w:tc>
          <w:tcPr>
            <w:tcW w:w="1134" w:type="dxa"/>
            <w:tcBorders>
              <w:top w:val="nil"/>
              <w:left w:val="nil"/>
              <w:bottom w:val="nil"/>
              <w:right w:val="nil"/>
            </w:tcBorders>
            <w:shd w:val="clear" w:color="auto" w:fill="auto"/>
            <w:noWrap/>
            <w:vAlign w:val="bottom"/>
            <w:hideMark/>
          </w:tcPr>
          <w:p w14:paraId="0969C77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(369)</w:t>
            </w:r>
          </w:p>
        </w:tc>
        <w:tc>
          <w:tcPr>
            <w:tcW w:w="113" w:type="dxa"/>
            <w:tcBorders>
              <w:top w:val="nil"/>
              <w:left w:val="nil"/>
              <w:bottom w:val="nil"/>
              <w:right w:val="nil"/>
            </w:tcBorders>
            <w:shd w:val="clear" w:color="auto" w:fill="auto"/>
            <w:noWrap/>
            <w:vAlign w:val="bottom"/>
            <w:hideMark/>
          </w:tcPr>
          <w:p w14:paraId="3A153B2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5B8B1FBB"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(423)</w:t>
            </w:r>
          </w:p>
        </w:tc>
        <w:tc>
          <w:tcPr>
            <w:tcW w:w="121" w:type="dxa"/>
            <w:tcBorders>
              <w:top w:val="nil"/>
              <w:left w:val="nil"/>
              <w:bottom w:val="nil"/>
              <w:right w:val="nil"/>
            </w:tcBorders>
            <w:shd w:val="clear" w:color="auto" w:fill="auto"/>
            <w:noWrap/>
            <w:vAlign w:val="bottom"/>
            <w:hideMark/>
          </w:tcPr>
          <w:p w14:paraId="034D3D9A"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4540E94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(331)</w:t>
            </w:r>
          </w:p>
        </w:tc>
        <w:tc>
          <w:tcPr>
            <w:tcW w:w="113" w:type="dxa"/>
            <w:tcBorders>
              <w:top w:val="nil"/>
              <w:left w:val="nil"/>
              <w:bottom w:val="nil"/>
              <w:right w:val="nil"/>
            </w:tcBorders>
            <w:shd w:val="clear" w:color="auto" w:fill="auto"/>
            <w:noWrap/>
            <w:vAlign w:val="bottom"/>
            <w:hideMark/>
          </w:tcPr>
          <w:p w14:paraId="66431D3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37C3D91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(19)</w:t>
            </w:r>
          </w:p>
        </w:tc>
      </w:tr>
      <w:tr w:rsidR="007470C1" w:rsidRPr="007470C1" w14:paraId="03DF6261" w14:textId="77777777" w:rsidTr="007470C1">
        <w:trPr>
          <w:trHeight w:val="285"/>
        </w:trPr>
        <w:tc>
          <w:tcPr>
            <w:tcW w:w="4040" w:type="dxa"/>
            <w:tcBorders>
              <w:top w:val="nil"/>
              <w:left w:val="nil"/>
              <w:bottom w:val="nil"/>
              <w:right w:val="nil"/>
            </w:tcBorders>
            <w:shd w:val="clear" w:color="auto" w:fill="auto"/>
            <w:vAlign w:val="bottom"/>
            <w:hideMark/>
          </w:tcPr>
          <w:p w14:paraId="77551B3F"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Deferral of unearned revenue</w:t>
            </w:r>
          </w:p>
        </w:tc>
        <w:tc>
          <w:tcPr>
            <w:tcW w:w="1134" w:type="dxa"/>
            <w:tcBorders>
              <w:top w:val="nil"/>
              <w:left w:val="nil"/>
              <w:bottom w:val="nil"/>
              <w:right w:val="nil"/>
            </w:tcBorders>
            <w:shd w:val="clear" w:color="auto" w:fill="auto"/>
            <w:noWrap/>
            <w:vAlign w:val="bottom"/>
            <w:hideMark/>
          </w:tcPr>
          <w:p w14:paraId="1703333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16,869 </w:t>
            </w:r>
          </w:p>
        </w:tc>
        <w:tc>
          <w:tcPr>
            <w:tcW w:w="113" w:type="dxa"/>
            <w:tcBorders>
              <w:top w:val="nil"/>
              <w:left w:val="nil"/>
              <w:bottom w:val="nil"/>
              <w:right w:val="nil"/>
            </w:tcBorders>
            <w:shd w:val="clear" w:color="auto" w:fill="auto"/>
            <w:noWrap/>
            <w:vAlign w:val="bottom"/>
            <w:hideMark/>
          </w:tcPr>
          <w:p w14:paraId="70D01A5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7A8F949B"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15,621 </w:t>
            </w:r>
          </w:p>
        </w:tc>
        <w:tc>
          <w:tcPr>
            <w:tcW w:w="121" w:type="dxa"/>
            <w:tcBorders>
              <w:top w:val="nil"/>
              <w:left w:val="nil"/>
              <w:bottom w:val="nil"/>
              <w:right w:val="nil"/>
            </w:tcBorders>
            <w:shd w:val="clear" w:color="auto" w:fill="auto"/>
            <w:noWrap/>
            <w:vAlign w:val="bottom"/>
            <w:hideMark/>
          </w:tcPr>
          <w:p w14:paraId="7144FB3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7E663F0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44,325 </w:t>
            </w:r>
          </w:p>
        </w:tc>
        <w:tc>
          <w:tcPr>
            <w:tcW w:w="113" w:type="dxa"/>
            <w:tcBorders>
              <w:top w:val="nil"/>
              <w:left w:val="nil"/>
              <w:bottom w:val="nil"/>
              <w:right w:val="nil"/>
            </w:tcBorders>
            <w:shd w:val="clear" w:color="auto" w:fill="auto"/>
            <w:noWrap/>
            <w:vAlign w:val="bottom"/>
            <w:hideMark/>
          </w:tcPr>
          <w:p w14:paraId="338CC57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3A810D13"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44,253 </w:t>
            </w:r>
          </w:p>
        </w:tc>
      </w:tr>
      <w:tr w:rsidR="007470C1" w:rsidRPr="007470C1" w14:paraId="7585E905" w14:textId="77777777" w:rsidTr="007470C1">
        <w:trPr>
          <w:trHeight w:val="570"/>
        </w:trPr>
        <w:tc>
          <w:tcPr>
            <w:tcW w:w="4040" w:type="dxa"/>
            <w:tcBorders>
              <w:top w:val="nil"/>
              <w:left w:val="nil"/>
              <w:bottom w:val="nil"/>
              <w:right w:val="nil"/>
            </w:tcBorders>
            <w:shd w:val="clear" w:color="auto" w:fill="auto"/>
            <w:vAlign w:val="bottom"/>
            <w:hideMark/>
          </w:tcPr>
          <w:p w14:paraId="2BCDD9DD"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Recognition of unearned</w:t>
            </w:r>
            <w:r w:rsidRPr="007470C1">
              <w:rPr>
                <w:rFonts w:ascii="Segoe UI" w:eastAsia="Times New Roman" w:hAnsi="Segoe UI" w:cs="Segoe UI"/>
                <w:color w:val="666666"/>
                <w:sz w:val="20"/>
                <w:szCs w:val="20"/>
              </w:rPr>
              <w:br/>
              <w:t xml:space="preserve">      revenue</w:t>
            </w:r>
          </w:p>
        </w:tc>
        <w:tc>
          <w:tcPr>
            <w:tcW w:w="1134" w:type="dxa"/>
            <w:tcBorders>
              <w:top w:val="nil"/>
              <w:left w:val="nil"/>
              <w:bottom w:val="nil"/>
              <w:right w:val="nil"/>
            </w:tcBorders>
            <w:shd w:val="clear" w:color="auto" w:fill="auto"/>
            <w:noWrap/>
            <w:vAlign w:val="bottom"/>
            <w:hideMark/>
          </w:tcPr>
          <w:p w14:paraId="132BB6B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(11,345)</w:t>
            </w:r>
          </w:p>
        </w:tc>
        <w:tc>
          <w:tcPr>
            <w:tcW w:w="113" w:type="dxa"/>
            <w:tcBorders>
              <w:top w:val="nil"/>
              <w:left w:val="nil"/>
              <w:bottom w:val="nil"/>
              <w:right w:val="nil"/>
            </w:tcBorders>
            <w:shd w:val="clear" w:color="auto" w:fill="auto"/>
            <w:noWrap/>
            <w:vAlign w:val="bottom"/>
            <w:hideMark/>
          </w:tcPr>
          <w:p w14:paraId="0F0D9CF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184B8DB1"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(11,069)</w:t>
            </w:r>
          </w:p>
        </w:tc>
        <w:tc>
          <w:tcPr>
            <w:tcW w:w="121" w:type="dxa"/>
            <w:tcBorders>
              <w:top w:val="nil"/>
              <w:left w:val="nil"/>
              <w:bottom w:val="nil"/>
              <w:right w:val="nil"/>
            </w:tcBorders>
            <w:shd w:val="clear" w:color="auto" w:fill="auto"/>
            <w:noWrap/>
            <w:vAlign w:val="bottom"/>
            <w:hideMark/>
          </w:tcPr>
          <w:p w14:paraId="2587909A"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5CC31A7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(41,739)</w:t>
            </w:r>
          </w:p>
        </w:tc>
        <w:tc>
          <w:tcPr>
            <w:tcW w:w="113" w:type="dxa"/>
            <w:tcBorders>
              <w:top w:val="nil"/>
              <w:left w:val="nil"/>
              <w:bottom w:val="nil"/>
              <w:right w:val="nil"/>
            </w:tcBorders>
            <w:shd w:val="clear" w:color="auto" w:fill="auto"/>
            <w:noWrap/>
            <w:vAlign w:val="bottom"/>
            <w:hideMark/>
          </w:tcPr>
          <w:p w14:paraId="43DC369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7227A22F"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(41,921)</w:t>
            </w:r>
          </w:p>
        </w:tc>
      </w:tr>
      <w:tr w:rsidR="007470C1" w:rsidRPr="007470C1" w14:paraId="1348F2D7" w14:textId="77777777" w:rsidTr="007470C1">
        <w:trPr>
          <w:trHeight w:val="570"/>
        </w:trPr>
        <w:tc>
          <w:tcPr>
            <w:tcW w:w="4040" w:type="dxa"/>
            <w:tcBorders>
              <w:top w:val="nil"/>
              <w:left w:val="nil"/>
              <w:bottom w:val="nil"/>
              <w:right w:val="nil"/>
            </w:tcBorders>
            <w:shd w:val="clear" w:color="auto" w:fill="auto"/>
            <w:vAlign w:val="bottom"/>
            <w:hideMark/>
          </w:tcPr>
          <w:p w14:paraId="2D496013"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Changes in operating assets</w:t>
            </w:r>
            <w:r w:rsidRPr="007470C1">
              <w:rPr>
                <w:rFonts w:ascii="Segoe UI" w:eastAsia="Times New Roman" w:hAnsi="Segoe UI" w:cs="Segoe UI"/>
                <w:color w:val="666666"/>
                <w:sz w:val="20"/>
                <w:szCs w:val="20"/>
              </w:rPr>
              <w:br/>
              <w:t xml:space="preserve">      and liabilities:</w:t>
            </w:r>
          </w:p>
        </w:tc>
        <w:tc>
          <w:tcPr>
            <w:tcW w:w="1134" w:type="dxa"/>
            <w:tcBorders>
              <w:top w:val="nil"/>
              <w:left w:val="nil"/>
              <w:bottom w:val="nil"/>
              <w:right w:val="nil"/>
            </w:tcBorders>
            <w:shd w:val="clear" w:color="auto" w:fill="auto"/>
            <w:noWrap/>
            <w:vAlign w:val="bottom"/>
            <w:hideMark/>
          </w:tcPr>
          <w:p w14:paraId="72F78B19" w14:textId="77777777" w:rsidR="007470C1" w:rsidRPr="007470C1" w:rsidRDefault="007470C1" w:rsidP="007470C1">
            <w:pPr>
              <w:spacing w:after="0" w:line="240" w:lineRule="auto"/>
              <w:rPr>
                <w:rFonts w:ascii="Segoe UI" w:eastAsia="Times New Roman" w:hAnsi="Segoe UI" w:cs="Segoe UI"/>
                <w:color w:val="666666"/>
                <w:sz w:val="20"/>
                <w:szCs w:val="20"/>
              </w:rPr>
            </w:pPr>
          </w:p>
        </w:tc>
        <w:tc>
          <w:tcPr>
            <w:tcW w:w="113" w:type="dxa"/>
            <w:tcBorders>
              <w:top w:val="nil"/>
              <w:left w:val="nil"/>
              <w:bottom w:val="nil"/>
              <w:right w:val="nil"/>
            </w:tcBorders>
            <w:shd w:val="clear" w:color="auto" w:fill="auto"/>
            <w:noWrap/>
            <w:vAlign w:val="bottom"/>
            <w:hideMark/>
          </w:tcPr>
          <w:p w14:paraId="1DA021E4"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2340D935" w14:textId="77777777" w:rsidR="007470C1" w:rsidRPr="007470C1" w:rsidRDefault="007470C1" w:rsidP="007470C1">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09D994A2"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7B27BE2D" w14:textId="77777777" w:rsidR="007470C1" w:rsidRPr="007470C1" w:rsidRDefault="007470C1" w:rsidP="007470C1">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3EB7AE72"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27AC2D0C" w14:textId="77777777" w:rsidR="007470C1" w:rsidRPr="007470C1" w:rsidRDefault="007470C1" w:rsidP="007470C1">
            <w:pPr>
              <w:spacing w:after="0" w:line="240" w:lineRule="auto"/>
              <w:rPr>
                <w:rFonts w:ascii="Times New Roman" w:eastAsia="Times New Roman" w:hAnsi="Times New Roman"/>
                <w:sz w:val="20"/>
                <w:szCs w:val="20"/>
              </w:rPr>
            </w:pPr>
          </w:p>
        </w:tc>
      </w:tr>
      <w:tr w:rsidR="007470C1" w:rsidRPr="007470C1" w14:paraId="0C0F6E24" w14:textId="77777777" w:rsidTr="007470C1">
        <w:trPr>
          <w:trHeight w:val="285"/>
        </w:trPr>
        <w:tc>
          <w:tcPr>
            <w:tcW w:w="4040" w:type="dxa"/>
            <w:tcBorders>
              <w:top w:val="nil"/>
              <w:left w:val="nil"/>
              <w:bottom w:val="nil"/>
              <w:right w:val="nil"/>
            </w:tcBorders>
            <w:shd w:val="clear" w:color="auto" w:fill="auto"/>
            <w:vAlign w:val="bottom"/>
            <w:hideMark/>
          </w:tcPr>
          <w:p w14:paraId="7098CE89"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Accounts receivable</w:t>
            </w:r>
          </w:p>
        </w:tc>
        <w:tc>
          <w:tcPr>
            <w:tcW w:w="1134" w:type="dxa"/>
            <w:tcBorders>
              <w:top w:val="nil"/>
              <w:left w:val="nil"/>
              <w:bottom w:val="nil"/>
              <w:right w:val="nil"/>
            </w:tcBorders>
            <w:shd w:val="clear" w:color="auto" w:fill="auto"/>
            <w:noWrap/>
            <w:vAlign w:val="bottom"/>
            <w:hideMark/>
          </w:tcPr>
          <w:p w14:paraId="313852F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(5,363)</w:t>
            </w:r>
          </w:p>
        </w:tc>
        <w:tc>
          <w:tcPr>
            <w:tcW w:w="113" w:type="dxa"/>
            <w:tcBorders>
              <w:top w:val="nil"/>
              <w:left w:val="nil"/>
              <w:bottom w:val="nil"/>
              <w:right w:val="nil"/>
            </w:tcBorders>
            <w:shd w:val="clear" w:color="auto" w:fill="auto"/>
            <w:noWrap/>
            <w:vAlign w:val="bottom"/>
            <w:hideMark/>
          </w:tcPr>
          <w:p w14:paraId="58D35E2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3FCF5C73"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(5,666)</w:t>
            </w:r>
          </w:p>
        </w:tc>
        <w:tc>
          <w:tcPr>
            <w:tcW w:w="121" w:type="dxa"/>
            <w:tcBorders>
              <w:top w:val="nil"/>
              <w:left w:val="nil"/>
              <w:bottom w:val="nil"/>
              <w:right w:val="nil"/>
            </w:tcBorders>
            <w:shd w:val="clear" w:color="auto" w:fill="auto"/>
            <w:noWrap/>
            <w:vAlign w:val="bottom"/>
            <w:hideMark/>
          </w:tcPr>
          <w:p w14:paraId="111A8BA9"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426C8AB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(1,120)</w:t>
            </w:r>
          </w:p>
        </w:tc>
        <w:tc>
          <w:tcPr>
            <w:tcW w:w="113" w:type="dxa"/>
            <w:tcBorders>
              <w:top w:val="nil"/>
              <w:left w:val="nil"/>
              <w:bottom w:val="nil"/>
              <w:right w:val="nil"/>
            </w:tcBorders>
            <w:shd w:val="clear" w:color="auto" w:fill="auto"/>
            <w:noWrap/>
            <w:vAlign w:val="bottom"/>
            <w:hideMark/>
          </w:tcPr>
          <w:p w14:paraId="5913654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58212EDB"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(1,807)</w:t>
            </w:r>
          </w:p>
        </w:tc>
      </w:tr>
      <w:tr w:rsidR="007470C1" w:rsidRPr="007470C1" w14:paraId="7775238B" w14:textId="77777777" w:rsidTr="007470C1">
        <w:trPr>
          <w:trHeight w:val="285"/>
        </w:trPr>
        <w:tc>
          <w:tcPr>
            <w:tcW w:w="4040" w:type="dxa"/>
            <w:tcBorders>
              <w:top w:val="nil"/>
              <w:left w:val="nil"/>
              <w:bottom w:val="nil"/>
              <w:right w:val="nil"/>
            </w:tcBorders>
            <w:shd w:val="clear" w:color="auto" w:fill="auto"/>
            <w:vAlign w:val="bottom"/>
            <w:hideMark/>
          </w:tcPr>
          <w:p w14:paraId="470101BE"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Inventories</w:t>
            </w:r>
          </w:p>
        </w:tc>
        <w:tc>
          <w:tcPr>
            <w:tcW w:w="1134" w:type="dxa"/>
            <w:tcBorders>
              <w:top w:val="nil"/>
              <w:left w:val="nil"/>
              <w:bottom w:val="nil"/>
              <w:right w:val="nil"/>
            </w:tcBorders>
            <w:shd w:val="clear" w:color="auto" w:fill="auto"/>
            <w:noWrap/>
            <w:vAlign w:val="bottom"/>
            <w:hideMark/>
          </w:tcPr>
          <w:p w14:paraId="0CACA56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(199)</w:t>
            </w:r>
          </w:p>
        </w:tc>
        <w:tc>
          <w:tcPr>
            <w:tcW w:w="113" w:type="dxa"/>
            <w:tcBorders>
              <w:top w:val="nil"/>
              <w:left w:val="nil"/>
              <w:bottom w:val="nil"/>
              <w:right w:val="nil"/>
            </w:tcBorders>
            <w:shd w:val="clear" w:color="auto" w:fill="auto"/>
            <w:noWrap/>
            <w:vAlign w:val="bottom"/>
            <w:hideMark/>
          </w:tcPr>
          <w:p w14:paraId="5651151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7FA1E1B2"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187 </w:t>
            </w:r>
          </w:p>
        </w:tc>
        <w:tc>
          <w:tcPr>
            <w:tcW w:w="121" w:type="dxa"/>
            <w:tcBorders>
              <w:top w:val="nil"/>
              <w:left w:val="nil"/>
              <w:bottom w:val="nil"/>
              <w:right w:val="nil"/>
            </w:tcBorders>
            <w:shd w:val="clear" w:color="auto" w:fill="auto"/>
            <w:noWrap/>
            <w:vAlign w:val="bottom"/>
            <w:hideMark/>
          </w:tcPr>
          <w:p w14:paraId="005C7689"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763C057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(161)</w:t>
            </w:r>
          </w:p>
        </w:tc>
        <w:tc>
          <w:tcPr>
            <w:tcW w:w="113" w:type="dxa"/>
            <w:tcBorders>
              <w:top w:val="nil"/>
              <w:left w:val="nil"/>
              <w:bottom w:val="nil"/>
              <w:right w:val="nil"/>
            </w:tcBorders>
            <w:shd w:val="clear" w:color="auto" w:fill="auto"/>
            <w:noWrap/>
            <w:vAlign w:val="bottom"/>
            <w:hideMark/>
          </w:tcPr>
          <w:p w14:paraId="77AA79B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620BBD9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(802)</w:t>
            </w:r>
          </w:p>
        </w:tc>
      </w:tr>
      <w:tr w:rsidR="007470C1" w:rsidRPr="007470C1" w14:paraId="3E9490F4" w14:textId="77777777" w:rsidTr="007470C1">
        <w:trPr>
          <w:trHeight w:val="285"/>
        </w:trPr>
        <w:tc>
          <w:tcPr>
            <w:tcW w:w="4040" w:type="dxa"/>
            <w:tcBorders>
              <w:top w:val="nil"/>
              <w:left w:val="nil"/>
              <w:bottom w:val="nil"/>
              <w:right w:val="nil"/>
            </w:tcBorders>
            <w:shd w:val="clear" w:color="auto" w:fill="auto"/>
            <w:vAlign w:val="bottom"/>
            <w:hideMark/>
          </w:tcPr>
          <w:p w14:paraId="63E17598"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Other current assets</w:t>
            </w:r>
          </w:p>
        </w:tc>
        <w:tc>
          <w:tcPr>
            <w:tcW w:w="1134" w:type="dxa"/>
            <w:tcBorders>
              <w:top w:val="nil"/>
              <w:left w:val="nil"/>
              <w:bottom w:val="nil"/>
              <w:right w:val="nil"/>
            </w:tcBorders>
            <w:shd w:val="clear" w:color="auto" w:fill="auto"/>
            <w:noWrap/>
            <w:vAlign w:val="bottom"/>
            <w:hideMark/>
          </w:tcPr>
          <w:p w14:paraId="5B6929D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282 </w:t>
            </w:r>
          </w:p>
        </w:tc>
        <w:tc>
          <w:tcPr>
            <w:tcW w:w="113" w:type="dxa"/>
            <w:tcBorders>
              <w:top w:val="nil"/>
              <w:left w:val="nil"/>
              <w:bottom w:val="nil"/>
              <w:right w:val="nil"/>
            </w:tcBorders>
            <w:shd w:val="clear" w:color="auto" w:fill="auto"/>
            <w:noWrap/>
            <w:vAlign w:val="bottom"/>
            <w:hideMark/>
          </w:tcPr>
          <w:p w14:paraId="6C775DA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3A516248"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(33)</w:t>
            </w:r>
          </w:p>
        </w:tc>
        <w:tc>
          <w:tcPr>
            <w:tcW w:w="121" w:type="dxa"/>
            <w:tcBorders>
              <w:top w:val="nil"/>
              <w:left w:val="nil"/>
              <w:bottom w:val="nil"/>
              <w:right w:val="nil"/>
            </w:tcBorders>
            <w:shd w:val="clear" w:color="auto" w:fill="auto"/>
            <w:noWrap/>
            <w:vAlign w:val="bottom"/>
            <w:hideMark/>
          </w:tcPr>
          <w:p w14:paraId="5F34330E"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7097843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(29)</w:t>
            </w:r>
          </w:p>
        </w:tc>
        <w:tc>
          <w:tcPr>
            <w:tcW w:w="113" w:type="dxa"/>
            <w:tcBorders>
              <w:top w:val="nil"/>
              <w:left w:val="nil"/>
              <w:bottom w:val="nil"/>
              <w:right w:val="nil"/>
            </w:tcBorders>
            <w:shd w:val="clear" w:color="auto" w:fill="auto"/>
            <w:noWrap/>
            <w:vAlign w:val="bottom"/>
            <w:hideMark/>
          </w:tcPr>
          <w:p w14:paraId="7FB7190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2E48EC0E"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(129)</w:t>
            </w:r>
          </w:p>
        </w:tc>
      </w:tr>
      <w:tr w:rsidR="007470C1" w:rsidRPr="007470C1" w14:paraId="665A791F" w14:textId="77777777" w:rsidTr="007470C1">
        <w:trPr>
          <w:trHeight w:val="285"/>
        </w:trPr>
        <w:tc>
          <w:tcPr>
            <w:tcW w:w="4040" w:type="dxa"/>
            <w:tcBorders>
              <w:top w:val="nil"/>
              <w:left w:val="nil"/>
              <w:bottom w:val="nil"/>
              <w:right w:val="nil"/>
            </w:tcBorders>
            <w:shd w:val="clear" w:color="auto" w:fill="auto"/>
            <w:vAlign w:val="bottom"/>
            <w:hideMark/>
          </w:tcPr>
          <w:p w14:paraId="6489BF7F"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Other long-term assets</w:t>
            </w:r>
          </w:p>
        </w:tc>
        <w:tc>
          <w:tcPr>
            <w:tcW w:w="1134" w:type="dxa"/>
            <w:tcBorders>
              <w:top w:val="nil"/>
              <w:left w:val="nil"/>
              <w:bottom w:val="nil"/>
              <w:right w:val="nil"/>
            </w:tcBorders>
            <w:shd w:val="clear" w:color="auto" w:fill="auto"/>
            <w:noWrap/>
            <w:vAlign w:val="bottom"/>
            <w:hideMark/>
          </w:tcPr>
          <w:p w14:paraId="138469B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(159)</w:t>
            </w:r>
          </w:p>
        </w:tc>
        <w:tc>
          <w:tcPr>
            <w:tcW w:w="113" w:type="dxa"/>
            <w:tcBorders>
              <w:top w:val="nil"/>
              <w:left w:val="nil"/>
              <w:bottom w:val="nil"/>
              <w:right w:val="nil"/>
            </w:tcBorders>
            <w:shd w:val="clear" w:color="auto" w:fill="auto"/>
            <w:noWrap/>
            <w:vAlign w:val="bottom"/>
            <w:hideMark/>
          </w:tcPr>
          <w:p w14:paraId="59D77D1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3AE7F59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(152)</w:t>
            </w:r>
          </w:p>
        </w:tc>
        <w:tc>
          <w:tcPr>
            <w:tcW w:w="121" w:type="dxa"/>
            <w:tcBorders>
              <w:top w:val="nil"/>
              <w:left w:val="nil"/>
              <w:bottom w:val="nil"/>
              <w:right w:val="nil"/>
            </w:tcBorders>
            <w:shd w:val="clear" w:color="auto" w:fill="auto"/>
            <w:noWrap/>
            <w:vAlign w:val="bottom"/>
            <w:hideMark/>
          </w:tcPr>
          <w:p w14:paraId="6FC567D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032D6F9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(628)</w:t>
            </w:r>
          </w:p>
        </w:tc>
        <w:tc>
          <w:tcPr>
            <w:tcW w:w="113" w:type="dxa"/>
            <w:tcBorders>
              <w:top w:val="nil"/>
              <w:left w:val="nil"/>
              <w:bottom w:val="nil"/>
              <w:right w:val="nil"/>
            </w:tcBorders>
            <w:shd w:val="clear" w:color="auto" w:fill="auto"/>
            <w:noWrap/>
            <w:vAlign w:val="bottom"/>
            <w:hideMark/>
          </w:tcPr>
          <w:p w14:paraId="011F78A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2F659038"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(478)</w:t>
            </w:r>
          </w:p>
        </w:tc>
      </w:tr>
      <w:tr w:rsidR="007470C1" w:rsidRPr="007470C1" w14:paraId="1F1EB2A6" w14:textId="77777777" w:rsidTr="007470C1">
        <w:trPr>
          <w:trHeight w:val="285"/>
        </w:trPr>
        <w:tc>
          <w:tcPr>
            <w:tcW w:w="4040" w:type="dxa"/>
            <w:tcBorders>
              <w:top w:val="nil"/>
              <w:left w:val="nil"/>
              <w:bottom w:val="nil"/>
              <w:right w:val="nil"/>
            </w:tcBorders>
            <w:shd w:val="clear" w:color="auto" w:fill="auto"/>
            <w:vAlign w:val="bottom"/>
            <w:hideMark/>
          </w:tcPr>
          <w:p w14:paraId="37E57D94"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Accounts payable</w:t>
            </w:r>
          </w:p>
        </w:tc>
        <w:tc>
          <w:tcPr>
            <w:tcW w:w="1134" w:type="dxa"/>
            <w:tcBorders>
              <w:top w:val="nil"/>
              <w:left w:val="nil"/>
              <w:bottom w:val="nil"/>
              <w:right w:val="nil"/>
            </w:tcBorders>
            <w:shd w:val="clear" w:color="auto" w:fill="auto"/>
            <w:noWrap/>
            <w:vAlign w:val="bottom"/>
            <w:hideMark/>
          </w:tcPr>
          <w:p w14:paraId="7A0F7AB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863 </w:t>
            </w:r>
          </w:p>
        </w:tc>
        <w:tc>
          <w:tcPr>
            <w:tcW w:w="113" w:type="dxa"/>
            <w:tcBorders>
              <w:top w:val="nil"/>
              <w:left w:val="nil"/>
              <w:bottom w:val="nil"/>
              <w:right w:val="nil"/>
            </w:tcBorders>
            <w:shd w:val="clear" w:color="auto" w:fill="auto"/>
            <w:noWrap/>
            <w:vAlign w:val="bottom"/>
            <w:hideMark/>
          </w:tcPr>
          <w:p w14:paraId="3EE3CA8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43DD3CE3"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486 </w:t>
            </w:r>
          </w:p>
        </w:tc>
        <w:tc>
          <w:tcPr>
            <w:tcW w:w="121" w:type="dxa"/>
            <w:tcBorders>
              <w:top w:val="nil"/>
              <w:left w:val="nil"/>
              <w:bottom w:val="nil"/>
              <w:right w:val="nil"/>
            </w:tcBorders>
            <w:shd w:val="clear" w:color="auto" w:fill="auto"/>
            <w:noWrap/>
            <w:vAlign w:val="bottom"/>
            <w:hideMark/>
          </w:tcPr>
          <w:p w14:paraId="1975B1E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533596F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473 </w:t>
            </w:r>
          </w:p>
        </w:tc>
        <w:tc>
          <w:tcPr>
            <w:tcW w:w="113" w:type="dxa"/>
            <w:tcBorders>
              <w:top w:val="nil"/>
              <w:left w:val="nil"/>
              <w:bottom w:val="nil"/>
              <w:right w:val="nil"/>
            </w:tcBorders>
            <w:shd w:val="clear" w:color="auto" w:fill="auto"/>
            <w:noWrap/>
            <w:vAlign w:val="bottom"/>
            <w:hideMark/>
          </w:tcPr>
          <w:p w14:paraId="49ECA11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15EC239B"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537 </w:t>
            </w:r>
          </w:p>
        </w:tc>
      </w:tr>
      <w:tr w:rsidR="007470C1" w:rsidRPr="007470C1" w14:paraId="1E862871" w14:textId="77777777" w:rsidTr="007470C1">
        <w:trPr>
          <w:trHeight w:val="285"/>
        </w:trPr>
        <w:tc>
          <w:tcPr>
            <w:tcW w:w="4040" w:type="dxa"/>
            <w:tcBorders>
              <w:top w:val="nil"/>
              <w:left w:val="nil"/>
              <w:bottom w:val="nil"/>
              <w:right w:val="nil"/>
            </w:tcBorders>
            <w:shd w:val="clear" w:color="auto" w:fill="auto"/>
            <w:vAlign w:val="bottom"/>
            <w:hideMark/>
          </w:tcPr>
          <w:p w14:paraId="77B84CC3"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Other current liabilities</w:t>
            </w:r>
          </w:p>
        </w:tc>
        <w:tc>
          <w:tcPr>
            <w:tcW w:w="1134" w:type="dxa"/>
            <w:tcBorders>
              <w:top w:val="nil"/>
              <w:left w:val="nil"/>
              <w:bottom w:val="nil"/>
              <w:right w:val="nil"/>
            </w:tcBorders>
            <w:shd w:val="clear" w:color="auto" w:fill="auto"/>
            <w:noWrap/>
            <w:vAlign w:val="bottom"/>
            <w:hideMark/>
          </w:tcPr>
          <w:p w14:paraId="7465D97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1,072 </w:t>
            </w:r>
          </w:p>
        </w:tc>
        <w:tc>
          <w:tcPr>
            <w:tcW w:w="113" w:type="dxa"/>
            <w:tcBorders>
              <w:top w:val="nil"/>
              <w:left w:val="nil"/>
              <w:bottom w:val="nil"/>
              <w:right w:val="nil"/>
            </w:tcBorders>
            <w:shd w:val="clear" w:color="auto" w:fill="auto"/>
            <w:noWrap/>
            <w:vAlign w:val="bottom"/>
            <w:hideMark/>
          </w:tcPr>
          <w:p w14:paraId="0254713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7C8718DF"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27 </w:t>
            </w:r>
          </w:p>
        </w:tc>
        <w:tc>
          <w:tcPr>
            <w:tcW w:w="121" w:type="dxa"/>
            <w:tcBorders>
              <w:top w:val="nil"/>
              <w:left w:val="nil"/>
              <w:bottom w:val="nil"/>
              <w:right w:val="nil"/>
            </w:tcBorders>
            <w:shd w:val="clear" w:color="auto" w:fill="auto"/>
            <w:noWrap/>
            <w:vAlign w:val="bottom"/>
            <w:hideMark/>
          </w:tcPr>
          <w:p w14:paraId="65D22C6E"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4AFF6DD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1,075 </w:t>
            </w:r>
          </w:p>
        </w:tc>
        <w:tc>
          <w:tcPr>
            <w:tcW w:w="113" w:type="dxa"/>
            <w:tcBorders>
              <w:top w:val="nil"/>
              <w:left w:val="nil"/>
              <w:bottom w:val="nil"/>
              <w:right w:val="nil"/>
            </w:tcBorders>
            <w:shd w:val="clear" w:color="auto" w:fill="auto"/>
            <w:noWrap/>
            <w:vAlign w:val="bottom"/>
            <w:hideMark/>
          </w:tcPr>
          <w:p w14:paraId="442506C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5B81D2F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146 </w:t>
            </w:r>
          </w:p>
        </w:tc>
      </w:tr>
      <w:tr w:rsidR="007470C1" w:rsidRPr="007470C1" w14:paraId="45E2A831" w14:textId="77777777" w:rsidTr="007470C1">
        <w:trPr>
          <w:trHeight w:val="285"/>
        </w:trPr>
        <w:tc>
          <w:tcPr>
            <w:tcW w:w="4040" w:type="dxa"/>
            <w:tcBorders>
              <w:top w:val="nil"/>
              <w:left w:val="nil"/>
              <w:bottom w:val="single" w:sz="4" w:space="0" w:color="auto"/>
              <w:right w:val="nil"/>
            </w:tcBorders>
            <w:shd w:val="clear" w:color="auto" w:fill="auto"/>
            <w:noWrap/>
            <w:vAlign w:val="bottom"/>
            <w:hideMark/>
          </w:tcPr>
          <w:p w14:paraId="1BCA3611"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Other long-term liabilities</w:t>
            </w:r>
          </w:p>
        </w:tc>
        <w:tc>
          <w:tcPr>
            <w:tcW w:w="1134" w:type="dxa"/>
            <w:tcBorders>
              <w:top w:val="nil"/>
              <w:left w:val="nil"/>
              <w:bottom w:val="single" w:sz="4" w:space="0" w:color="auto"/>
              <w:right w:val="nil"/>
            </w:tcBorders>
            <w:shd w:val="clear" w:color="auto" w:fill="auto"/>
            <w:noWrap/>
            <w:vAlign w:val="bottom"/>
            <w:hideMark/>
          </w:tcPr>
          <w:p w14:paraId="3788FAC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1,124 </w:t>
            </w:r>
          </w:p>
        </w:tc>
        <w:tc>
          <w:tcPr>
            <w:tcW w:w="113" w:type="dxa"/>
            <w:tcBorders>
              <w:top w:val="nil"/>
              <w:left w:val="nil"/>
              <w:bottom w:val="nil"/>
              <w:right w:val="nil"/>
            </w:tcBorders>
            <w:shd w:val="clear" w:color="auto" w:fill="auto"/>
            <w:noWrap/>
            <w:vAlign w:val="bottom"/>
            <w:hideMark/>
          </w:tcPr>
          <w:p w14:paraId="1D0A4F0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single" w:sz="4" w:space="0" w:color="auto"/>
              <w:right w:val="nil"/>
            </w:tcBorders>
            <w:shd w:val="clear" w:color="auto" w:fill="auto"/>
            <w:noWrap/>
            <w:vAlign w:val="bottom"/>
            <w:hideMark/>
          </w:tcPr>
          <w:p w14:paraId="2F86C77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294 </w:t>
            </w:r>
          </w:p>
        </w:tc>
        <w:tc>
          <w:tcPr>
            <w:tcW w:w="121" w:type="dxa"/>
            <w:tcBorders>
              <w:top w:val="nil"/>
              <w:left w:val="nil"/>
              <w:bottom w:val="nil"/>
              <w:right w:val="nil"/>
            </w:tcBorders>
            <w:shd w:val="clear" w:color="auto" w:fill="auto"/>
            <w:noWrap/>
            <w:vAlign w:val="bottom"/>
            <w:hideMark/>
          </w:tcPr>
          <w:p w14:paraId="609EE6B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single" w:sz="4" w:space="0" w:color="auto"/>
              <w:right w:val="nil"/>
            </w:tcBorders>
            <w:shd w:val="clear" w:color="auto" w:fill="auto"/>
            <w:noWrap/>
            <w:vAlign w:val="bottom"/>
            <w:hideMark/>
          </w:tcPr>
          <w:p w14:paraId="4B06B79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1,014 </w:t>
            </w:r>
          </w:p>
        </w:tc>
        <w:tc>
          <w:tcPr>
            <w:tcW w:w="113" w:type="dxa"/>
            <w:tcBorders>
              <w:top w:val="nil"/>
              <w:left w:val="nil"/>
              <w:bottom w:val="nil"/>
              <w:right w:val="nil"/>
            </w:tcBorders>
            <w:shd w:val="clear" w:color="auto" w:fill="auto"/>
            <w:noWrap/>
            <w:vAlign w:val="bottom"/>
            <w:hideMark/>
          </w:tcPr>
          <w:p w14:paraId="5BBD773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single" w:sz="4" w:space="0" w:color="auto"/>
              <w:right w:val="nil"/>
            </w:tcBorders>
            <w:shd w:val="clear" w:color="auto" w:fill="auto"/>
            <w:noWrap/>
            <w:vAlign w:val="bottom"/>
            <w:hideMark/>
          </w:tcPr>
          <w:p w14:paraId="0E9359A4"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1,158 </w:t>
            </w:r>
          </w:p>
        </w:tc>
      </w:tr>
      <w:tr w:rsidR="007470C1" w:rsidRPr="007470C1" w14:paraId="67B12C3B" w14:textId="77777777" w:rsidTr="007470C1">
        <w:trPr>
          <w:trHeight w:val="285"/>
        </w:trPr>
        <w:tc>
          <w:tcPr>
            <w:tcW w:w="4040" w:type="dxa"/>
            <w:tcBorders>
              <w:top w:val="nil"/>
              <w:left w:val="nil"/>
              <w:bottom w:val="single" w:sz="4" w:space="0" w:color="auto"/>
              <w:right w:val="nil"/>
            </w:tcBorders>
            <w:shd w:val="clear" w:color="auto" w:fill="auto"/>
            <w:vAlign w:val="bottom"/>
            <w:hideMark/>
          </w:tcPr>
          <w:p w14:paraId="235B41CF"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Net cash from operations</w:t>
            </w:r>
          </w:p>
        </w:tc>
        <w:tc>
          <w:tcPr>
            <w:tcW w:w="1134" w:type="dxa"/>
            <w:tcBorders>
              <w:top w:val="nil"/>
              <w:left w:val="nil"/>
              <w:bottom w:val="single" w:sz="4" w:space="0" w:color="auto"/>
              <w:right w:val="nil"/>
            </w:tcBorders>
            <w:shd w:val="clear" w:color="auto" w:fill="auto"/>
            <w:noWrap/>
            <w:vAlign w:val="bottom"/>
            <w:hideMark/>
          </w:tcPr>
          <w:p w14:paraId="7EF86C2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9,514 </w:t>
            </w:r>
          </w:p>
        </w:tc>
        <w:tc>
          <w:tcPr>
            <w:tcW w:w="113" w:type="dxa"/>
            <w:tcBorders>
              <w:top w:val="nil"/>
              <w:left w:val="nil"/>
              <w:bottom w:val="nil"/>
              <w:right w:val="nil"/>
            </w:tcBorders>
            <w:shd w:val="clear" w:color="auto" w:fill="auto"/>
            <w:noWrap/>
            <w:vAlign w:val="bottom"/>
            <w:hideMark/>
          </w:tcPr>
          <w:p w14:paraId="1B59F8B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single" w:sz="4" w:space="0" w:color="auto"/>
              <w:right w:val="nil"/>
            </w:tcBorders>
            <w:shd w:val="clear" w:color="auto" w:fill="auto"/>
            <w:noWrap/>
            <w:vAlign w:val="bottom"/>
            <w:hideMark/>
          </w:tcPr>
          <w:p w14:paraId="65A7A20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5,903 </w:t>
            </w:r>
          </w:p>
        </w:tc>
        <w:tc>
          <w:tcPr>
            <w:tcW w:w="121" w:type="dxa"/>
            <w:tcBorders>
              <w:top w:val="nil"/>
              <w:left w:val="nil"/>
              <w:bottom w:val="nil"/>
              <w:right w:val="nil"/>
            </w:tcBorders>
            <w:shd w:val="clear" w:color="auto" w:fill="auto"/>
            <w:noWrap/>
            <w:vAlign w:val="bottom"/>
            <w:hideMark/>
          </w:tcPr>
          <w:p w14:paraId="6B00CC8C"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single" w:sz="4" w:space="0" w:color="auto"/>
              <w:right w:val="nil"/>
            </w:tcBorders>
            <w:shd w:val="clear" w:color="auto" w:fill="auto"/>
            <w:noWrap/>
            <w:vAlign w:val="bottom"/>
            <w:hideMark/>
          </w:tcPr>
          <w:p w14:paraId="18B4126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32,231 </w:t>
            </w:r>
          </w:p>
        </w:tc>
        <w:tc>
          <w:tcPr>
            <w:tcW w:w="113" w:type="dxa"/>
            <w:tcBorders>
              <w:top w:val="nil"/>
              <w:left w:val="nil"/>
              <w:bottom w:val="nil"/>
              <w:right w:val="nil"/>
            </w:tcBorders>
            <w:shd w:val="clear" w:color="auto" w:fill="auto"/>
            <w:noWrap/>
            <w:vAlign w:val="bottom"/>
            <w:hideMark/>
          </w:tcPr>
          <w:p w14:paraId="4F335A9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single" w:sz="4" w:space="0" w:color="auto"/>
              <w:right w:val="nil"/>
            </w:tcBorders>
            <w:shd w:val="clear" w:color="auto" w:fill="auto"/>
            <w:noWrap/>
            <w:vAlign w:val="bottom"/>
            <w:hideMark/>
          </w:tcPr>
          <w:p w14:paraId="0026B31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28,833 </w:t>
            </w:r>
          </w:p>
        </w:tc>
      </w:tr>
      <w:tr w:rsidR="007470C1" w:rsidRPr="007470C1" w14:paraId="2909FE1D" w14:textId="77777777" w:rsidTr="007470C1">
        <w:trPr>
          <w:trHeight w:val="285"/>
        </w:trPr>
        <w:tc>
          <w:tcPr>
            <w:tcW w:w="4040" w:type="dxa"/>
            <w:tcBorders>
              <w:top w:val="nil"/>
              <w:left w:val="nil"/>
              <w:bottom w:val="nil"/>
              <w:right w:val="nil"/>
            </w:tcBorders>
            <w:shd w:val="clear" w:color="auto" w:fill="auto"/>
            <w:noWrap/>
            <w:vAlign w:val="bottom"/>
            <w:hideMark/>
          </w:tcPr>
          <w:p w14:paraId="12FABA17"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Financing</w:t>
            </w:r>
          </w:p>
        </w:tc>
        <w:tc>
          <w:tcPr>
            <w:tcW w:w="1134" w:type="dxa"/>
            <w:tcBorders>
              <w:top w:val="nil"/>
              <w:left w:val="nil"/>
              <w:bottom w:val="nil"/>
              <w:right w:val="nil"/>
            </w:tcBorders>
            <w:shd w:val="clear" w:color="auto" w:fill="auto"/>
            <w:noWrap/>
            <w:vAlign w:val="bottom"/>
            <w:hideMark/>
          </w:tcPr>
          <w:p w14:paraId="37C1C060" w14:textId="77777777" w:rsidR="007470C1" w:rsidRPr="007470C1" w:rsidRDefault="007470C1" w:rsidP="007470C1">
            <w:pPr>
              <w:spacing w:after="0" w:line="240" w:lineRule="auto"/>
              <w:rPr>
                <w:rFonts w:ascii="Segoe UI" w:eastAsia="Times New Roman" w:hAnsi="Segoe UI" w:cs="Segoe UI"/>
                <w:b/>
                <w:bCs/>
                <w:color w:val="666666"/>
                <w:sz w:val="20"/>
                <w:szCs w:val="20"/>
              </w:rPr>
            </w:pPr>
          </w:p>
        </w:tc>
        <w:tc>
          <w:tcPr>
            <w:tcW w:w="113" w:type="dxa"/>
            <w:tcBorders>
              <w:top w:val="nil"/>
              <w:left w:val="nil"/>
              <w:bottom w:val="nil"/>
              <w:right w:val="nil"/>
            </w:tcBorders>
            <w:shd w:val="clear" w:color="auto" w:fill="auto"/>
            <w:noWrap/>
            <w:vAlign w:val="bottom"/>
            <w:hideMark/>
          </w:tcPr>
          <w:p w14:paraId="1EFDE94F"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0DEC4BA7" w14:textId="77777777" w:rsidR="007470C1" w:rsidRPr="007470C1" w:rsidRDefault="007470C1" w:rsidP="007470C1">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3D1EF1E0"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6731FEA8" w14:textId="77777777" w:rsidR="007470C1" w:rsidRPr="007470C1" w:rsidRDefault="007470C1" w:rsidP="007470C1">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04035C89"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10019DA8" w14:textId="77777777" w:rsidR="007470C1" w:rsidRPr="007470C1" w:rsidRDefault="007470C1" w:rsidP="007470C1">
            <w:pPr>
              <w:spacing w:after="0" w:line="240" w:lineRule="auto"/>
              <w:rPr>
                <w:rFonts w:ascii="Times New Roman" w:eastAsia="Times New Roman" w:hAnsi="Times New Roman"/>
                <w:sz w:val="20"/>
                <w:szCs w:val="20"/>
              </w:rPr>
            </w:pPr>
          </w:p>
        </w:tc>
      </w:tr>
      <w:tr w:rsidR="007470C1" w:rsidRPr="007470C1" w14:paraId="490EDEA1" w14:textId="77777777" w:rsidTr="007470C1">
        <w:trPr>
          <w:trHeight w:val="570"/>
        </w:trPr>
        <w:tc>
          <w:tcPr>
            <w:tcW w:w="4040" w:type="dxa"/>
            <w:tcBorders>
              <w:top w:val="nil"/>
              <w:left w:val="nil"/>
              <w:bottom w:val="nil"/>
              <w:right w:val="nil"/>
            </w:tcBorders>
            <w:shd w:val="clear" w:color="auto" w:fill="auto"/>
            <w:vAlign w:val="bottom"/>
            <w:hideMark/>
          </w:tcPr>
          <w:p w14:paraId="7F666E55" w14:textId="1557A857" w:rsidR="007470C1" w:rsidRPr="007470C1" w:rsidRDefault="007470C1" w:rsidP="009C5B8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Proceeds from issuance of short-term debt,</w:t>
            </w:r>
            <w:r w:rsidRPr="007470C1">
              <w:rPr>
                <w:rFonts w:ascii="Segoe UI" w:eastAsia="Times New Roman" w:hAnsi="Segoe UI" w:cs="Segoe UI"/>
                <w:color w:val="666666"/>
                <w:sz w:val="20"/>
                <w:szCs w:val="20"/>
              </w:rPr>
              <w:br/>
              <w:t xml:space="preserve">      maturities </w:t>
            </w:r>
            <w:r w:rsidR="009C5B81">
              <w:rPr>
                <w:rFonts w:ascii="Segoe UI" w:eastAsia="Times New Roman" w:hAnsi="Segoe UI" w:cs="Segoe UI"/>
                <w:color w:val="666666"/>
                <w:sz w:val="20"/>
                <w:szCs w:val="20"/>
              </w:rPr>
              <w:t xml:space="preserve">of </w:t>
            </w:r>
            <w:r w:rsidRPr="007470C1">
              <w:rPr>
                <w:rFonts w:ascii="Segoe UI" w:eastAsia="Times New Roman" w:hAnsi="Segoe UI" w:cs="Segoe UI"/>
                <w:color w:val="666666"/>
                <w:sz w:val="20"/>
                <w:szCs w:val="20"/>
              </w:rPr>
              <w:t>90 days</w:t>
            </w:r>
            <w:r w:rsidR="009C5B81">
              <w:rPr>
                <w:rFonts w:ascii="Segoe UI" w:eastAsia="Times New Roman" w:hAnsi="Segoe UI" w:cs="Segoe UI"/>
                <w:color w:val="666666"/>
                <w:sz w:val="20"/>
                <w:szCs w:val="20"/>
              </w:rPr>
              <w:t xml:space="preserve"> or less</w:t>
            </w:r>
            <w:r w:rsidRPr="007470C1">
              <w:rPr>
                <w:rFonts w:ascii="Segoe UI" w:eastAsia="Times New Roman" w:hAnsi="Segoe UI" w:cs="Segoe UI"/>
                <w:color w:val="666666"/>
                <w:sz w:val="20"/>
                <w:szCs w:val="20"/>
              </w:rPr>
              <w:t>, net</w:t>
            </w:r>
          </w:p>
        </w:tc>
        <w:tc>
          <w:tcPr>
            <w:tcW w:w="1134" w:type="dxa"/>
            <w:tcBorders>
              <w:top w:val="nil"/>
              <w:left w:val="nil"/>
              <w:bottom w:val="nil"/>
              <w:right w:val="nil"/>
            </w:tcBorders>
            <w:shd w:val="clear" w:color="auto" w:fill="auto"/>
            <w:noWrap/>
            <w:vAlign w:val="bottom"/>
            <w:hideMark/>
          </w:tcPr>
          <w:p w14:paraId="17A39DE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500 </w:t>
            </w:r>
          </w:p>
        </w:tc>
        <w:tc>
          <w:tcPr>
            <w:tcW w:w="113" w:type="dxa"/>
            <w:tcBorders>
              <w:top w:val="nil"/>
              <w:left w:val="nil"/>
              <w:bottom w:val="nil"/>
              <w:right w:val="nil"/>
            </w:tcBorders>
            <w:shd w:val="clear" w:color="auto" w:fill="auto"/>
            <w:noWrap/>
            <w:vAlign w:val="bottom"/>
            <w:hideMark/>
          </w:tcPr>
          <w:p w14:paraId="7AEC82E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5E669A4E"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0 </w:t>
            </w:r>
          </w:p>
        </w:tc>
        <w:tc>
          <w:tcPr>
            <w:tcW w:w="121" w:type="dxa"/>
            <w:tcBorders>
              <w:top w:val="nil"/>
              <w:left w:val="nil"/>
              <w:bottom w:val="nil"/>
              <w:right w:val="nil"/>
            </w:tcBorders>
            <w:shd w:val="clear" w:color="auto" w:fill="auto"/>
            <w:noWrap/>
            <w:vAlign w:val="bottom"/>
            <w:hideMark/>
          </w:tcPr>
          <w:p w14:paraId="213A79C8"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5B5EA02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500 </w:t>
            </w:r>
          </w:p>
        </w:tc>
        <w:tc>
          <w:tcPr>
            <w:tcW w:w="113" w:type="dxa"/>
            <w:tcBorders>
              <w:top w:val="nil"/>
              <w:left w:val="nil"/>
              <w:bottom w:val="nil"/>
              <w:right w:val="nil"/>
            </w:tcBorders>
            <w:shd w:val="clear" w:color="auto" w:fill="auto"/>
            <w:noWrap/>
            <w:vAlign w:val="bottom"/>
            <w:hideMark/>
          </w:tcPr>
          <w:p w14:paraId="583308B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38E1C9FE"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0 </w:t>
            </w:r>
          </w:p>
        </w:tc>
      </w:tr>
      <w:tr w:rsidR="007470C1" w:rsidRPr="007470C1" w14:paraId="787DA0BE" w14:textId="77777777" w:rsidTr="007470C1">
        <w:trPr>
          <w:trHeight w:val="285"/>
        </w:trPr>
        <w:tc>
          <w:tcPr>
            <w:tcW w:w="4040" w:type="dxa"/>
            <w:tcBorders>
              <w:top w:val="nil"/>
              <w:left w:val="nil"/>
              <w:bottom w:val="nil"/>
              <w:right w:val="nil"/>
            </w:tcBorders>
            <w:shd w:val="clear" w:color="auto" w:fill="auto"/>
            <w:vAlign w:val="bottom"/>
            <w:hideMark/>
          </w:tcPr>
          <w:p w14:paraId="5A7F99A8"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Proceeds from issuance of debt</w:t>
            </w:r>
          </w:p>
        </w:tc>
        <w:tc>
          <w:tcPr>
            <w:tcW w:w="1134" w:type="dxa"/>
            <w:tcBorders>
              <w:top w:val="nil"/>
              <w:left w:val="nil"/>
              <w:bottom w:val="nil"/>
              <w:right w:val="nil"/>
            </w:tcBorders>
            <w:shd w:val="clear" w:color="auto" w:fill="auto"/>
            <w:noWrap/>
            <w:vAlign w:val="bottom"/>
            <w:hideMark/>
          </w:tcPr>
          <w:p w14:paraId="6C36B3B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1,500 </w:t>
            </w:r>
          </w:p>
        </w:tc>
        <w:tc>
          <w:tcPr>
            <w:tcW w:w="113" w:type="dxa"/>
            <w:tcBorders>
              <w:top w:val="nil"/>
              <w:left w:val="nil"/>
              <w:bottom w:val="nil"/>
              <w:right w:val="nil"/>
            </w:tcBorders>
            <w:shd w:val="clear" w:color="auto" w:fill="auto"/>
            <w:noWrap/>
            <w:vAlign w:val="bottom"/>
            <w:hideMark/>
          </w:tcPr>
          <w:p w14:paraId="0998A29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3FA11B32"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2,651 </w:t>
            </w:r>
          </w:p>
        </w:tc>
        <w:tc>
          <w:tcPr>
            <w:tcW w:w="121" w:type="dxa"/>
            <w:tcBorders>
              <w:top w:val="nil"/>
              <w:left w:val="nil"/>
              <w:bottom w:val="nil"/>
              <w:right w:val="nil"/>
            </w:tcBorders>
            <w:shd w:val="clear" w:color="auto" w:fill="auto"/>
            <w:noWrap/>
            <w:vAlign w:val="bottom"/>
            <w:hideMark/>
          </w:tcPr>
          <w:p w14:paraId="229D1F7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00CBD01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10,350 </w:t>
            </w:r>
          </w:p>
        </w:tc>
        <w:tc>
          <w:tcPr>
            <w:tcW w:w="113" w:type="dxa"/>
            <w:tcBorders>
              <w:top w:val="nil"/>
              <w:left w:val="nil"/>
              <w:bottom w:val="nil"/>
              <w:right w:val="nil"/>
            </w:tcBorders>
            <w:shd w:val="clear" w:color="auto" w:fill="auto"/>
            <w:noWrap/>
            <w:vAlign w:val="bottom"/>
            <w:hideMark/>
          </w:tcPr>
          <w:p w14:paraId="25FB22B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2E6F2225"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4,883 </w:t>
            </w:r>
          </w:p>
        </w:tc>
      </w:tr>
      <w:tr w:rsidR="007470C1" w:rsidRPr="007470C1" w14:paraId="49542A0F" w14:textId="77777777" w:rsidTr="007470C1">
        <w:trPr>
          <w:trHeight w:val="285"/>
        </w:trPr>
        <w:tc>
          <w:tcPr>
            <w:tcW w:w="4040" w:type="dxa"/>
            <w:tcBorders>
              <w:top w:val="nil"/>
              <w:left w:val="nil"/>
              <w:bottom w:val="nil"/>
              <w:right w:val="nil"/>
            </w:tcBorders>
            <w:shd w:val="clear" w:color="auto" w:fill="auto"/>
            <w:vAlign w:val="bottom"/>
            <w:hideMark/>
          </w:tcPr>
          <w:p w14:paraId="068CA388"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Repayments of debt</w:t>
            </w:r>
          </w:p>
        </w:tc>
        <w:tc>
          <w:tcPr>
            <w:tcW w:w="1134" w:type="dxa"/>
            <w:tcBorders>
              <w:top w:val="nil"/>
              <w:left w:val="nil"/>
              <w:bottom w:val="nil"/>
              <w:right w:val="nil"/>
            </w:tcBorders>
            <w:shd w:val="clear" w:color="auto" w:fill="auto"/>
            <w:noWrap/>
            <w:vAlign w:val="bottom"/>
            <w:hideMark/>
          </w:tcPr>
          <w:p w14:paraId="5C6A561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(2,000)</w:t>
            </w:r>
          </w:p>
        </w:tc>
        <w:tc>
          <w:tcPr>
            <w:tcW w:w="113" w:type="dxa"/>
            <w:tcBorders>
              <w:top w:val="nil"/>
              <w:left w:val="nil"/>
              <w:bottom w:val="nil"/>
              <w:right w:val="nil"/>
            </w:tcBorders>
            <w:shd w:val="clear" w:color="auto" w:fill="auto"/>
            <w:noWrap/>
            <w:vAlign w:val="bottom"/>
            <w:hideMark/>
          </w:tcPr>
          <w:p w14:paraId="7674DD2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7C563C72"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(1,346)</w:t>
            </w:r>
          </w:p>
        </w:tc>
        <w:tc>
          <w:tcPr>
            <w:tcW w:w="121" w:type="dxa"/>
            <w:tcBorders>
              <w:top w:val="nil"/>
              <w:left w:val="nil"/>
              <w:bottom w:val="nil"/>
              <w:right w:val="nil"/>
            </w:tcBorders>
            <w:shd w:val="clear" w:color="auto" w:fill="auto"/>
            <w:noWrap/>
            <w:vAlign w:val="bottom"/>
            <w:hideMark/>
          </w:tcPr>
          <w:p w14:paraId="1359E2AB"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7A597A5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(3,888)</w:t>
            </w:r>
          </w:p>
        </w:tc>
        <w:tc>
          <w:tcPr>
            <w:tcW w:w="113" w:type="dxa"/>
            <w:tcBorders>
              <w:top w:val="nil"/>
              <w:left w:val="nil"/>
              <w:bottom w:val="nil"/>
              <w:right w:val="nil"/>
            </w:tcBorders>
            <w:shd w:val="clear" w:color="auto" w:fill="auto"/>
            <w:noWrap/>
            <w:vAlign w:val="bottom"/>
            <w:hideMark/>
          </w:tcPr>
          <w:p w14:paraId="55B7024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68DEE06A"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(1,346)</w:t>
            </w:r>
          </w:p>
        </w:tc>
      </w:tr>
      <w:tr w:rsidR="007470C1" w:rsidRPr="007470C1" w14:paraId="5AB72F22" w14:textId="77777777" w:rsidTr="007470C1">
        <w:trPr>
          <w:trHeight w:val="285"/>
        </w:trPr>
        <w:tc>
          <w:tcPr>
            <w:tcW w:w="4040" w:type="dxa"/>
            <w:tcBorders>
              <w:top w:val="nil"/>
              <w:left w:val="nil"/>
              <w:bottom w:val="nil"/>
              <w:right w:val="nil"/>
            </w:tcBorders>
            <w:shd w:val="clear" w:color="auto" w:fill="auto"/>
            <w:noWrap/>
            <w:vAlign w:val="bottom"/>
            <w:hideMark/>
          </w:tcPr>
          <w:p w14:paraId="3CDE5C56"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Common stock issued</w:t>
            </w:r>
          </w:p>
        </w:tc>
        <w:tc>
          <w:tcPr>
            <w:tcW w:w="1134" w:type="dxa"/>
            <w:tcBorders>
              <w:top w:val="nil"/>
              <w:left w:val="nil"/>
              <w:bottom w:val="nil"/>
              <w:right w:val="nil"/>
            </w:tcBorders>
            <w:shd w:val="clear" w:color="auto" w:fill="auto"/>
            <w:noWrap/>
            <w:vAlign w:val="bottom"/>
            <w:hideMark/>
          </w:tcPr>
          <w:p w14:paraId="398935B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146 </w:t>
            </w:r>
          </w:p>
        </w:tc>
        <w:tc>
          <w:tcPr>
            <w:tcW w:w="113" w:type="dxa"/>
            <w:tcBorders>
              <w:top w:val="nil"/>
              <w:left w:val="nil"/>
              <w:bottom w:val="nil"/>
              <w:right w:val="nil"/>
            </w:tcBorders>
            <w:shd w:val="clear" w:color="auto" w:fill="auto"/>
            <w:noWrap/>
            <w:vAlign w:val="bottom"/>
            <w:hideMark/>
          </w:tcPr>
          <w:p w14:paraId="5FDFA67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220136E3"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166 </w:t>
            </w:r>
          </w:p>
        </w:tc>
        <w:tc>
          <w:tcPr>
            <w:tcW w:w="121" w:type="dxa"/>
            <w:tcBorders>
              <w:top w:val="nil"/>
              <w:left w:val="nil"/>
              <w:bottom w:val="nil"/>
              <w:right w:val="nil"/>
            </w:tcBorders>
            <w:shd w:val="clear" w:color="auto" w:fill="auto"/>
            <w:noWrap/>
            <w:vAlign w:val="bottom"/>
            <w:hideMark/>
          </w:tcPr>
          <w:p w14:paraId="23A36348"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4E24793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607 </w:t>
            </w:r>
          </w:p>
        </w:tc>
        <w:tc>
          <w:tcPr>
            <w:tcW w:w="113" w:type="dxa"/>
            <w:tcBorders>
              <w:top w:val="nil"/>
              <w:left w:val="nil"/>
              <w:bottom w:val="nil"/>
              <w:right w:val="nil"/>
            </w:tcBorders>
            <w:shd w:val="clear" w:color="auto" w:fill="auto"/>
            <w:noWrap/>
            <w:vAlign w:val="bottom"/>
            <w:hideMark/>
          </w:tcPr>
          <w:p w14:paraId="684A94A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1034F56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931 </w:t>
            </w:r>
          </w:p>
        </w:tc>
      </w:tr>
      <w:tr w:rsidR="007470C1" w:rsidRPr="007470C1" w14:paraId="33DC7A2D" w14:textId="77777777" w:rsidTr="007470C1">
        <w:trPr>
          <w:trHeight w:val="285"/>
        </w:trPr>
        <w:tc>
          <w:tcPr>
            <w:tcW w:w="4040" w:type="dxa"/>
            <w:tcBorders>
              <w:top w:val="nil"/>
              <w:left w:val="nil"/>
              <w:bottom w:val="nil"/>
              <w:right w:val="nil"/>
            </w:tcBorders>
            <w:shd w:val="clear" w:color="auto" w:fill="auto"/>
            <w:noWrap/>
            <w:vAlign w:val="bottom"/>
            <w:hideMark/>
          </w:tcPr>
          <w:p w14:paraId="40980677"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Common stock repurchased</w:t>
            </w:r>
          </w:p>
        </w:tc>
        <w:tc>
          <w:tcPr>
            <w:tcW w:w="1134" w:type="dxa"/>
            <w:tcBorders>
              <w:top w:val="nil"/>
              <w:left w:val="nil"/>
              <w:bottom w:val="nil"/>
              <w:right w:val="nil"/>
            </w:tcBorders>
            <w:shd w:val="clear" w:color="auto" w:fill="auto"/>
            <w:noWrap/>
            <w:vAlign w:val="bottom"/>
            <w:hideMark/>
          </w:tcPr>
          <w:p w14:paraId="233CD84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(1,170)</w:t>
            </w:r>
          </w:p>
        </w:tc>
        <w:tc>
          <w:tcPr>
            <w:tcW w:w="113" w:type="dxa"/>
            <w:tcBorders>
              <w:top w:val="nil"/>
              <w:left w:val="nil"/>
              <w:bottom w:val="nil"/>
              <w:right w:val="nil"/>
            </w:tcBorders>
            <w:shd w:val="clear" w:color="auto" w:fill="auto"/>
            <w:noWrap/>
            <w:vAlign w:val="bottom"/>
            <w:hideMark/>
          </w:tcPr>
          <w:p w14:paraId="7041D57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28A7F102"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(1,042)</w:t>
            </w:r>
          </w:p>
        </w:tc>
        <w:tc>
          <w:tcPr>
            <w:tcW w:w="121" w:type="dxa"/>
            <w:tcBorders>
              <w:top w:val="nil"/>
              <w:left w:val="nil"/>
              <w:bottom w:val="nil"/>
              <w:right w:val="nil"/>
            </w:tcBorders>
            <w:shd w:val="clear" w:color="auto" w:fill="auto"/>
            <w:noWrap/>
            <w:vAlign w:val="bottom"/>
            <w:hideMark/>
          </w:tcPr>
          <w:p w14:paraId="4DD5900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150410A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(7,316)</w:t>
            </w:r>
          </w:p>
        </w:tc>
        <w:tc>
          <w:tcPr>
            <w:tcW w:w="113" w:type="dxa"/>
            <w:tcBorders>
              <w:top w:val="nil"/>
              <w:left w:val="nil"/>
              <w:bottom w:val="nil"/>
              <w:right w:val="nil"/>
            </w:tcBorders>
            <w:shd w:val="clear" w:color="auto" w:fill="auto"/>
            <w:noWrap/>
            <w:vAlign w:val="bottom"/>
            <w:hideMark/>
          </w:tcPr>
          <w:p w14:paraId="57FF868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00D98553"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(5,360)</w:t>
            </w:r>
          </w:p>
        </w:tc>
      </w:tr>
      <w:tr w:rsidR="007470C1" w:rsidRPr="007470C1" w14:paraId="35EA08B7" w14:textId="77777777" w:rsidTr="007470C1">
        <w:trPr>
          <w:trHeight w:val="285"/>
        </w:trPr>
        <w:tc>
          <w:tcPr>
            <w:tcW w:w="4040" w:type="dxa"/>
            <w:tcBorders>
              <w:top w:val="nil"/>
              <w:left w:val="nil"/>
              <w:bottom w:val="nil"/>
              <w:right w:val="nil"/>
            </w:tcBorders>
            <w:shd w:val="clear" w:color="auto" w:fill="auto"/>
            <w:noWrap/>
            <w:vAlign w:val="bottom"/>
            <w:hideMark/>
          </w:tcPr>
          <w:p w14:paraId="2C47CC98"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Common stock cash dividends paid</w:t>
            </w:r>
          </w:p>
        </w:tc>
        <w:tc>
          <w:tcPr>
            <w:tcW w:w="1134" w:type="dxa"/>
            <w:tcBorders>
              <w:top w:val="nil"/>
              <w:left w:val="nil"/>
              <w:bottom w:val="nil"/>
              <w:right w:val="nil"/>
            </w:tcBorders>
            <w:shd w:val="clear" w:color="auto" w:fill="auto"/>
            <w:noWrap/>
            <w:vAlign w:val="bottom"/>
            <w:hideMark/>
          </w:tcPr>
          <w:p w14:paraId="5980A3B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(2,309)</w:t>
            </w:r>
          </w:p>
        </w:tc>
        <w:tc>
          <w:tcPr>
            <w:tcW w:w="113" w:type="dxa"/>
            <w:tcBorders>
              <w:top w:val="nil"/>
              <w:left w:val="nil"/>
              <w:bottom w:val="nil"/>
              <w:right w:val="nil"/>
            </w:tcBorders>
            <w:shd w:val="clear" w:color="auto" w:fill="auto"/>
            <w:noWrap/>
            <w:vAlign w:val="bottom"/>
            <w:hideMark/>
          </w:tcPr>
          <w:p w14:paraId="3714B5E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30930CA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(1,921)</w:t>
            </w:r>
          </w:p>
        </w:tc>
        <w:tc>
          <w:tcPr>
            <w:tcW w:w="121" w:type="dxa"/>
            <w:tcBorders>
              <w:top w:val="nil"/>
              <w:left w:val="nil"/>
              <w:bottom w:val="nil"/>
              <w:right w:val="nil"/>
            </w:tcBorders>
            <w:shd w:val="clear" w:color="auto" w:fill="auto"/>
            <w:noWrap/>
            <w:vAlign w:val="bottom"/>
            <w:hideMark/>
          </w:tcPr>
          <w:p w14:paraId="14582853"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150FB59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(8,879)</w:t>
            </w:r>
          </w:p>
        </w:tc>
        <w:tc>
          <w:tcPr>
            <w:tcW w:w="113" w:type="dxa"/>
            <w:tcBorders>
              <w:top w:val="nil"/>
              <w:left w:val="nil"/>
              <w:bottom w:val="nil"/>
              <w:right w:val="nil"/>
            </w:tcBorders>
            <w:shd w:val="clear" w:color="auto" w:fill="auto"/>
            <w:noWrap/>
            <w:vAlign w:val="bottom"/>
            <w:hideMark/>
          </w:tcPr>
          <w:p w14:paraId="16B65FF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6D8C2EB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(7,455)</w:t>
            </w:r>
          </w:p>
        </w:tc>
      </w:tr>
      <w:tr w:rsidR="007470C1" w:rsidRPr="007470C1" w14:paraId="038C2D70" w14:textId="77777777" w:rsidTr="007470C1">
        <w:trPr>
          <w:trHeight w:val="570"/>
        </w:trPr>
        <w:tc>
          <w:tcPr>
            <w:tcW w:w="4040" w:type="dxa"/>
            <w:tcBorders>
              <w:top w:val="nil"/>
              <w:left w:val="nil"/>
              <w:bottom w:val="nil"/>
              <w:right w:val="nil"/>
            </w:tcBorders>
            <w:shd w:val="clear" w:color="auto" w:fill="auto"/>
            <w:vAlign w:val="bottom"/>
            <w:hideMark/>
          </w:tcPr>
          <w:p w14:paraId="6E5D184A"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Excess tax benefits from</w:t>
            </w:r>
            <w:r w:rsidRPr="007470C1">
              <w:rPr>
                <w:rFonts w:ascii="Segoe UI" w:eastAsia="Times New Roman" w:hAnsi="Segoe UI" w:cs="Segoe UI"/>
                <w:color w:val="666666"/>
                <w:sz w:val="20"/>
                <w:szCs w:val="20"/>
              </w:rPr>
              <w:br/>
              <w:t xml:space="preserve">   stock-based compensation</w:t>
            </w:r>
          </w:p>
        </w:tc>
        <w:tc>
          <w:tcPr>
            <w:tcW w:w="1134" w:type="dxa"/>
            <w:tcBorders>
              <w:top w:val="nil"/>
              <w:left w:val="nil"/>
              <w:bottom w:val="nil"/>
              <w:right w:val="nil"/>
            </w:tcBorders>
            <w:shd w:val="clear" w:color="auto" w:fill="auto"/>
            <w:noWrap/>
            <w:vAlign w:val="bottom"/>
            <w:hideMark/>
          </w:tcPr>
          <w:p w14:paraId="0479B77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24 </w:t>
            </w:r>
          </w:p>
        </w:tc>
        <w:tc>
          <w:tcPr>
            <w:tcW w:w="113" w:type="dxa"/>
            <w:tcBorders>
              <w:top w:val="nil"/>
              <w:left w:val="nil"/>
              <w:bottom w:val="nil"/>
              <w:right w:val="nil"/>
            </w:tcBorders>
            <w:shd w:val="clear" w:color="auto" w:fill="auto"/>
            <w:noWrap/>
            <w:vAlign w:val="bottom"/>
            <w:hideMark/>
          </w:tcPr>
          <w:p w14:paraId="4C80D96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06211798"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17 </w:t>
            </w:r>
          </w:p>
        </w:tc>
        <w:tc>
          <w:tcPr>
            <w:tcW w:w="121" w:type="dxa"/>
            <w:tcBorders>
              <w:top w:val="nil"/>
              <w:left w:val="nil"/>
              <w:bottom w:val="nil"/>
              <w:right w:val="nil"/>
            </w:tcBorders>
            <w:shd w:val="clear" w:color="auto" w:fill="auto"/>
            <w:noWrap/>
            <w:vAlign w:val="bottom"/>
            <w:hideMark/>
          </w:tcPr>
          <w:p w14:paraId="3E92C729"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1FEF386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271 </w:t>
            </w:r>
          </w:p>
        </w:tc>
        <w:tc>
          <w:tcPr>
            <w:tcW w:w="113" w:type="dxa"/>
            <w:tcBorders>
              <w:top w:val="nil"/>
              <w:left w:val="nil"/>
              <w:bottom w:val="nil"/>
              <w:right w:val="nil"/>
            </w:tcBorders>
            <w:shd w:val="clear" w:color="auto" w:fill="auto"/>
            <w:noWrap/>
            <w:vAlign w:val="bottom"/>
            <w:hideMark/>
          </w:tcPr>
          <w:p w14:paraId="375480D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3FDFB0BE"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209 </w:t>
            </w:r>
          </w:p>
        </w:tc>
      </w:tr>
      <w:tr w:rsidR="007470C1" w:rsidRPr="007470C1" w14:paraId="5BFEC29E" w14:textId="77777777" w:rsidTr="007470C1">
        <w:trPr>
          <w:trHeight w:val="285"/>
        </w:trPr>
        <w:tc>
          <w:tcPr>
            <w:tcW w:w="4040" w:type="dxa"/>
            <w:tcBorders>
              <w:top w:val="nil"/>
              <w:left w:val="nil"/>
              <w:bottom w:val="single" w:sz="4" w:space="0" w:color="auto"/>
              <w:right w:val="nil"/>
            </w:tcBorders>
            <w:shd w:val="clear" w:color="auto" w:fill="auto"/>
            <w:vAlign w:val="bottom"/>
            <w:hideMark/>
          </w:tcPr>
          <w:p w14:paraId="33B7CEF2"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Other</w:t>
            </w:r>
          </w:p>
        </w:tc>
        <w:tc>
          <w:tcPr>
            <w:tcW w:w="1134" w:type="dxa"/>
            <w:tcBorders>
              <w:top w:val="nil"/>
              <w:left w:val="nil"/>
              <w:bottom w:val="nil"/>
              <w:right w:val="nil"/>
            </w:tcBorders>
            <w:shd w:val="clear" w:color="auto" w:fill="auto"/>
            <w:noWrap/>
            <w:vAlign w:val="bottom"/>
            <w:hideMark/>
          </w:tcPr>
          <w:p w14:paraId="2D8AE8A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0 </w:t>
            </w:r>
          </w:p>
        </w:tc>
        <w:tc>
          <w:tcPr>
            <w:tcW w:w="113" w:type="dxa"/>
            <w:tcBorders>
              <w:top w:val="nil"/>
              <w:left w:val="nil"/>
              <w:bottom w:val="nil"/>
              <w:right w:val="nil"/>
            </w:tcBorders>
            <w:shd w:val="clear" w:color="auto" w:fill="auto"/>
            <w:noWrap/>
            <w:vAlign w:val="bottom"/>
            <w:hideMark/>
          </w:tcPr>
          <w:p w14:paraId="450C97E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0F2D3498"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6 </w:t>
            </w:r>
          </w:p>
        </w:tc>
        <w:tc>
          <w:tcPr>
            <w:tcW w:w="121" w:type="dxa"/>
            <w:tcBorders>
              <w:top w:val="nil"/>
              <w:left w:val="nil"/>
              <w:bottom w:val="nil"/>
              <w:right w:val="nil"/>
            </w:tcBorders>
            <w:shd w:val="clear" w:color="auto" w:fill="auto"/>
            <w:noWrap/>
            <w:vAlign w:val="bottom"/>
            <w:hideMark/>
          </w:tcPr>
          <w:p w14:paraId="5447685C"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527B73A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(39)</w:t>
            </w:r>
          </w:p>
        </w:tc>
        <w:tc>
          <w:tcPr>
            <w:tcW w:w="113" w:type="dxa"/>
            <w:tcBorders>
              <w:top w:val="nil"/>
              <w:left w:val="nil"/>
              <w:bottom w:val="nil"/>
              <w:right w:val="nil"/>
            </w:tcBorders>
            <w:shd w:val="clear" w:color="auto" w:fill="auto"/>
            <w:noWrap/>
            <w:vAlign w:val="bottom"/>
            <w:hideMark/>
          </w:tcPr>
          <w:p w14:paraId="6510AC8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4BB78F3C"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(10)</w:t>
            </w:r>
          </w:p>
        </w:tc>
      </w:tr>
      <w:tr w:rsidR="007470C1" w:rsidRPr="007470C1" w14:paraId="306998D8" w14:textId="77777777" w:rsidTr="007470C1">
        <w:trPr>
          <w:trHeight w:val="285"/>
        </w:trPr>
        <w:tc>
          <w:tcPr>
            <w:tcW w:w="4040" w:type="dxa"/>
            <w:tcBorders>
              <w:top w:val="nil"/>
              <w:left w:val="nil"/>
              <w:bottom w:val="single" w:sz="4" w:space="0" w:color="auto"/>
              <w:right w:val="nil"/>
            </w:tcBorders>
            <w:shd w:val="clear" w:color="auto" w:fill="auto"/>
            <w:vAlign w:val="bottom"/>
            <w:hideMark/>
          </w:tcPr>
          <w:p w14:paraId="577D0EB9"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Net cash used in financing</w:t>
            </w:r>
          </w:p>
        </w:tc>
        <w:tc>
          <w:tcPr>
            <w:tcW w:w="1134" w:type="dxa"/>
            <w:tcBorders>
              <w:top w:val="single" w:sz="4" w:space="0" w:color="auto"/>
              <w:left w:val="nil"/>
              <w:bottom w:val="single" w:sz="4" w:space="0" w:color="auto"/>
              <w:right w:val="nil"/>
            </w:tcBorders>
            <w:shd w:val="clear" w:color="auto" w:fill="auto"/>
            <w:noWrap/>
            <w:vAlign w:val="bottom"/>
            <w:hideMark/>
          </w:tcPr>
          <w:p w14:paraId="73AABB8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(3,309)</w:t>
            </w:r>
          </w:p>
        </w:tc>
        <w:tc>
          <w:tcPr>
            <w:tcW w:w="113" w:type="dxa"/>
            <w:tcBorders>
              <w:top w:val="nil"/>
              <w:left w:val="nil"/>
              <w:bottom w:val="nil"/>
              <w:right w:val="nil"/>
            </w:tcBorders>
            <w:shd w:val="clear" w:color="auto" w:fill="auto"/>
            <w:noWrap/>
            <w:vAlign w:val="bottom"/>
            <w:hideMark/>
          </w:tcPr>
          <w:p w14:paraId="77EA031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single" w:sz="4" w:space="0" w:color="auto"/>
              <w:left w:val="nil"/>
              <w:bottom w:val="single" w:sz="4" w:space="0" w:color="auto"/>
              <w:right w:val="nil"/>
            </w:tcBorders>
            <w:shd w:val="clear" w:color="auto" w:fill="auto"/>
            <w:noWrap/>
            <w:vAlign w:val="bottom"/>
            <w:hideMark/>
          </w:tcPr>
          <w:p w14:paraId="67854E5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(1,469)</w:t>
            </w:r>
          </w:p>
        </w:tc>
        <w:tc>
          <w:tcPr>
            <w:tcW w:w="121" w:type="dxa"/>
            <w:tcBorders>
              <w:top w:val="nil"/>
              <w:left w:val="nil"/>
              <w:bottom w:val="nil"/>
              <w:right w:val="nil"/>
            </w:tcBorders>
            <w:shd w:val="clear" w:color="auto" w:fill="auto"/>
            <w:noWrap/>
            <w:vAlign w:val="bottom"/>
            <w:hideMark/>
          </w:tcPr>
          <w:p w14:paraId="001C2ADE"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single" w:sz="4" w:space="0" w:color="auto"/>
              <w:left w:val="nil"/>
              <w:bottom w:val="single" w:sz="4" w:space="0" w:color="auto"/>
              <w:right w:val="nil"/>
            </w:tcBorders>
            <w:shd w:val="clear" w:color="auto" w:fill="auto"/>
            <w:noWrap/>
            <w:vAlign w:val="bottom"/>
            <w:hideMark/>
          </w:tcPr>
          <w:p w14:paraId="53A53B6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(8,394)</w:t>
            </w:r>
          </w:p>
        </w:tc>
        <w:tc>
          <w:tcPr>
            <w:tcW w:w="113" w:type="dxa"/>
            <w:tcBorders>
              <w:top w:val="nil"/>
              <w:left w:val="nil"/>
              <w:bottom w:val="nil"/>
              <w:right w:val="nil"/>
            </w:tcBorders>
            <w:shd w:val="clear" w:color="auto" w:fill="auto"/>
            <w:noWrap/>
            <w:vAlign w:val="bottom"/>
            <w:hideMark/>
          </w:tcPr>
          <w:p w14:paraId="04E48D1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single" w:sz="4" w:space="0" w:color="auto"/>
              <w:left w:val="nil"/>
              <w:bottom w:val="single" w:sz="4" w:space="0" w:color="auto"/>
              <w:right w:val="nil"/>
            </w:tcBorders>
            <w:shd w:val="clear" w:color="auto" w:fill="auto"/>
            <w:noWrap/>
            <w:vAlign w:val="bottom"/>
            <w:hideMark/>
          </w:tcPr>
          <w:p w14:paraId="4F05E68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(8,148)</w:t>
            </w:r>
          </w:p>
        </w:tc>
      </w:tr>
    </w:tbl>
    <w:p w14:paraId="7CF9E29E" w14:textId="77777777" w:rsidR="007470C1" w:rsidRDefault="007470C1">
      <w:r>
        <w:br w:type="page"/>
      </w:r>
    </w:p>
    <w:tbl>
      <w:tblPr>
        <w:tblW w:w="8509" w:type="dxa"/>
        <w:tblCellMar>
          <w:left w:w="0" w:type="dxa"/>
          <w:right w:w="0" w:type="dxa"/>
        </w:tblCellMar>
        <w:tblLook w:val="04A0" w:firstRow="1" w:lastRow="0" w:firstColumn="1" w:lastColumn="0" w:noHBand="0" w:noVBand="1"/>
      </w:tblPr>
      <w:tblGrid>
        <w:gridCol w:w="4056"/>
        <w:gridCol w:w="1150"/>
        <w:gridCol w:w="129"/>
        <w:gridCol w:w="909"/>
        <w:gridCol w:w="137"/>
        <w:gridCol w:w="1218"/>
        <w:gridCol w:w="129"/>
        <w:gridCol w:w="909"/>
      </w:tblGrid>
      <w:tr w:rsidR="007470C1" w:rsidRPr="007470C1" w14:paraId="4732DCB1" w14:textId="77777777" w:rsidTr="007470C1">
        <w:trPr>
          <w:trHeight w:val="285"/>
        </w:trPr>
        <w:tc>
          <w:tcPr>
            <w:tcW w:w="4040" w:type="dxa"/>
            <w:tcBorders>
              <w:top w:val="nil"/>
              <w:left w:val="nil"/>
              <w:bottom w:val="nil"/>
              <w:right w:val="nil"/>
            </w:tcBorders>
            <w:shd w:val="clear" w:color="auto" w:fill="auto"/>
            <w:noWrap/>
            <w:vAlign w:val="bottom"/>
            <w:hideMark/>
          </w:tcPr>
          <w:p w14:paraId="5E195B1A" w14:textId="197A1EBC"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lastRenderedPageBreak/>
              <w:t>Investing</w:t>
            </w:r>
          </w:p>
        </w:tc>
        <w:tc>
          <w:tcPr>
            <w:tcW w:w="1134" w:type="dxa"/>
            <w:tcBorders>
              <w:top w:val="nil"/>
              <w:left w:val="nil"/>
              <w:bottom w:val="nil"/>
              <w:right w:val="nil"/>
            </w:tcBorders>
            <w:shd w:val="clear" w:color="auto" w:fill="auto"/>
            <w:noWrap/>
            <w:vAlign w:val="bottom"/>
            <w:hideMark/>
          </w:tcPr>
          <w:p w14:paraId="0DC8DCF9" w14:textId="77777777" w:rsidR="007470C1" w:rsidRPr="007470C1" w:rsidRDefault="007470C1" w:rsidP="007470C1">
            <w:pPr>
              <w:spacing w:after="0" w:line="240" w:lineRule="auto"/>
              <w:rPr>
                <w:rFonts w:ascii="Segoe UI" w:eastAsia="Times New Roman" w:hAnsi="Segoe UI" w:cs="Segoe UI"/>
                <w:b/>
                <w:bCs/>
                <w:color w:val="666666"/>
                <w:sz w:val="20"/>
                <w:szCs w:val="20"/>
              </w:rPr>
            </w:pPr>
          </w:p>
        </w:tc>
        <w:tc>
          <w:tcPr>
            <w:tcW w:w="113" w:type="dxa"/>
            <w:tcBorders>
              <w:top w:val="nil"/>
              <w:left w:val="nil"/>
              <w:bottom w:val="nil"/>
              <w:right w:val="nil"/>
            </w:tcBorders>
            <w:shd w:val="clear" w:color="auto" w:fill="auto"/>
            <w:noWrap/>
            <w:vAlign w:val="bottom"/>
            <w:hideMark/>
          </w:tcPr>
          <w:p w14:paraId="6DD1FED7"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2C2A7BC3" w14:textId="77777777" w:rsidR="007470C1" w:rsidRPr="007470C1" w:rsidRDefault="007470C1" w:rsidP="007470C1">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74DAB2D7"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050BDB7E" w14:textId="77777777" w:rsidR="007470C1" w:rsidRPr="007470C1" w:rsidRDefault="007470C1" w:rsidP="007470C1">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32F02E24" w14:textId="77777777" w:rsidR="007470C1" w:rsidRPr="007470C1" w:rsidRDefault="007470C1" w:rsidP="007470C1">
            <w:pPr>
              <w:spacing w:after="0" w:line="240" w:lineRule="auto"/>
              <w:jc w:val="right"/>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4326EBDA" w14:textId="77777777" w:rsidR="007470C1" w:rsidRPr="007470C1" w:rsidRDefault="007470C1" w:rsidP="007470C1">
            <w:pPr>
              <w:spacing w:after="0" w:line="240" w:lineRule="auto"/>
              <w:rPr>
                <w:rFonts w:ascii="Times New Roman" w:eastAsia="Times New Roman" w:hAnsi="Times New Roman"/>
                <w:sz w:val="20"/>
                <w:szCs w:val="20"/>
              </w:rPr>
            </w:pPr>
          </w:p>
        </w:tc>
      </w:tr>
      <w:tr w:rsidR="007470C1" w:rsidRPr="007470C1" w14:paraId="43617E39" w14:textId="77777777" w:rsidTr="007470C1">
        <w:trPr>
          <w:trHeight w:val="645"/>
        </w:trPr>
        <w:tc>
          <w:tcPr>
            <w:tcW w:w="4040" w:type="dxa"/>
            <w:tcBorders>
              <w:top w:val="nil"/>
              <w:left w:val="nil"/>
              <w:bottom w:val="nil"/>
              <w:right w:val="nil"/>
            </w:tcBorders>
            <w:shd w:val="clear" w:color="auto" w:fill="auto"/>
            <w:vAlign w:val="bottom"/>
            <w:hideMark/>
          </w:tcPr>
          <w:p w14:paraId="05494B9F"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Additions to property and</w:t>
            </w:r>
            <w:r w:rsidRPr="007470C1">
              <w:rPr>
                <w:rFonts w:ascii="Segoe UI" w:eastAsia="Times New Roman" w:hAnsi="Segoe UI" w:cs="Segoe UI"/>
                <w:color w:val="666666"/>
                <w:sz w:val="20"/>
                <w:szCs w:val="20"/>
              </w:rPr>
              <w:br/>
              <w:t xml:space="preserve">   equipment</w:t>
            </w:r>
          </w:p>
        </w:tc>
        <w:tc>
          <w:tcPr>
            <w:tcW w:w="1134" w:type="dxa"/>
            <w:tcBorders>
              <w:top w:val="nil"/>
              <w:left w:val="nil"/>
              <w:bottom w:val="nil"/>
              <w:right w:val="nil"/>
            </w:tcBorders>
            <w:shd w:val="clear" w:color="auto" w:fill="auto"/>
            <w:noWrap/>
            <w:vAlign w:val="bottom"/>
            <w:hideMark/>
          </w:tcPr>
          <w:p w14:paraId="67E6B3A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(1,330)</w:t>
            </w:r>
          </w:p>
        </w:tc>
        <w:tc>
          <w:tcPr>
            <w:tcW w:w="113" w:type="dxa"/>
            <w:tcBorders>
              <w:top w:val="nil"/>
              <w:left w:val="nil"/>
              <w:bottom w:val="nil"/>
              <w:right w:val="nil"/>
            </w:tcBorders>
            <w:shd w:val="clear" w:color="auto" w:fill="auto"/>
            <w:noWrap/>
            <w:vAlign w:val="bottom"/>
            <w:hideMark/>
          </w:tcPr>
          <w:p w14:paraId="188703E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0EADA6E3"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(1,794)</w:t>
            </w:r>
          </w:p>
        </w:tc>
        <w:tc>
          <w:tcPr>
            <w:tcW w:w="121" w:type="dxa"/>
            <w:tcBorders>
              <w:top w:val="nil"/>
              <w:left w:val="nil"/>
              <w:bottom w:val="nil"/>
              <w:right w:val="nil"/>
            </w:tcBorders>
            <w:shd w:val="clear" w:color="auto" w:fill="auto"/>
            <w:noWrap/>
            <w:vAlign w:val="bottom"/>
            <w:hideMark/>
          </w:tcPr>
          <w:p w14:paraId="36E81082"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7FCE0DF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(5,485)</w:t>
            </w:r>
          </w:p>
        </w:tc>
        <w:tc>
          <w:tcPr>
            <w:tcW w:w="113" w:type="dxa"/>
            <w:tcBorders>
              <w:top w:val="nil"/>
              <w:left w:val="nil"/>
              <w:bottom w:val="nil"/>
              <w:right w:val="nil"/>
            </w:tcBorders>
            <w:shd w:val="clear" w:color="auto" w:fill="auto"/>
            <w:noWrap/>
            <w:vAlign w:val="bottom"/>
            <w:hideMark/>
          </w:tcPr>
          <w:p w14:paraId="1EFB76A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3004CE0C"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(4,257)</w:t>
            </w:r>
          </w:p>
        </w:tc>
      </w:tr>
      <w:tr w:rsidR="007470C1" w:rsidRPr="007470C1" w14:paraId="1623B185" w14:textId="77777777" w:rsidTr="007470C1">
        <w:trPr>
          <w:trHeight w:val="915"/>
        </w:trPr>
        <w:tc>
          <w:tcPr>
            <w:tcW w:w="4040" w:type="dxa"/>
            <w:tcBorders>
              <w:top w:val="nil"/>
              <w:left w:val="nil"/>
              <w:bottom w:val="nil"/>
              <w:right w:val="nil"/>
            </w:tcBorders>
            <w:shd w:val="clear" w:color="auto" w:fill="auto"/>
            <w:vAlign w:val="bottom"/>
            <w:hideMark/>
          </w:tcPr>
          <w:p w14:paraId="0E341EB6"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Acquisition of companies, net of</w:t>
            </w:r>
            <w:r w:rsidRPr="007470C1">
              <w:rPr>
                <w:rFonts w:ascii="Segoe UI" w:eastAsia="Times New Roman" w:hAnsi="Segoe UI" w:cs="Segoe UI"/>
                <w:color w:val="666666"/>
                <w:sz w:val="20"/>
                <w:szCs w:val="20"/>
              </w:rPr>
              <w:br/>
              <w:t xml:space="preserve">   cash acquired, and purchases of</w:t>
            </w:r>
            <w:r w:rsidRPr="007470C1">
              <w:rPr>
                <w:rFonts w:ascii="Segoe UI" w:eastAsia="Times New Roman" w:hAnsi="Segoe UI" w:cs="Segoe UI"/>
                <w:color w:val="666666"/>
                <w:sz w:val="20"/>
                <w:szCs w:val="20"/>
              </w:rPr>
              <w:br/>
              <w:t xml:space="preserve">   intangible and other assets</w:t>
            </w:r>
          </w:p>
        </w:tc>
        <w:tc>
          <w:tcPr>
            <w:tcW w:w="1134" w:type="dxa"/>
            <w:tcBorders>
              <w:top w:val="nil"/>
              <w:left w:val="nil"/>
              <w:bottom w:val="nil"/>
              <w:right w:val="nil"/>
            </w:tcBorders>
            <w:shd w:val="clear" w:color="auto" w:fill="auto"/>
            <w:noWrap/>
            <w:vAlign w:val="bottom"/>
            <w:hideMark/>
          </w:tcPr>
          <w:p w14:paraId="008AE2F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(5,626)</w:t>
            </w:r>
          </w:p>
        </w:tc>
        <w:tc>
          <w:tcPr>
            <w:tcW w:w="113" w:type="dxa"/>
            <w:tcBorders>
              <w:top w:val="nil"/>
              <w:left w:val="nil"/>
              <w:bottom w:val="nil"/>
              <w:right w:val="nil"/>
            </w:tcBorders>
            <w:shd w:val="clear" w:color="auto" w:fill="auto"/>
            <w:noWrap/>
            <w:vAlign w:val="bottom"/>
            <w:hideMark/>
          </w:tcPr>
          <w:p w14:paraId="6B31F61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76B9F04C"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(20)</w:t>
            </w:r>
          </w:p>
        </w:tc>
        <w:tc>
          <w:tcPr>
            <w:tcW w:w="121" w:type="dxa"/>
            <w:tcBorders>
              <w:top w:val="nil"/>
              <w:left w:val="nil"/>
              <w:bottom w:val="nil"/>
              <w:right w:val="nil"/>
            </w:tcBorders>
            <w:shd w:val="clear" w:color="auto" w:fill="auto"/>
            <w:noWrap/>
            <w:vAlign w:val="bottom"/>
            <w:hideMark/>
          </w:tcPr>
          <w:p w14:paraId="56447E3B"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1CAB898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(5,937)</w:t>
            </w:r>
          </w:p>
        </w:tc>
        <w:tc>
          <w:tcPr>
            <w:tcW w:w="113" w:type="dxa"/>
            <w:tcBorders>
              <w:top w:val="nil"/>
              <w:left w:val="nil"/>
              <w:bottom w:val="nil"/>
              <w:right w:val="nil"/>
            </w:tcBorders>
            <w:shd w:val="clear" w:color="auto" w:fill="auto"/>
            <w:noWrap/>
            <w:vAlign w:val="bottom"/>
            <w:hideMark/>
          </w:tcPr>
          <w:p w14:paraId="7BC8EA8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65DACE28"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(1,584)</w:t>
            </w:r>
          </w:p>
        </w:tc>
      </w:tr>
      <w:tr w:rsidR="007470C1" w:rsidRPr="007470C1" w14:paraId="79FEA58E" w14:textId="77777777" w:rsidTr="007470C1">
        <w:trPr>
          <w:trHeight w:val="315"/>
        </w:trPr>
        <w:tc>
          <w:tcPr>
            <w:tcW w:w="4040" w:type="dxa"/>
            <w:tcBorders>
              <w:top w:val="nil"/>
              <w:left w:val="nil"/>
              <w:bottom w:val="nil"/>
              <w:right w:val="nil"/>
            </w:tcBorders>
            <w:shd w:val="clear" w:color="auto" w:fill="auto"/>
            <w:noWrap/>
            <w:vAlign w:val="bottom"/>
            <w:hideMark/>
          </w:tcPr>
          <w:p w14:paraId="725DFEC0"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Purchases of investments</w:t>
            </w:r>
          </w:p>
        </w:tc>
        <w:tc>
          <w:tcPr>
            <w:tcW w:w="1134" w:type="dxa"/>
            <w:tcBorders>
              <w:top w:val="nil"/>
              <w:left w:val="nil"/>
              <w:bottom w:val="nil"/>
              <w:right w:val="nil"/>
            </w:tcBorders>
            <w:shd w:val="clear" w:color="auto" w:fill="auto"/>
            <w:noWrap/>
            <w:vAlign w:val="bottom"/>
            <w:hideMark/>
          </w:tcPr>
          <w:p w14:paraId="1B02F7E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(23,473)</w:t>
            </w:r>
          </w:p>
        </w:tc>
        <w:tc>
          <w:tcPr>
            <w:tcW w:w="113" w:type="dxa"/>
            <w:tcBorders>
              <w:top w:val="nil"/>
              <w:left w:val="nil"/>
              <w:bottom w:val="nil"/>
              <w:right w:val="nil"/>
            </w:tcBorders>
            <w:shd w:val="clear" w:color="auto" w:fill="auto"/>
            <w:noWrap/>
            <w:vAlign w:val="bottom"/>
            <w:hideMark/>
          </w:tcPr>
          <w:p w14:paraId="5BEC040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086418A1"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(27,024)</w:t>
            </w:r>
          </w:p>
        </w:tc>
        <w:tc>
          <w:tcPr>
            <w:tcW w:w="121" w:type="dxa"/>
            <w:tcBorders>
              <w:top w:val="nil"/>
              <w:left w:val="nil"/>
              <w:bottom w:val="nil"/>
              <w:right w:val="nil"/>
            </w:tcBorders>
            <w:shd w:val="clear" w:color="auto" w:fill="auto"/>
            <w:noWrap/>
            <w:vAlign w:val="bottom"/>
            <w:hideMark/>
          </w:tcPr>
          <w:p w14:paraId="03118AEB"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530B163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(72,690)</w:t>
            </w:r>
          </w:p>
        </w:tc>
        <w:tc>
          <w:tcPr>
            <w:tcW w:w="113" w:type="dxa"/>
            <w:tcBorders>
              <w:top w:val="nil"/>
              <w:left w:val="nil"/>
              <w:bottom w:val="nil"/>
              <w:right w:val="nil"/>
            </w:tcBorders>
            <w:shd w:val="clear" w:color="auto" w:fill="auto"/>
            <w:noWrap/>
            <w:vAlign w:val="bottom"/>
            <w:hideMark/>
          </w:tcPr>
          <w:p w14:paraId="6B60025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5D46A39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(75,396)</w:t>
            </w:r>
          </w:p>
        </w:tc>
      </w:tr>
      <w:tr w:rsidR="007470C1" w:rsidRPr="007470C1" w14:paraId="64912592" w14:textId="77777777" w:rsidTr="007470C1">
        <w:trPr>
          <w:trHeight w:val="285"/>
        </w:trPr>
        <w:tc>
          <w:tcPr>
            <w:tcW w:w="4040" w:type="dxa"/>
            <w:tcBorders>
              <w:top w:val="nil"/>
              <w:left w:val="nil"/>
              <w:bottom w:val="nil"/>
              <w:right w:val="nil"/>
            </w:tcBorders>
            <w:shd w:val="clear" w:color="auto" w:fill="auto"/>
            <w:noWrap/>
            <w:vAlign w:val="bottom"/>
            <w:hideMark/>
          </w:tcPr>
          <w:p w14:paraId="3922204A"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Maturities of investments</w:t>
            </w:r>
          </w:p>
        </w:tc>
        <w:tc>
          <w:tcPr>
            <w:tcW w:w="1134" w:type="dxa"/>
            <w:tcBorders>
              <w:top w:val="nil"/>
              <w:left w:val="nil"/>
              <w:bottom w:val="nil"/>
              <w:right w:val="nil"/>
            </w:tcBorders>
            <w:shd w:val="clear" w:color="auto" w:fill="auto"/>
            <w:noWrap/>
            <w:vAlign w:val="bottom"/>
            <w:hideMark/>
          </w:tcPr>
          <w:p w14:paraId="6D3D795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1,138 </w:t>
            </w:r>
          </w:p>
        </w:tc>
        <w:tc>
          <w:tcPr>
            <w:tcW w:w="113" w:type="dxa"/>
            <w:tcBorders>
              <w:top w:val="nil"/>
              <w:left w:val="nil"/>
              <w:bottom w:val="nil"/>
              <w:right w:val="nil"/>
            </w:tcBorders>
            <w:shd w:val="clear" w:color="auto" w:fill="auto"/>
            <w:noWrap/>
            <w:vAlign w:val="bottom"/>
            <w:hideMark/>
          </w:tcPr>
          <w:p w14:paraId="6A65033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4039B564"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617 </w:t>
            </w:r>
          </w:p>
        </w:tc>
        <w:tc>
          <w:tcPr>
            <w:tcW w:w="121" w:type="dxa"/>
            <w:tcBorders>
              <w:top w:val="nil"/>
              <w:left w:val="nil"/>
              <w:bottom w:val="nil"/>
              <w:right w:val="nil"/>
            </w:tcBorders>
            <w:shd w:val="clear" w:color="auto" w:fill="auto"/>
            <w:noWrap/>
            <w:vAlign w:val="bottom"/>
            <w:hideMark/>
          </w:tcPr>
          <w:p w14:paraId="00F097B2"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28F83D6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5,272 </w:t>
            </w:r>
          </w:p>
        </w:tc>
        <w:tc>
          <w:tcPr>
            <w:tcW w:w="113" w:type="dxa"/>
            <w:tcBorders>
              <w:top w:val="nil"/>
              <w:left w:val="nil"/>
              <w:bottom w:val="nil"/>
              <w:right w:val="nil"/>
            </w:tcBorders>
            <w:shd w:val="clear" w:color="auto" w:fill="auto"/>
            <w:noWrap/>
            <w:vAlign w:val="bottom"/>
            <w:hideMark/>
          </w:tcPr>
          <w:p w14:paraId="5657E1D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0481045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5,130 </w:t>
            </w:r>
          </w:p>
        </w:tc>
      </w:tr>
      <w:tr w:rsidR="007470C1" w:rsidRPr="007470C1" w14:paraId="1A26B5EF" w14:textId="77777777" w:rsidTr="007470C1">
        <w:trPr>
          <w:trHeight w:val="285"/>
        </w:trPr>
        <w:tc>
          <w:tcPr>
            <w:tcW w:w="4040" w:type="dxa"/>
            <w:tcBorders>
              <w:top w:val="nil"/>
              <w:left w:val="nil"/>
              <w:bottom w:val="nil"/>
              <w:right w:val="nil"/>
            </w:tcBorders>
            <w:shd w:val="clear" w:color="auto" w:fill="auto"/>
            <w:noWrap/>
            <w:vAlign w:val="bottom"/>
            <w:hideMark/>
          </w:tcPr>
          <w:p w14:paraId="2F5B3E50"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Sales of investments</w:t>
            </w:r>
          </w:p>
        </w:tc>
        <w:tc>
          <w:tcPr>
            <w:tcW w:w="1134" w:type="dxa"/>
            <w:tcBorders>
              <w:top w:val="nil"/>
              <w:left w:val="nil"/>
              <w:bottom w:val="nil"/>
              <w:right w:val="nil"/>
            </w:tcBorders>
            <w:shd w:val="clear" w:color="auto" w:fill="auto"/>
            <w:noWrap/>
            <w:vAlign w:val="bottom"/>
            <w:hideMark/>
          </w:tcPr>
          <w:p w14:paraId="5A72489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20,617 </w:t>
            </w:r>
          </w:p>
        </w:tc>
        <w:tc>
          <w:tcPr>
            <w:tcW w:w="113" w:type="dxa"/>
            <w:tcBorders>
              <w:top w:val="nil"/>
              <w:left w:val="nil"/>
              <w:bottom w:val="nil"/>
              <w:right w:val="nil"/>
            </w:tcBorders>
            <w:shd w:val="clear" w:color="auto" w:fill="auto"/>
            <w:noWrap/>
            <w:vAlign w:val="bottom"/>
            <w:hideMark/>
          </w:tcPr>
          <w:p w14:paraId="6D57DEA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5F04F0E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22,301 </w:t>
            </w:r>
          </w:p>
        </w:tc>
        <w:tc>
          <w:tcPr>
            <w:tcW w:w="121" w:type="dxa"/>
            <w:tcBorders>
              <w:top w:val="nil"/>
              <w:left w:val="nil"/>
              <w:bottom w:val="nil"/>
              <w:right w:val="nil"/>
            </w:tcBorders>
            <w:shd w:val="clear" w:color="auto" w:fill="auto"/>
            <w:noWrap/>
            <w:vAlign w:val="bottom"/>
            <w:hideMark/>
          </w:tcPr>
          <w:p w14:paraId="5B999D5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2F34DB0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60,094 </w:t>
            </w:r>
          </w:p>
        </w:tc>
        <w:tc>
          <w:tcPr>
            <w:tcW w:w="113" w:type="dxa"/>
            <w:tcBorders>
              <w:top w:val="nil"/>
              <w:left w:val="nil"/>
              <w:bottom w:val="nil"/>
              <w:right w:val="nil"/>
            </w:tcBorders>
            <w:shd w:val="clear" w:color="auto" w:fill="auto"/>
            <w:noWrap/>
            <w:vAlign w:val="bottom"/>
            <w:hideMark/>
          </w:tcPr>
          <w:p w14:paraId="19C39B0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001E015B"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52,464 </w:t>
            </w:r>
          </w:p>
        </w:tc>
      </w:tr>
      <w:tr w:rsidR="007470C1" w:rsidRPr="007470C1" w14:paraId="3F7CDBD4" w14:textId="77777777" w:rsidTr="007470C1">
        <w:trPr>
          <w:trHeight w:val="285"/>
        </w:trPr>
        <w:tc>
          <w:tcPr>
            <w:tcW w:w="4040" w:type="dxa"/>
            <w:tcBorders>
              <w:top w:val="nil"/>
              <w:left w:val="nil"/>
              <w:bottom w:val="single" w:sz="4" w:space="0" w:color="auto"/>
              <w:right w:val="nil"/>
            </w:tcBorders>
            <w:shd w:val="clear" w:color="auto" w:fill="auto"/>
            <w:noWrap/>
            <w:vAlign w:val="bottom"/>
            <w:hideMark/>
          </w:tcPr>
          <w:p w14:paraId="5A1E5C4E"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Securities lending payable</w:t>
            </w:r>
          </w:p>
        </w:tc>
        <w:tc>
          <w:tcPr>
            <w:tcW w:w="1134" w:type="dxa"/>
            <w:tcBorders>
              <w:top w:val="nil"/>
              <w:left w:val="nil"/>
              <w:bottom w:val="single" w:sz="4" w:space="0" w:color="auto"/>
              <w:right w:val="nil"/>
            </w:tcBorders>
            <w:shd w:val="clear" w:color="auto" w:fill="auto"/>
            <w:noWrap/>
            <w:vAlign w:val="bottom"/>
            <w:hideMark/>
          </w:tcPr>
          <w:p w14:paraId="59C7F34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(236)</w:t>
            </w:r>
          </w:p>
        </w:tc>
        <w:tc>
          <w:tcPr>
            <w:tcW w:w="113" w:type="dxa"/>
            <w:tcBorders>
              <w:top w:val="nil"/>
              <w:left w:val="nil"/>
              <w:bottom w:val="nil"/>
              <w:right w:val="nil"/>
            </w:tcBorders>
            <w:shd w:val="clear" w:color="auto" w:fill="auto"/>
            <w:noWrap/>
            <w:vAlign w:val="bottom"/>
            <w:hideMark/>
          </w:tcPr>
          <w:p w14:paraId="66CDFAF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single" w:sz="4" w:space="0" w:color="auto"/>
              <w:right w:val="nil"/>
            </w:tcBorders>
            <w:shd w:val="clear" w:color="auto" w:fill="auto"/>
            <w:noWrap/>
            <w:vAlign w:val="bottom"/>
            <w:hideMark/>
          </w:tcPr>
          <w:p w14:paraId="072274DC"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81 </w:t>
            </w:r>
          </w:p>
        </w:tc>
        <w:tc>
          <w:tcPr>
            <w:tcW w:w="121" w:type="dxa"/>
            <w:tcBorders>
              <w:top w:val="nil"/>
              <w:left w:val="nil"/>
              <w:bottom w:val="nil"/>
              <w:right w:val="nil"/>
            </w:tcBorders>
            <w:shd w:val="clear" w:color="auto" w:fill="auto"/>
            <w:noWrap/>
            <w:vAlign w:val="bottom"/>
            <w:hideMark/>
          </w:tcPr>
          <w:p w14:paraId="4FE9D132"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single" w:sz="4" w:space="0" w:color="auto"/>
              <w:right w:val="nil"/>
            </w:tcBorders>
            <w:shd w:val="clear" w:color="auto" w:fill="auto"/>
            <w:noWrap/>
            <w:vAlign w:val="bottom"/>
            <w:hideMark/>
          </w:tcPr>
          <w:p w14:paraId="580B4A9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(87)</w:t>
            </w:r>
          </w:p>
        </w:tc>
        <w:tc>
          <w:tcPr>
            <w:tcW w:w="113" w:type="dxa"/>
            <w:tcBorders>
              <w:top w:val="nil"/>
              <w:left w:val="nil"/>
              <w:bottom w:val="nil"/>
              <w:right w:val="nil"/>
            </w:tcBorders>
            <w:shd w:val="clear" w:color="auto" w:fill="auto"/>
            <w:noWrap/>
            <w:vAlign w:val="bottom"/>
            <w:hideMark/>
          </w:tcPr>
          <w:p w14:paraId="443A9F5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single" w:sz="4" w:space="0" w:color="auto"/>
              <w:right w:val="nil"/>
            </w:tcBorders>
            <w:shd w:val="clear" w:color="auto" w:fill="auto"/>
            <w:noWrap/>
            <w:vAlign w:val="bottom"/>
            <w:hideMark/>
          </w:tcPr>
          <w:p w14:paraId="17FF7D7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(168)</w:t>
            </w:r>
          </w:p>
        </w:tc>
      </w:tr>
      <w:tr w:rsidR="007470C1" w:rsidRPr="007470C1" w14:paraId="6E75973B" w14:textId="77777777" w:rsidTr="007470C1">
        <w:trPr>
          <w:trHeight w:val="285"/>
        </w:trPr>
        <w:tc>
          <w:tcPr>
            <w:tcW w:w="4040" w:type="dxa"/>
            <w:tcBorders>
              <w:top w:val="nil"/>
              <w:left w:val="nil"/>
              <w:bottom w:val="single" w:sz="4" w:space="0" w:color="auto"/>
              <w:right w:val="nil"/>
            </w:tcBorders>
            <w:shd w:val="clear" w:color="auto" w:fill="auto"/>
            <w:vAlign w:val="bottom"/>
            <w:hideMark/>
          </w:tcPr>
          <w:p w14:paraId="340A2431"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Net cash used in investing</w:t>
            </w:r>
          </w:p>
        </w:tc>
        <w:tc>
          <w:tcPr>
            <w:tcW w:w="1134" w:type="dxa"/>
            <w:tcBorders>
              <w:top w:val="nil"/>
              <w:left w:val="nil"/>
              <w:bottom w:val="single" w:sz="4" w:space="0" w:color="auto"/>
              <w:right w:val="nil"/>
            </w:tcBorders>
            <w:shd w:val="clear" w:color="auto" w:fill="auto"/>
            <w:noWrap/>
            <w:vAlign w:val="bottom"/>
            <w:hideMark/>
          </w:tcPr>
          <w:p w14:paraId="041B2CE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(8,910)</w:t>
            </w:r>
          </w:p>
        </w:tc>
        <w:tc>
          <w:tcPr>
            <w:tcW w:w="113" w:type="dxa"/>
            <w:tcBorders>
              <w:top w:val="nil"/>
              <w:left w:val="nil"/>
              <w:bottom w:val="nil"/>
              <w:right w:val="nil"/>
            </w:tcBorders>
            <w:shd w:val="clear" w:color="auto" w:fill="auto"/>
            <w:noWrap/>
            <w:vAlign w:val="bottom"/>
            <w:hideMark/>
          </w:tcPr>
          <w:p w14:paraId="2196E0E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single" w:sz="4" w:space="0" w:color="auto"/>
              <w:right w:val="nil"/>
            </w:tcBorders>
            <w:shd w:val="clear" w:color="auto" w:fill="auto"/>
            <w:noWrap/>
            <w:vAlign w:val="bottom"/>
            <w:hideMark/>
          </w:tcPr>
          <w:p w14:paraId="343FCEB9"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(5,839)</w:t>
            </w:r>
          </w:p>
        </w:tc>
        <w:tc>
          <w:tcPr>
            <w:tcW w:w="121" w:type="dxa"/>
            <w:tcBorders>
              <w:top w:val="nil"/>
              <w:left w:val="nil"/>
              <w:bottom w:val="nil"/>
              <w:right w:val="nil"/>
            </w:tcBorders>
            <w:shd w:val="clear" w:color="auto" w:fill="auto"/>
            <w:noWrap/>
            <w:vAlign w:val="bottom"/>
            <w:hideMark/>
          </w:tcPr>
          <w:p w14:paraId="0EEA54E5"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single" w:sz="4" w:space="0" w:color="auto"/>
              <w:right w:val="nil"/>
            </w:tcBorders>
            <w:shd w:val="clear" w:color="auto" w:fill="auto"/>
            <w:noWrap/>
            <w:vAlign w:val="bottom"/>
            <w:hideMark/>
          </w:tcPr>
          <w:p w14:paraId="4EC785D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(18,833)</w:t>
            </w:r>
          </w:p>
        </w:tc>
        <w:tc>
          <w:tcPr>
            <w:tcW w:w="113" w:type="dxa"/>
            <w:tcBorders>
              <w:top w:val="nil"/>
              <w:left w:val="nil"/>
              <w:bottom w:val="nil"/>
              <w:right w:val="nil"/>
            </w:tcBorders>
            <w:shd w:val="clear" w:color="auto" w:fill="auto"/>
            <w:noWrap/>
            <w:vAlign w:val="bottom"/>
            <w:hideMark/>
          </w:tcPr>
          <w:p w14:paraId="57659EB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single" w:sz="4" w:space="0" w:color="auto"/>
              <w:right w:val="nil"/>
            </w:tcBorders>
            <w:shd w:val="clear" w:color="auto" w:fill="auto"/>
            <w:noWrap/>
            <w:vAlign w:val="bottom"/>
            <w:hideMark/>
          </w:tcPr>
          <w:p w14:paraId="7086624A"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(23,811)</w:t>
            </w:r>
          </w:p>
        </w:tc>
      </w:tr>
      <w:tr w:rsidR="007470C1" w:rsidRPr="007470C1" w14:paraId="7BCAED61" w14:textId="77777777" w:rsidTr="007470C1">
        <w:trPr>
          <w:trHeight w:val="570"/>
        </w:trPr>
        <w:tc>
          <w:tcPr>
            <w:tcW w:w="4040" w:type="dxa"/>
            <w:tcBorders>
              <w:top w:val="nil"/>
              <w:left w:val="nil"/>
              <w:bottom w:val="single" w:sz="4" w:space="0" w:color="auto"/>
              <w:right w:val="nil"/>
            </w:tcBorders>
            <w:shd w:val="clear" w:color="auto" w:fill="auto"/>
            <w:vAlign w:val="bottom"/>
            <w:hideMark/>
          </w:tcPr>
          <w:p w14:paraId="3037B76F"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Effect of exchange rates on cash</w:t>
            </w:r>
            <w:r w:rsidRPr="007470C1">
              <w:rPr>
                <w:rFonts w:ascii="Segoe UI" w:eastAsia="Times New Roman" w:hAnsi="Segoe UI" w:cs="Segoe UI"/>
                <w:color w:val="666666"/>
                <w:sz w:val="20"/>
                <w:szCs w:val="20"/>
              </w:rPr>
              <w:br/>
              <w:t xml:space="preserve">   and cash equivalents</w:t>
            </w:r>
          </w:p>
        </w:tc>
        <w:tc>
          <w:tcPr>
            <w:tcW w:w="1134" w:type="dxa"/>
            <w:tcBorders>
              <w:top w:val="nil"/>
              <w:left w:val="nil"/>
              <w:bottom w:val="single" w:sz="4" w:space="0" w:color="auto"/>
              <w:right w:val="nil"/>
            </w:tcBorders>
            <w:shd w:val="clear" w:color="auto" w:fill="auto"/>
            <w:noWrap/>
            <w:vAlign w:val="bottom"/>
            <w:hideMark/>
          </w:tcPr>
          <w:p w14:paraId="6484E0A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(198)</w:t>
            </w:r>
          </w:p>
        </w:tc>
        <w:tc>
          <w:tcPr>
            <w:tcW w:w="113" w:type="dxa"/>
            <w:tcBorders>
              <w:top w:val="nil"/>
              <w:left w:val="nil"/>
              <w:bottom w:val="nil"/>
              <w:right w:val="nil"/>
            </w:tcBorders>
            <w:shd w:val="clear" w:color="auto" w:fill="auto"/>
            <w:noWrap/>
            <w:vAlign w:val="bottom"/>
            <w:hideMark/>
          </w:tcPr>
          <w:p w14:paraId="58AC7EB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single" w:sz="4" w:space="0" w:color="auto"/>
              <w:right w:val="nil"/>
            </w:tcBorders>
            <w:shd w:val="clear" w:color="auto" w:fill="auto"/>
            <w:noWrap/>
            <w:vAlign w:val="bottom"/>
            <w:hideMark/>
          </w:tcPr>
          <w:p w14:paraId="6C8687A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(31)</w:t>
            </w:r>
          </w:p>
        </w:tc>
        <w:tc>
          <w:tcPr>
            <w:tcW w:w="121" w:type="dxa"/>
            <w:tcBorders>
              <w:top w:val="nil"/>
              <w:left w:val="nil"/>
              <w:bottom w:val="nil"/>
              <w:right w:val="nil"/>
            </w:tcBorders>
            <w:shd w:val="clear" w:color="auto" w:fill="auto"/>
            <w:noWrap/>
            <w:vAlign w:val="bottom"/>
            <w:hideMark/>
          </w:tcPr>
          <w:p w14:paraId="000EE298"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single" w:sz="4" w:space="0" w:color="auto"/>
              <w:right w:val="nil"/>
            </w:tcBorders>
            <w:shd w:val="clear" w:color="auto" w:fill="auto"/>
            <w:noWrap/>
            <w:vAlign w:val="bottom"/>
            <w:hideMark/>
          </w:tcPr>
          <w:p w14:paraId="56179B4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(139)</w:t>
            </w:r>
          </w:p>
        </w:tc>
        <w:tc>
          <w:tcPr>
            <w:tcW w:w="113" w:type="dxa"/>
            <w:tcBorders>
              <w:top w:val="nil"/>
              <w:left w:val="nil"/>
              <w:bottom w:val="nil"/>
              <w:right w:val="nil"/>
            </w:tcBorders>
            <w:shd w:val="clear" w:color="auto" w:fill="auto"/>
            <w:noWrap/>
            <w:vAlign w:val="bottom"/>
            <w:hideMark/>
          </w:tcPr>
          <w:p w14:paraId="62AD36F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single" w:sz="4" w:space="0" w:color="auto"/>
              <w:right w:val="nil"/>
            </w:tcBorders>
            <w:shd w:val="clear" w:color="auto" w:fill="auto"/>
            <w:noWrap/>
            <w:vAlign w:val="bottom"/>
            <w:hideMark/>
          </w:tcPr>
          <w:p w14:paraId="2A222AA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(8)</w:t>
            </w:r>
          </w:p>
        </w:tc>
      </w:tr>
      <w:tr w:rsidR="007470C1" w:rsidRPr="007470C1" w14:paraId="0733BE03" w14:textId="77777777" w:rsidTr="007470C1">
        <w:trPr>
          <w:trHeight w:val="570"/>
        </w:trPr>
        <w:tc>
          <w:tcPr>
            <w:tcW w:w="4040" w:type="dxa"/>
            <w:tcBorders>
              <w:top w:val="nil"/>
              <w:left w:val="nil"/>
              <w:bottom w:val="nil"/>
              <w:right w:val="nil"/>
            </w:tcBorders>
            <w:shd w:val="clear" w:color="auto" w:fill="auto"/>
            <w:vAlign w:val="bottom"/>
            <w:hideMark/>
          </w:tcPr>
          <w:p w14:paraId="3301A297"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Net change in cash and cash</w:t>
            </w:r>
            <w:r w:rsidRPr="007470C1">
              <w:rPr>
                <w:rFonts w:ascii="Segoe UI" w:eastAsia="Times New Roman" w:hAnsi="Segoe UI" w:cs="Segoe UI"/>
                <w:color w:val="666666"/>
                <w:sz w:val="20"/>
                <w:szCs w:val="20"/>
              </w:rPr>
              <w:br/>
              <w:t xml:space="preserve">   equivalents</w:t>
            </w:r>
          </w:p>
        </w:tc>
        <w:tc>
          <w:tcPr>
            <w:tcW w:w="1134" w:type="dxa"/>
            <w:tcBorders>
              <w:top w:val="nil"/>
              <w:left w:val="nil"/>
              <w:bottom w:val="nil"/>
              <w:right w:val="nil"/>
            </w:tcBorders>
            <w:shd w:val="clear" w:color="auto" w:fill="auto"/>
            <w:noWrap/>
            <w:vAlign w:val="bottom"/>
            <w:hideMark/>
          </w:tcPr>
          <w:p w14:paraId="60C75A8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(2,903)</w:t>
            </w:r>
          </w:p>
        </w:tc>
        <w:tc>
          <w:tcPr>
            <w:tcW w:w="113" w:type="dxa"/>
            <w:tcBorders>
              <w:top w:val="nil"/>
              <w:left w:val="nil"/>
              <w:bottom w:val="nil"/>
              <w:right w:val="nil"/>
            </w:tcBorders>
            <w:shd w:val="clear" w:color="auto" w:fill="auto"/>
            <w:noWrap/>
            <w:vAlign w:val="bottom"/>
            <w:hideMark/>
          </w:tcPr>
          <w:p w14:paraId="5AE9383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401FBA1B"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(1,436)</w:t>
            </w:r>
          </w:p>
        </w:tc>
        <w:tc>
          <w:tcPr>
            <w:tcW w:w="121" w:type="dxa"/>
            <w:tcBorders>
              <w:top w:val="nil"/>
              <w:left w:val="nil"/>
              <w:bottom w:val="nil"/>
              <w:right w:val="nil"/>
            </w:tcBorders>
            <w:shd w:val="clear" w:color="auto" w:fill="auto"/>
            <w:noWrap/>
            <w:vAlign w:val="bottom"/>
            <w:hideMark/>
          </w:tcPr>
          <w:p w14:paraId="1C3362E5"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nil"/>
              <w:right w:val="nil"/>
            </w:tcBorders>
            <w:shd w:val="clear" w:color="auto" w:fill="auto"/>
            <w:noWrap/>
            <w:vAlign w:val="bottom"/>
            <w:hideMark/>
          </w:tcPr>
          <w:p w14:paraId="7A65B0C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4,865 </w:t>
            </w:r>
          </w:p>
        </w:tc>
        <w:tc>
          <w:tcPr>
            <w:tcW w:w="113" w:type="dxa"/>
            <w:tcBorders>
              <w:top w:val="nil"/>
              <w:left w:val="nil"/>
              <w:bottom w:val="nil"/>
              <w:right w:val="nil"/>
            </w:tcBorders>
            <w:shd w:val="clear" w:color="auto" w:fill="auto"/>
            <w:noWrap/>
            <w:vAlign w:val="bottom"/>
            <w:hideMark/>
          </w:tcPr>
          <w:p w14:paraId="2A3C787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nil"/>
              <w:right w:val="nil"/>
            </w:tcBorders>
            <w:shd w:val="clear" w:color="auto" w:fill="auto"/>
            <w:noWrap/>
            <w:vAlign w:val="bottom"/>
            <w:hideMark/>
          </w:tcPr>
          <w:p w14:paraId="6CE779AC"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(3,134)</w:t>
            </w:r>
          </w:p>
        </w:tc>
      </w:tr>
      <w:tr w:rsidR="007470C1" w:rsidRPr="007470C1" w14:paraId="7033EEA2" w14:textId="77777777" w:rsidTr="007470C1">
        <w:trPr>
          <w:trHeight w:val="570"/>
        </w:trPr>
        <w:tc>
          <w:tcPr>
            <w:tcW w:w="4040" w:type="dxa"/>
            <w:tcBorders>
              <w:top w:val="nil"/>
              <w:left w:val="nil"/>
              <w:bottom w:val="single" w:sz="4" w:space="0" w:color="auto"/>
              <w:right w:val="nil"/>
            </w:tcBorders>
            <w:shd w:val="clear" w:color="auto" w:fill="auto"/>
            <w:vAlign w:val="bottom"/>
            <w:hideMark/>
          </w:tcPr>
          <w:p w14:paraId="670D3CBF"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Cash and cash equivalents,</w:t>
            </w:r>
            <w:r w:rsidRPr="007470C1">
              <w:rPr>
                <w:rFonts w:ascii="Segoe UI" w:eastAsia="Times New Roman" w:hAnsi="Segoe UI" w:cs="Segoe UI"/>
                <w:color w:val="666666"/>
                <w:sz w:val="20"/>
                <w:szCs w:val="20"/>
              </w:rPr>
              <w:br/>
              <w:t xml:space="preserve">   beginning of period</w:t>
            </w:r>
          </w:p>
        </w:tc>
        <w:tc>
          <w:tcPr>
            <w:tcW w:w="1134" w:type="dxa"/>
            <w:tcBorders>
              <w:top w:val="nil"/>
              <w:left w:val="nil"/>
              <w:bottom w:val="single" w:sz="4" w:space="0" w:color="auto"/>
              <w:right w:val="nil"/>
            </w:tcBorders>
            <w:shd w:val="clear" w:color="auto" w:fill="auto"/>
            <w:noWrap/>
            <w:vAlign w:val="bottom"/>
            <w:hideMark/>
          </w:tcPr>
          <w:p w14:paraId="01E06C6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11,572 </w:t>
            </w:r>
          </w:p>
        </w:tc>
        <w:tc>
          <w:tcPr>
            <w:tcW w:w="113" w:type="dxa"/>
            <w:tcBorders>
              <w:top w:val="nil"/>
              <w:left w:val="nil"/>
              <w:bottom w:val="nil"/>
              <w:right w:val="nil"/>
            </w:tcBorders>
            <w:shd w:val="clear" w:color="auto" w:fill="auto"/>
            <w:noWrap/>
            <w:vAlign w:val="bottom"/>
            <w:hideMark/>
          </w:tcPr>
          <w:p w14:paraId="19ABF01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single" w:sz="4" w:space="0" w:color="auto"/>
              <w:right w:val="nil"/>
            </w:tcBorders>
            <w:shd w:val="clear" w:color="auto" w:fill="auto"/>
            <w:noWrap/>
            <w:vAlign w:val="bottom"/>
            <w:hideMark/>
          </w:tcPr>
          <w:p w14:paraId="74270E3B"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5,240 </w:t>
            </w:r>
          </w:p>
        </w:tc>
        <w:tc>
          <w:tcPr>
            <w:tcW w:w="121" w:type="dxa"/>
            <w:tcBorders>
              <w:top w:val="nil"/>
              <w:left w:val="nil"/>
              <w:bottom w:val="nil"/>
              <w:right w:val="nil"/>
            </w:tcBorders>
            <w:shd w:val="clear" w:color="auto" w:fill="auto"/>
            <w:noWrap/>
            <w:vAlign w:val="bottom"/>
            <w:hideMark/>
          </w:tcPr>
          <w:p w14:paraId="1959D6C9"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single" w:sz="4" w:space="0" w:color="auto"/>
              <w:right w:val="nil"/>
            </w:tcBorders>
            <w:shd w:val="clear" w:color="auto" w:fill="auto"/>
            <w:noWrap/>
            <w:vAlign w:val="bottom"/>
            <w:hideMark/>
          </w:tcPr>
          <w:p w14:paraId="26919F7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3,804 </w:t>
            </w:r>
          </w:p>
        </w:tc>
        <w:tc>
          <w:tcPr>
            <w:tcW w:w="113" w:type="dxa"/>
            <w:tcBorders>
              <w:top w:val="nil"/>
              <w:left w:val="nil"/>
              <w:bottom w:val="nil"/>
              <w:right w:val="nil"/>
            </w:tcBorders>
            <w:shd w:val="clear" w:color="auto" w:fill="auto"/>
            <w:noWrap/>
            <w:vAlign w:val="bottom"/>
            <w:hideMark/>
          </w:tcPr>
          <w:p w14:paraId="3BA00FF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single" w:sz="4" w:space="0" w:color="auto"/>
              <w:right w:val="nil"/>
            </w:tcBorders>
            <w:shd w:val="clear" w:color="auto" w:fill="auto"/>
            <w:noWrap/>
            <w:vAlign w:val="bottom"/>
            <w:hideMark/>
          </w:tcPr>
          <w:p w14:paraId="06907DBA"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6,938 </w:t>
            </w:r>
          </w:p>
        </w:tc>
      </w:tr>
      <w:tr w:rsidR="007470C1" w:rsidRPr="007470C1" w14:paraId="27D7C02D" w14:textId="77777777" w:rsidTr="007470C1">
        <w:trPr>
          <w:trHeight w:val="585"/>
        </w:trPr>
        <w:tc>
          <w:tcPr>
            <w:tcW w:w="4040" w:type="dxa"/>
            <w:tcBorders>
              <w:top w:val="nil"/>
              <w:left w:val="nil"/>
              <w:bottom w:val="nil"/>
              <w:right w:val="nil"/>
            </w:tcBorders>
            <w:shd w:val="clear" w:color="auto" w:fill="auto"/>
            <w:vAlign w:val="bottom"/>
            <w:hideMark/>
          </w:tcPr>
          <w:p w14:paraId="1356A12F"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Cash and cash equivalents, end of</w:t>
            </w:r>
            <w:r w:rsidRPr="007470C1">
              <w:rPr>
                <w:rFonts w:ascii="Segoe UI" w:eastAsia="Times New Roman" w:hAnsi="Segoe UI" w:cs="Segoe UI"/>
                <w:color w:val="666666"/>
                <w:sz w:val="20"/>
                <w:szCs w:val="20"/>
              </w:rPr>
              <w:br/>
              <w:t xml:space="preserve">   period</w:t>
            </w:r>
          </w:p>
        </w:tc>
        <w:tc>
          <w:tcPr>
            <w:tcW w:w="1134" w:type="dxa"/>
            <w:tcBorders>
              <w:top w:val="nil"/>
              <w:left w:val="nil"/>
              <w:bottom w:val="single" w:sz="8" w:space="0" w:color="auto"/>
              <w:right w:val="nil"/>
            </w:tcBorders>
            <w:shd w:val="clear" w:color="auto" w:fill="auto"/>
            <w:noWrap/>
            <w:vAlign w:val="bottom"/>
            <w:hideMark/>
          </w:tcPr>
          <w:p w14:paraId="7D7243F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8,669 </w:t>
            </w:r>
          </w:p>
        </w:tc>
        <w:tc>
          <w:tcPr>
            <w:tcW w:w="113" w:type="dxa"/>
            <w:tcBorders>
              <w:top w:val="nil"/>
              <w:left w:val="nil"/>
              <w:bottom w:val="nil"/>
              <w:right w:val="nil"/>
            </w:tcBorders>
            <w:shd w:val="clear" w:color="auto" w:fill="auto"/>
            <w:noWrap/>
            <w:vAlign w:val="bottom"/>
            <w:hideMark/>
          </w:tcPr>
          <w:p w14:paraId="23A5536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single" w:sz="8" w:space="0" w:color="auto"/>
              <w:right w:val="nil"/>
            </w:tcBorders>
            <w:shd w:val="clear" w:color="auto" w:fill="auto"/>
            <w:noWrap/>
            <w:vAlign w:val="bottom"/>
            <w:hideMark/>
          </w:tcPr>
          <w:p w14:paraId="187DBB7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  3,804 </w:t>
            </w:r>
          </w:p>
        </w:tc>
        <w:tc>
          <w:tcPr>
            <w:tcW w:w="121" w:type="dxa"/>
            <w:tcBorders>
              <w:top w:val="nil"/>
              <w:left w:val="nil"/>
              <w:bottom w:val="nil"/>
              <w:right w:val="nil"/>
            </w:tcBorders>
            <w:shd w:val="clear" w:color="auto" w:fill="auto"/>
            <w:noWrap/>
            <w:vAlign w:val="bottom"/>
            <w:hideMark/>
          </w:tcPr>
          <w:p w14:paraId="2A8E63CF"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p>
        </w:tc>
        <w:tc>
          <w:tcPr>
            <w:tcW w:w="1202" w:type="dxa"/>
            <w:tcBorders>
              <w:top w:val="nil"/>
              <w:left w:val="nil"/>
              <w:bottom w:val="single" w:sz="8" w:space="0" w:color="auto"/>
              <w:right w:val="nil"/>
            </w:tcBorders>
            <w:shd w:val="clear" w:color="auto" w:fill="auto"/>
            <w:noWrap/>
            <w:vAlign w:val="bottom"/>
            <w:hideMark/>
          </w:tcPr>
          <w:p w14:paraId="3397B4E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8,669 </w:t>
            </w:r>
          </w:p>
        </w:tc>
        <w:tc>
          <w:tcPr>
            <w:tcW w:w="113" w:type="dxa"/>
            <w:tcBorders>
              <w:top w:val="nil"/>
              <w:left w:val="nil"/>
              <w:bottom w:val="nil"/>
              <w:right w:val="nil"/>
            </w:tcBorders>
            <w:shd w:val="clear" w:color="auto" w:fill="auto"/>
            <w:noWrap/>
            <w:vAlign w:val="bottom"/>
            <w:hideMark/>
          </w:tcPr>
          <w:p w14:paraId="5E04887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p>
        </w:tc>
        <w:tc>
          <w:tcPr>
            <w:tcW w:w="893" w:type="dxa"/>
            <w:tcBorders>
              <w:top w:val="nil"/>
              <w:left w:val="nil"/>
              <w:bottom w:val="single" w:sz="8" w:space="0" w:color="auto"/>
              <w:right w:val="nil"/>
            </w:tcBorders>
            <w:shd w:val="clear" w:color="auto" w:fill="auto"/>
            <w:noWrap/>
            <w:vAlign w:val="bottom"/>
            <w:hideMark/>
          </w:tcPr>
          <w:p w14:paraId="6EF4290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  3,804 </w:t>
            </w:r>
          </w:p>
        </w:tc>
      </w:tr>
    </w:tbl>
    <w:p w14:paraId="05315391" w14:textId="77777777" w:rsidR="0047750B" w:rsidRDefault="0047750B">
      <w:r>
        <w:br w:type="page"/>
      </w:r>
    </w:p>
    <w:tbl>
      <w:tblPr>
        <w:tblW w:w="9227" w:type="dxa"/>
        <w:tblCellMar>
          <w:left w:w="0" w:type="dxa"/>
          <w:right w:w="0" w:type="dxa"/>
        </w:tblCellMar>
        <w:tblLook w:val="04A0" w:firstRow="1" w:lastRow="0" w:firstColumn="1" w:lastColumn="0" w:noHBand="0" w:noVBand="1"/>
      </w:tblPr>
      <w:tblGrid>
        <w:gridCol w:w="3914"/>
        <w:gridCol w:w="1284"/>
        <w:gridCol w:w="288"/>
        <w:gridCol w:w="1005"/>
        <w:gridCol w:w="288"/>
        <w:gridCol w:w="1284"/>
        <w:gridCol w:w="288"/>
        <w:gridCol w:w="1004"/>
      </w:tblGrid>
      <w:tr w:rsidR="007470C1" w:rsidRPr="007470C1" w14:paraId="65994807" w14:textId="77777777" w:rsidTr="00F01633">
        <w:trPr>
          <w:trHeight w:val="285"/>
        </w:trPr>
        <w:tc>
          <w:tcPr>
            <w:tcW w:w="9227" w:type="dxa"/>
            <w:gridSpan w:val="8"/>
            <w:tcBorders>
              <w:top w:val="nil"/>
              <w:left w:val="nil"/>
              <w:bottom w:val="nil"/>
              <w:right w:val="nil"/>
            </w:tcBorders>
            <w:shd w:val="clear" w:color="000000" w:fill="FFFFFF"/>
            <w:noWrap/>
            <w:vAlign w:val="bottom"/>
            <w:hideMark/>
          </w:tcPr>
          <w:p w14:paraId="0C103A4D" w14:textId="373449F0" w:rsidR="007470C1" w:rsidRPr="007470C1" w:rsidRDefault="007470C1" w:rsidP="009C5B8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lastRenderedPageBreak/>
              <w:t xml:space="preserve">SEGMENT REVENUE AND </w:t>
            </w:r>
            <w:r w:rsidR="009C5B81">
              <w:rPr>
                <w:rFonts w:ascii="Segoe UI" w:eastAsia="Times New Roman" w:hAnsi="Segoe UI" w:cs="Segoe UI"/>
                <w:color w:val="666666"/>
                <w:sz w:val="20"/>
                <w:szCs w:val="20"/>
              </w:rPr>
              <w:t>GROSS MARGIN</w:t>
            </w:r>
          </w:p>
        </w:tc>
      </w:tr>
      <w:tr w:rsidR="007470C1" w:rsidRPr="007470C1" w14:paraId="2B6DE1FE" w14:textId="77777777" w:rsidTr="00F01633">
        <w:trPr>
          <w:trHeight w:val="285"/>
        </w:trPr>
        <w:tc>
          <w:tcPr>
            <w:tcW w:w="9227" w:type="dxa"/>
            <w:gridSpan w:val="8"/>
            <w:tcBorders>
              <w:top w:val="nil"/>
              <w:left w:val="nil"/>
              <w:bottom w:val="nil"/>
              <w:right w:val="nil"/>
            </w:tcBorders>
            <w:shd w:val="clear" w:color="000000" w:fill="FFFFFF"/>
            <w:noWrap/>
            <w:vAlign w:val="bottom"/>
            <w:hideMark/>
          </w:tcPr>
          <w:p w14:paraId="446D2D41"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(In millions)(Unaudited)</w:t>
            </w:r>
          </w:p>
        </w:tc>
      </w:tr>
      <w:tr w:rsidR="007470C1" w:rsidRPr="007470C1" w14:paraId="2424C5C4" w14:textId="77777777" w:rsidTr="00F01633">
        <w:trPr>
          <w:trHeight w:val="285"/>
        </w:trPr>
        <w:tc>
          <w:tcPr>
            <w:tcW w:w="3898" w:type="dxa"/>
            <w:tcBorders>
              <w:top w:val="nil"/>
              <w:left w:val="nil"/>
              <w:bottom w:val="nil"/>
              <w:right w:val="nil"/>
            </w:tcBorders>
            <w:shd w:val="clear" w:color="000000" w:fill="FFFFFF"/>
            <w:noWrap/>
            <w:vAlign w:val="bottom"/>
            <w:hideMark/>
          </w:tcPr>
          <w:p w14:paraId="31839CC6"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2122270E"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364116BC"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989" w:type="dxa"/>
            <w:tcBorders>
              <w:top w:val="nil"/>
              <w:left w:val="nil"/>
              <w:bottom w:val="nil"/>
              <w:right w:val="nil"/>
            </w:tcBorders>
            <w:shd w:val="clear" w:color="000000" w:fill="FFFFFF"/>
            <w:noWrap/>
            <w:vAlign w:val="bottom"/>
            <w:hideMark/>
          </w:tcPr>
          <w:p w14:paraId="7A11EB2E"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1C784F74"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4E8CE5D6"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0E5A34A3"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988" w:type="dxa"/>
            <w:tcBorders>
              <w:top w:val="nil"/>
              <w:left w:val="nil"/>
              <w:bottom w:val="nil"/>
              <w:right w:val="nil"/>
            </w:tcBorders>
            <w:shd w:val="clear" w:color="000000" w:fill="FFFFFF"/>
            <w:noWrap/>
            <w:vAlign w:val="bottom"/>
            <w:hideMark/>
          </w:tcPr>
          <w:p w14:paraId="35A2084A" w14:textId="77777777" w:rsidR="007470C1" w:rsidRPr="007470C1" w:rsidRDefault="007470C1" w:rsidP="007470C1">
            <w:pPr>
              <w:spacing w:after="0" w:line="240" w:lineRule="auto"/>
              <w:jc w:val="center"/>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r>
      <w:tr w:rsidR="007470C1" w:rsidRPr="007470C1" w14:paraId="1C4E54F2" w14:textId="77777777" w:rsidTr="00F01633">
        <w:trPr>
          <w:trHeight w:val="285"/>
        </w:trPr>
        <w:tc>
          <w:tcPr>
            <w:tcW w:w="3898" w:type="dxa"/>
            <w:tcBorders>
              <w:top w:val="nil"/>
              <w:left w:val="nil"/>
              <w:bottom w:val="nil"/>
              <w:right w:val="nil"/>
            </w:tcBorders>
            <w:shd w:val="clear" w:color="000000" w:fill="FFFFFF"/>
            <w:noWrap/>
            <w:vAlign w:val="bottom"/>
            <w:hideMark/>
          </w:tcPr>
          <w:p w14:paraId="31C3C39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2529" w:type="dxa"/>
            <w:gridSpan w:val="3"/>
            <w:vMerge w:val="restart"/>
            <w:tcBorders>
              <w:top w:val="nil"/>
              <w:left w:val="nil"/>
              <w:bottom w:val="nil"/>
              <w:right w:val="nil"/>
            </w:tcBorders>
            <w:shd w:val="clear" w:color="000000" w:fill="FFFFFF"/>
            <w:vAlign w:val="bottom"/>
            <w:hideMark/>
          </w:tcPr>
          <w:p w14:paraId="3E33A4C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Three Months Ended June 30,</w:t>
            </w:r>
          </w:p>
        </w:tc>
        <w:tc>
          <w:tcPr>
            <w:tcW w:w="272" w:type="dxa"/>
            <w:tcBorders>
              <w:top w:val="nil"/>
              <w:left w:val="nil"/>
              <w:bottom w:val="nil"/>
              <w:right w:val="nil"/>
            </w:tcBorders>
            <w:shd w:val="clear" w:color="000000" w:fill="FFFFFF"/>
            <w:noWrap/>
            <w:vAlign w:val="bottom"/>
            <w:hideMark/>
          </w:tcPr>
          <w:p w14:paraId="5E45BBE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2528" w:type="dxa"/>
            <w:gridSpan w:val="3"/>
            <w:vMerge w:val="restart"/>
            <w:tcBorders>
              <w:top w:val="nil"/>
              <w:left w:val="nil"/>
              <w:bottom w:val="nil"/>
              <w:right w:val="nil"/>
            </w:tcBorders>
            <w:shd w:val="clear" w:color="000000" w:fill="FFFFFF"/>
            <w:vAlign w:val="bottom"/>
            <w:hideMark/>
          </w:tcPr>
          <w:p w14:paraId="3446D46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Twelve Months Ended June 30,</w:t>
            </w:r>
          </w:p>
        </w:tc>
      </w:tr>
      <w:tr w:rsidR="007470C1" w:rsidRPr="007470C1" w14:paraId="589692FA" w14:textId="77777777" w:rsidTr="00F01633">
        <w:trPr>
          <w:trHeight w:val="285"/>
        </w:trPr>
        <w:tc>
          <w:tcPr>
            <w:tcW w:w="3898" w:type="dxa"/>
            <w:tcBorders>
              <w:top w:val="nil"/>
              <w:left w:val="nil"/>
              <w:bottom w:val="nil"/>
              <w:right w:val="nil"/>
            </w:tcBorders>
            <w:shd w:val="clear" w:color="000000" w:fill="FFFFFF"/>
            <w:noWrap/>
            <w:vAlign w:val="bottom"/>
            <w:hideMark/>
          </w:tcPr>
          <w:p w14:paraId="041D9B3D"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2529" w:type="dxa"/>
            <w:gridSpan w:val="3"/>
            <w:vMerge/>
            <w:tcBorders>
              <w:top w:val="nil"/>
              <w:left w:val="nil"/>
              <w:bottom w:val="nil"/>
              <w:right w:val="nil"/>
            </w:tcBorders>
            <w:vAlign w:val="center"/>
            <w:hideMark/>
          </w:tcPr>
          <w:p w14:paraId="7ED92608" w14:textId="77777777" w:rsidR="007470C1" w:rsidRPr="007470C1" w:rsidRDefault="007470C1" w:rsidP="007470C1">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000000" w:fill="FFFFFF"/>
            <w:noWrap/>
            <w:vAlign w:val="bottom"/>
            <w:hideMark/>
          </w:tcPr>
          <w:p w14:paraId="6B950DE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2528" w:type="dxa"/>
            <w:gridSpan w:val="3"/>
            <w:vMerge/>
            <w:tcBorders>
              <w:top w:val="nil"/>
              <w:left w:val="nil"/>
              <w:bottom w:val="nil"/>
              <w:right w:val="nil"/>
            </w:tcBorders>
            <w:vAlign w:val="center"/>
            <w:hideMark/>
          </w:tcPr>
          <w:p w14:paraId="5043EAE1" w14:textId="77777777" w:rsidR="007470C1" w:rsidRPr="007470C1" w:rsidRDefault="007470C1" w:rsidP="007470C1">
            <w:pPr>
              <w:spacing w:after="0" w:line="240" w:lineRule="auto"/>
              <w:rPr>
                <w:rFonts w:ascii="Segoe UI" w:eastAsia="Times New Roman" w:hAnsi="Segoe UI" w:cs="Segoe UI"/>
                <w:b/>
                <w:bCs/>
                <w:color w:val="666666"/>
                <w:sz w:val="20"/>
                <w:szCs w:val="20"/>
              </w:rPr>
            </w:pPr>
          </w:p>
        </w:tc>
      </w:tr>
      <w:tr w:rsidR="007470C1" w:rsidRPr="007470C1" w14:paraId="39604049" w14:textId="77777777" w:rsidTr="00F01633">
        <w:trPr>
          <w:trHeight w:val="285"/>
        </w:trPr>
        <w:tc>
          <w:tcPr>
            <w:tcW w:w="3898" w:type="dxa"/>
            <w:tcBorders>
              <w:top w:val="nil"/>
              <w:left w:val="nil"/>
              <w:bottom w:val="single" w:sz="4" w:space="0" w:color="auto"/>
              <w:right w:val="nil"/>
            </w:tcBorders>
            <w:shd w:val="clear" w:color="000000" w:fill="FFFFFF"/>
            <w:noWrap/>
            <w:vAlign w:val="bottom"/>
            <w:hideMark/>
          </w:tcPr>
          <w:p w14:paraId="23916779"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1268" w:type="dxa"/>
            <w:tcBorders>
              <w:top w:val="nil"/>
              <w:left w:val="nil"/>
              <w:bottom w:val="single" w:sz="4" w:space="0" w:color="auto"/>
              <w:right w:val="nil"/>
            </w:tcBorders>
            <w:shd w:val="clear" w:color="000000" w:fill="FFFFFF"/>
            <w:noWrap/>
            <w:vAlign w:val="bottom"/>
            <w:hideMark/>
          </w:tcPr>
          <w:p w14:paraId="1C3B60F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2014</w:t>
            </w:r>
          </w:p>
        </w:tc>
        <w:tc>
          <w:tcPr>
            <w:tcW w:w="272" w:type="dxa"/>
            <w:tcBorders>
              <w:top w:val="nil"/>
              <w:left w:val="nil"/>
              <w:bottom w:val="single" w:sz="4" w:space="0" w:color="auto"/>
              <w:right w:val="nil"/>
            </w:tcBorders>
            <w:shd w:val="clear" w:color="000000" w:fill="FFFFFF"/>
            <w:noWrap/>
            <w:vAlign w:val="bottom"/>
            <w:hideMark/>
          </w:tcPr>
          <w:p w14:paraId="2D033BD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single" w:sz="4" w:space="0" w:color="auto"/>
              <w:right w:val="nil"/>
            </w:tcBorders>
            <w:shd w:val="clear" w:color="000000" w:fill="FFFFFF"/>
            <w:noWrap/>
            <w:vAlign w:val="bottom"/>
            <w:hideMark/>
          </w:tcPr>
          <w:p w14:paraId="701C9B9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2013</w:t>
            </w:r>
          </w:p>
        </w:tc>
        <w:tc>
          <w:tcPr>
            <w:tcW w:w="272" w:type="dxa"/>
            <w:tcBorders>
              <w:top w:val="nil"/>
              <w:left w:val="nil"/>
              <w:bottom w:val="single" w:sz="4" w:space="0" w:color="auto"/>
              <w:right w:val="nil"/>
            </w:tcBorders>
            <w:shd w:val="clear" w:color="000000" w:fill="FFFFFF"/>
            <w:noWrap/>
            <w:vAlign w:val="bottom"/>
            <w:hideMark/>
          </w:tcPr>
          <w:p w14:paraId="14892DC6" w14:textId="77777777" w:rsidR="007470C1" w:rsidRPr="007470C1" w:rsidRDefault="007470C1" w:rsidP="007470C1">
            <w:pPr>
              <w:spacing w:after="0" w:line="240" w:lineRule="auto"/>
              <w:jc w:val="center"/>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1268" w:type="dxa"/>
            <w:tcBorders>
              <w:top w:val="nil"/>
              <w:left w:val="nil"/>
              <w:bottom w:val="single" w:sz="4" w:space="0" w:color="auto"/>
              <w:right w:val="nil"/>
            </w:tcBorders>
            <w:shd w:val="clear" w:color="000000" w:fill="FFFFFF"/>
            <w:noWrap/>
            <w:vAlign w:val="bottom"/>
            <w:hideMark/>
          </w:tcPr>
          <w:p w14:paraId="6DADB09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2014</w:t>
            </w:r>
          </w:p>
        </w:tc>
        <w:tc>
          <w:tcPr>
            <w:tcW w:w="272" w:type="dxa"/>
            <w:tcBorders>
              <w:top w:val="nil"/>
              <w:left w:val="nil"/>
              <w:bottom w:val="single" w:sz="4" w:space="0" w:color="auto"/>
              <w:right w:val="nil"/>
            </w:tcBorders>
            <w:shd w:val="clear" w:color="000000" w:fill="FFFFFF"/>
            <w:noWrap/>
            <w:vAlign w:val="bottom"/>
            <w:hideMark/>
          </w:tcPr>
          <w:p w14:paraId="3B5D4CE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single" w:sz="4" w:space="0" w:color="auto"/>
              <w:right w:val="nil"/>
            </w:tcBorders>
            <w:shd w:val="clear" w:color="000000" w:fill="FFFFFF"/>
            <w:noWrap/>
            <w:vAlign w:val="bottom"/>
            <w:hideMark/>
          </w:tcPr>
          <w:p w14:paraId="055C1A0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2013</w:t>
            </w:r>
          </w:p>
        </w:tc>
      </w:tr>
      <w:tr w:rsidR="007470C1" w:rsidRPr="007470C1" w14:paraId="3C31BFEC" w14:textId="77777777" w:rsidTr="00F01633">
        <w:trPr>
          <w:trHeight w:val="285"/>
        </w:trPr>
        <w:tc>
          <w:tcPr>
            <w:tcW w:w="3898" w:type="dxa"/>
            <w:tcBorders>
              <w:top w:val="nil"/>
              <w:left w:val="nil"/>
              <w:bottom w:val="nil"/>
              <w:right w:val="nil"/>
            </w:tcBorders>
            <w:shd w:val="clear" w:color="000000" w:fill="FFFFFF"/>
            <w:noWrap/>
            <w:vAlign w:val="bottom"/>
            <w:hideMark/>
          </w:tcPr>
          <w:p w14:paraId="3C8F0903"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Revenue</w:t>
            </w:r>
          </w:p>
        </w:tc>
        <w:tc>
          <w:tcPr>
            <w:tcW w:w="1268" w:type="dxa"/>
            <w:tcBorders>
              <w:top w:val="nil"/>
              <w:left w:val="nil"/>
              <w:bottom w:val="nil"/>
              <w:right w:val="nil"/>
            </w:tcBorders>
            <w:shd w:val="clear" w:color="000000" w:fill="FFFFFF"/>
            <w:noWrap/>
            <w:vAlign w:val="bottom"/>
            <w:hideMark/>
          </w:tcPr>
          <w:p w14:paraId="56597F6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427A2914"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nil"/>
              <w:right w:val="nil"/>
            </w:tcBorders>
            <w:shd w:val="clear" w:color="000000" w:fill="FFFFFF"/>
            <w:noWrap/>
            <w:vAlign w:val="bottom"/>
            <w:hideMark/>
          </w:tcPr>
          <w:p w14:paraId="6386ABBF"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4077A32A"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48BB67D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588C4873"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nil"/>
              <w:right w:val="nil"/>
            </w:tcBorders>
            <w:shd w:val="clear" w:color="000000" w:fill="FFFFFF"/>
            <w:noWrap/>
            <w:vAlign w:val="bottom"/>
            <w:hideMark/>
          </w:tcPr>
          <w:p w14:paraId="18C4425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r>
      <w:tr w:rsidR="007470C1" w:rsidRPr="007470C1" w14:paraId="79107206" w14:textId="77777777" w:rsidTr="00F01633">
        <w:trPr>
          <w:trHeight w:val="315"/>
        </w:trPr>
        <w:tc>
          <w:tcPr>
            <w:tcW w:w="3898" w:type="dxa"/>
            <w:tcBorders>
              <w:top w:val="nil"/>
              <w:left w:val="nil"/>
              <w:bottom w:val="nil"/>
              <w:right w:val="nil"/>
            </w:tcBorders>
            <w:shd w:val="clear" w:color="000000" w:fill="FFFFFF"/>
            <w:noWrap/>
            <w:vAlign w:val="bottom"/>
            <w:hideMark/>
          </w:tcPr>
          <w:p w14:paraId="5B9CA30A"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Devices and Consumer Licensing</w:t>
            </w:r>
          </w:p>
        </w:tc>
        <w:tc>
          <w:tcPr>
            <w:tcW w:w="1268" w:type="dxa"/>
            <w:tcBorders>
              <w:top w:val="nil"/>
              <w:left w:val="nil"/>
              <w:bottom w:val="nil"/>
              <w:right w:val="nil"/>
            </w:tcBorders>
            <w:shd w:val="clear" w:color="000000" w:fill="FFFFFF"/>
            <w:noWrap/>
            <w:vAlign w:val="bottom"/>
            <w:hideMark/>
          </w:tcPr>
          <w:p w14:paraId="23279C7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4,694 </w:t>
            </w:r>
          </w:p>
        </w:tc>
        <w:tc>
          <w:tcPr>
            <w:tcW w:w="272" w:type="dxa"/>
            <w:tcBorders>
              <w:top w:val="nil"/>
              <w:left w:val="nil"/>
              <w:bottom w:val="nil"/>
              <w:right w:val="nil"/>
            </w:tcBorders>
            <w:shd w:val="clear" w:color="000000" w:fill="FFFFFF"/>
            <w:noWrap/>
            <w:vAlign w:val="bottom"/>
            <w:hideMark/>
          </w:tcPr>
          <w:p w14:paraId="41AA2EF0"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vertAlign w:val="superscript"/>
              </w:rPr>
              <w:t> </w:t>
            </w:r>
          </w:p>
        </w:tc>
        <w:tc>
          <w:tcPr>
            <w:tcW w:w="989" w:type="dxa"/>
            <w:tcBorders>
              <w:top w:val="nil"/>
              <w:left w:val="nil"/>
              <w:bottom w:val="nil"/>
              <w:right w:val="nil"/>
            </w:tcBorders>
            <w:shd w:val="clear" w:color="000000" w:fill="FFFFFF"/>
            <w:noWrap/>
            <w:vAlign w:val="bottom"/>
            <w:hideMark/>
          </w:tcPr>
          <w:p w14:paraId="38D77F62"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  4,288 </w:t>
            </w:r>
          </w:p>
        </w:tc>
        <w:tc>
          <w:tcPr>
            <w:tcW w:w="272" w:type="dxa"/>
            <w:tcBorders>
              <w:top w:val="nil"/>
              <w:left w:val="nil"/>
              <w:bottom w:val="nil"/>
              <w:right w:val="nil"/>
            </w:tcBorders>
            <w:shd w:val="clear" w:color="000000" w:fill="FFFFFF"/>
            <w:noWrap/>
            <w:vAlign w:val="bottom"/>
            <w:hideMark/>
          </w:tcPr>
          <w:p w14:paraId="3E3EB668"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06E88B8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18,803 </w:t>
            </w:r>
          </w:p>
        </w:tc>
        <w:tc>
          <w:tcPr>
            <w:tcW w:w="272" w:type="dxa"/>
            <w:tcBorders>
              <w:top w:val="nil"/>
              <w:left w:val="nil"/>
              <w:bottom w:val="nil"/>
              <w:right w:val="nil"/>
            </w:tcBorders>
            <w:shd w:val="clear" w:color="000000" w:fill="FFFFFF"/>
            <w:noWrap/>
            <w:vAlign w:val="bottom"/>
            <w:hideMark/>
          </w:tcPr>
          <w:p w14:paraId="223D620F"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vertAlign w:val="superscript"/>
              </w:rPr>
              <w:t> </w:t>
            </w:r>
          </w:p>
        </w:tc>
        <w:tc>
          <w:tcPr>
            <w:tcW w:w="988" w:type="dxa"/>
            <w:tcBorders>
              <w:top w:val="nil"/>
              <w:left w:val="nil"/>
              <w:bottom w:val="nil"/>
              <w:right w:val="nil"/>
            </w:tcBorders>
            <w:shd w:val="clear" w:color="000000" w:fill="FFFFFF"/>
            <w:noWrap/>
            <w:vAlign w:val="bottom"/>
            <w:hideMark/>
          </w:tcPr>
          <w:p w14:paraId="27E78CC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$19,021 </w:t>
            </w:r>
          </w:p>
        </w:tc>
      </w:tr>
      <w:tr w:rsidR="007470C1" w:rsidRPr="007470C1" w14:paraId="19C7C9B3" w14:textId="77777777" w:rsidTr="00F01633">
        <w:trPr>
          <w:trHeight w:val="285"/>
        </w:trPr>
        <w:tc>
          <w:tcPr>
            <w:tcW w:w="3898" w:type="dxa"/>
            <w:tcBorders>
              <w:top w:val="nil"/>
              <w:left w:val="nil"/>
              <w:bottom w:val="nil"/>
              <w:right w:val="nil"/>
            </w:tcBorders>
            <w:shd w:val="clear" w:color="000000" w:fill="FFFFFF"/>
            <w:noWrap/>
            <w:vAlign w:val="bottom"/>
            <w:hideMark/>
          </w:tcPr>
          <w:p w14:paraId="06F3582E"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Computing and Gaming Hardware</w:t>
            </w:r>
          </w:p>
        </w:tc>
        <w:tc>
          <w:tcPr>
            <w:tcW w:w="1268" w:type="dxa"/>
            <w:tcBorders>
              <w:top w:val="nil"/>
              <w:left w:val="nil"/>
              <w:bottom w:val="nil"/>
              <w:right w:val="nil"/>
            </w:tcBorders>
            <w:shd w:val="clear" w:color="000000" w:fill="FFFFFF"/>
            <w:noWrap/>
            <w:vAlign w:val="bottom"/>
            <w:hideMark/>
          </w:tcPr>
          <w:p w14:paraId="408A83E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1,441 </w:t>
            </w:r>
          </w:p>
        </w:tc>
        <w:tc>
          <w:tcPr>
            <w:tcW w:w="272" w:type="dxa"/>
            <w:tcBorders>
              <w:top w:val="nil"/>
              <w:left w:val="nil"/>
              <w:bottom w:val="nil"/>
              <w:right w:val="nil"/>
            </w:tcBorders>
            <w:shd w:val="clear" w:color="000000" w:fill="FFFFFF"/>
            <w:noWrap/>
            <w:vAlign w:val="bottom"/>
            <w:hideMark/>
          </w:tcPr>
          <w:p w14:paraId="1CF2E85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nil"/>
              <w:right w:val="nil"/>
            </w:tcBorders>
            <w:shd w:val="clear" w:color="000000" w:fill="FFFFFF"/>
            <w:noWrap/>
            <w:vAlign w:val="bottom"/>
            <w:hideMark/>
          </w:tcPr>
          <w:p w14:paraId="2DC75C7E"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1,167 </w:t>
            </w:r>
          </w:p>
        </w:tc>
        <w:tc>
          <w:tcPr>
            <w:tcW w:w="272" w:type="dxa"/>
            <w:tcBorders>
              <w:top w:val="nil"/>
              <w:left w:val="nil"/>
              <w:bottom w:val="nil"/>
              <w:right w:val="nil"/>
            </w:tcBorders>
            <w:shd w:val="clear" w:color="000000" w:fill="FFFFFF"/>
            <w:noWrap/>
            <w:vAlign w:val="bottom"/>
            <w:hideMark/>
          </w:tcPr>
          <w:p w14:paraId="54342B48"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706D5D5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9,628 </w:t>
            </w:r>
          </w:p>
        </w:tc>
        <w:tc>
          <w:tcPr>
            <w:tcW w:w="272" w:type="dxa"/>
            <w:tcBorders>
              <w:top w:val="nil"/>
              <w:left w:val="nil"/>
              <w:bottom w:val="nil"/>
              <w:right w:val="nil"/>
            </w:tcBorders>
            <w:shd w:val="clear" w:color="000000" w:fill="FFFFFF"/>
            <w:noWrap/>
            <w:vAlign w:val="bottom"/>
            <w:hideMark/>
          </w:tcPr>
          <w:p w14:paraId="2EA3D4C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nil"/>
              <w:right w:val="nil"/>
            </w:tcBorders>
            <w:shd w:val="clear" w:color="000000" w:fill="FFFFFF"/>
            <w:noWrap/>
            <w:vAlign w:val="bottom"/>
            <w:hideMark/>
          </w:tcPr>
          <w:p w14:paraId="5E2703C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6,461 </w:t>
            </w:r>
          </w:p>
        </w:tc>
      </w:tr>
      <w:tr w:rsidR="007470C1" w:rsidRPr="007470C1" w14:paraId="79B9D1A2" w14:textId="77777777" w:rsidTr="00F01633">
        <w:trPr>
          <w:trHeight w:val="285"/>
        </w:trPr>
        <w:tc>
          <w:tcPr>
            <w:tcW w:w="3898" w:type="dxa"/>
            <w:tcBorders>
              <w:top w:val="nil"/>
              <w:left w:val="nil"/>
              <w:bottom w:val="nil"/>
              <w:right w:val="nil"/>
            </w:tcBorders>
            <w:shd w:val="clear" w:color="000000" w:fill="FFFFFF"/>
            <w:noWrap/>
            <w:vAlign w:val="bottom"/>
            <w:hideMark/>
          </w:tcPr>
          <w:p w14:paraId="20918F8D"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Phone Hardware</w:t>
            </w:r>
          </w:p>
        </w:tc>
        <w:tc>
          <w:tcPr>
            <w:tcW w:w="1268" w:type="dxa"/>
            <w:tcBorders>
              <w:top w:val="nil"/>
              <w:left w:val="nil"/>
              <w:bottom w:val="nil"/>
              <w:right w:val="nil"/>
            </w:tcBorders>
            <w:shd w:val="clear" w:color="000000" w:fill="FFFFFF"/>
            <w:noWrap/>
            <w:vAlign w:val="bottom"/>
            <w:hideMark/>
          </w:tcPr>
          <w:p w14:paraId="0B3CDE8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1,985 </w:t>
            </w:r>
          </w:p>
        </w:tc>
        <w:tc>
          <w:tcPr>
            <w:tcW w:w="272" w:type="dxa"/>
            <w:tcBorders>
              <w:top w:val="nil"/>
              <w:left w:val="nil"/>
              <w:bottom w:val="nil"/>
              <w:right w:val="nil"/>
            </w:tcBorders>
            <w:shd w:val="clear" w:color="000000" w:fill="FFFFFF"/>
            <w:noWrap/>
            <w:vAlign w:val="bottom"/>
            <w:hideMark/>
          </w:tcPr>
          <w:p w14:paraId="3932A84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nil"/>
              <w:right w:val="nil"/>
            </w:tcBorders>
            <w:shd w:val="clear" w:color="000000" w:fill="FFFFFF"/>
            <w:noWrap/>
            <w:vAlign w:val="bottom"/>
            <w:hideMark/>
          </w:tcPr>
          <w:p w14:paraId="676DA811"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000000" w:fill="FFFFFF"/>
            <w:noWrap/>
            <w:vAlign w:val="bottom"/>
            <w:hideMark/>
          </w:tcPr>
          <w:p w14:paraId="74D587F0"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3ECCF46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1,985 </w:t>
            </w:r>
          </w:p>
        </w:tc>
        <w:tc>
          <w:tcPr>
            <w:tcW w:w="272" w:type="dxa"/>
            <w:tcBorders>
              <w:top w:val="nil"/>
              <w:left w:val="nil"/>
              <w:bottom w:val="nil"/>
              <w:right w:val="nil"/>
            </w:tcBorders>
            <w:shd w:val="clear" w:color="000000" w:fill="FFFFFF"/>
            <w:noWrap/>
            <w:vAlign w:val="bottom"/>
            <w:hideMark/>
          </w:tcPr>
          <w:p w14:paraId="57C8002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nil"/>
              <w:right w:val="nil"/>
            </w:tcBorders>
            <w:shd w:val="clear" w:color="000000" w:fill="FFFFFF"/>
            <w:noWrap/>
            <w:vAlign w:val="bottom"/>
            <w:hideMark/>
          </w:tcPr>
          <w:p w14:paraId="2EBBE7D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0 </w:t>
            </w:r>
          </w:p>
        </w:tc>
      </w:tr>
      <w:tr w:rsidR="007470C1" w:rsidRPr="007470C1" w14:paraId="0BC0DC22" w14:textId="77777777" w:rsidTr="00F01633">
        <w:trPr>
          <w:trHeight w:val="285"/>
        </w:trPr>
        <w:tc>
          <w:tcPr>
            <w:tcW w:w="3898" w:type="dxa"/>
            <w:tcBorders>
              <w:top w:val="nil"/>
              <w:left w:val="nil"/>
              <w:bottom w:val="nil"/>
              <w:right w:val="nil"/>
            </w:tcBorders>
            <w:shd w:val="clear" w:color="000000" w:fill="FFFFFF"/>
            <w:noWrap/>
            <w:vAlign w:val="bottom"/>
            <w:hideMark/>
          </w:tcPr>
          <w:p w14:paraId="68AC2C56"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Devices and Consumer Other</w:t>
            </w:r>
          </w:p>
        </w:tc>
        <w:tc>
          <w:tcPr>
            <w:tcW w:w="1268" w:type="dxa"/>
            <w:tcBorders>
              <w:top w:val="nil"/>
              <w:left w:val="nil"/>
              <w:bottom w:val="nil"/>
              <w:right w:val="nil"/>
            </w:tcBorders>
            <w:shd w:val="clear" w:color="000000" w:fill="FFFFFF"/>
            <w:noWrap/>
            <w:vAlign w:val="bottom"/>
            <w:hideMark/>
          </w:tcPr>
          <w:p w14:paraId="302DBC1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1,880 </w:t>
            </w:r>
          </w:p>
        </w:tc>
        <w:tc>
          <w:tcPr>
            <w:tcW w:w="272" w:type="dxa"/>
            <w:tcBorders>
              <w:top w:val="nil"/>
              <w:left w:val="nil"/>
              <w:bottom w:val="nil"/>
              <w:right w:val="nil"/>
            </w:tcBorders>
            <w:shd w:val="clear" w:color="000000" w:fill="FFFFFF"/>
            <w:noWrap/>
            <w:vAlign w:val="bottom"/>
            <w:hideMark/>
          </w:tcPr>
          <w:p w14:paraId="6595272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nil"/>
              <w:right w:val="nil"/>
            </w:tcBorders>
            <w:shd w:val="clear" w:color="000000" w:fill="FFFFFF"/>
            <w:noWrap/>
            <w:vAlign w:val="bottom"/>
            <w:hideMark/>
          </w:tcPr>
          <w:p w14:paraId="260AEAFE"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1,563 </w:t>
            </w:r>
          </w:p>
        </w:tc>
        <w:tc>
          <w:tcPr>
            <w:tcW w:w="272" w:type="dxa"/>
            <w:tcBorders>
              <w:top w:val="nil"/>
              <w:left w:val="nil"/>
              <w:bottom w:val="nil"/>
              <w:right w:val="nil"/>
            </w:tcBorders>
            <w:shd w:val="clear" w:color="000000" w:fill="FFFFFF"/>
            <w:noWrap/>
            <w:vAlign w:val="bottom"/>
            <w:hideMark/>
          </w:tcPr>
          <w:p w14:paraId="0BE5C920"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0961829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7,258 </w:t>
            </w:r>
          </w:p>
        </w:tc>
        <w:tc>
          <w:tcPr>
            <w:tcW w:w="272" w:type="dxa"/>
            <w:tcBorders>
              <w:top w:val="nil"/>
              <w:left w:val="nil"/>
              <w:bottom w:val="nil"/>
              <w:right w:val="nil"/>
            </w:tcBorders>
            <w:shd w:val="clear" w:color="000000" w:fill="FFFFFF"/>
            <w:noWrap/>
            <w:vAlign w:val="bottom"/>
            <w:hideMark/>
          </w:tcPr>
          <w:p w14:paraId="7CDC2DB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nil"/>
              <w:right w:val="nil"/>
            </w:tcBorders>
            <w:shd w:val="clear" w:color="000000" w:fill="FFFFFF"/>
            <w:noWrap/>
            <w:vAlign w:val="bottom"/>
            <w:hideMark/>
          </w:tcPr>
          <w:p w14:paraId="25D2317A"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6,618 </w:t>
            </w:r>
          </w:p>
        </w:tc>
      </w:tr>
      <w:tr w:rsidR="007470C1" w:rsidRPr="007470C1" w14:paraId="70DF8FC6" w14:textId="77777777" w:rsidTr="00F01633">
        <w:trPr>
          <w:trHeight w:val="285"/>
        </w:trPr>
        <w:tc>
          <w:tcPr>
            <w:tcW w:w="3898" w:type="dxa"/>
            <w:tcBorders>
              <w:top w:val="nil"/>
              <w:left w:val="nil"/>
              <w:bottom w:val="nil"/>
              <w:right w:val="nil"/>
            </w:tcBorders>
            <w:shd w:val="clear" w:color="000000" w:fill="FFFFFF"/>
            <w:noWrap/>
            <w:vAlign w:val="bottom"/>
            <w:hideMark/>
          </w:tcPr>
          <w:p w14:paraId="00C9AA6B"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Commercial Licensing</w:t>
            </w:r>
          </w:p>
        </w:tc>
        <w:tc>
          <w:tcPr>
            <w:tcW w:w="1268" w:type="dxa"/>
            <w:tcBorders>
              <w:top w:val="nil"/>
              <w:left w:val="nil"/>
              <w:bottom w:val="nil"/>
              <w:right w:val="nil"/>
            </w:tcBorders>
            <w:shd w:val="clear" w:color="000000" w:fill="FFFFFF"/>
            <w:noWrap/>
            <w:vAlign w:val="bottom"/>
            <w:hideMark/>
          </w:tcPr>
          <w:p w14:paraId="539B88D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11,222 </w:t>
            </w:r>
          </w:p>
        </w:tc>
        <w:tc>
          <w:tcPr>
            <w:tcW w:w="272" w:type="dxa"/>
            <w:tcBorders>
              <w:top w:val="nil"/>
              <w:left w:val="nil"/>
              <w:bottom w:val="nil"/>
              <w:right w:val="nil"/>
            </w:tcBorders>
            <w:shd w:val="clear" w:color="000000" w:fill="FFFFFF"/>
            <w:noWrap/>
            <w:vAlign w:val="bottom"/>
            <w:hideMark/>
          </w:tcPr>
          <w:p w14:paraId="10DD5BE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nil"/>
              <w:right w:val="nil"/>
            </w:tcBorders>
            <w:shd w:val="clear" w:color="000000" w:fill="FFFFFF"/>
            <w:noWrap/>
            <w:vAlign w:val="bottom"/>
            <w:hideMark/>
          </w:tcPr>
          <w:p w14:paraId="171B69EA"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10,627 </w:t>
            </w:r>
          </w:p>
        </w:tc>
        <w:tc>
          <w:tcPr>
            <w:tcW w:w="272" w:type="dxa"/>
            <w:tcBorders>
              <w:top w:val="nil"/>
              <w:left w:val="nil"/>
              <w:bottom w:val="nil"/>
              <w:right w:val="nil"/>
            </w:tcBorders>
            <w:shd w:val="clear" w:color="000000" w:fill="FFFFFF"/>
            <w:noWrap/>
            <w:vAlign w:val="bottom"/>
            <w:hideMark/>
          </w:tcPr>
          <w:p w14:paraId="11BAE3F1"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49C7554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42,027 </w:t>
            </w:r>
          </w:p>
        </w:tc>
        <w:tc>
          <w:tcPr>
            <w:tcW w:w="272" w:type="dxa"/>
            <w:tcBorders>
              <w:top w:val="nil"/>
              <w:left w:val="nil"/>
              <w:bottom w:val="nil"/>
              <w:right w:val="nil"/>
            </w:tcBorders>
            <w:shd w:val="clear" w:color="000000" w:fill="FFFFFF"/>
            <w:noWrap/>
            <w:vAlign w:val="bottom"/>
            <w:hideMark/>
          </w:tcPr>
          <w:p w14:paraId="7F1FCF5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nil"/>
              <w:right w:val="nil"/>
            </w:tcBorders>
            <w:shd w:val="clear" w:color="000000" w:fill="FFFFFF"/>
            <w:noWrap/>
            <w:vAlign w:val="bottom"/>
            <w:hideMark/>
          </w:tcPr>
          <w:p w14:paraId="02617C05"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39,686 </w:t>
            </w:r>
          </w:p>
        </w:tc>
      </w:tr>
      <w:tr w:rsidR="007470C1" w:rsidRPr="007470C1" w14:paraId="48B08071" w14:textId="77777777" w:rsidTr="00F01633">
        <w:trPr>
          <w:trHeight w:val="285"/>
        </w:trPr>
        <w:tc>
          <w:tcPr>
            <w:tcW w:w="3898" w:type="dxa"/>
            <w:tcBorders>
              <w:top w:val="nil"/>
              <w:left w:val="nil"/>
              <w:bottom w:val="nil"/>
              <w:right w:val="nil"/>
            </w:tcBorders>
            <w:shd w:val="clear" w:color="000000" w:fill="FFFFFF"/>
            <w:noWrap/>
            <w:vAlign w:val="bottom"/>
            <w:hideMark/>
          </w:tcPr>
          <w:p w14:paraId="4B9B9578"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Commercial Other</w:t>
            </w:r>
          </w:p>
        </w:tc>
        <w:tc>
          <w:tcPr>
            <w:tcW w:w="1268" w:type="dxa"/>
            <w:tcBorders>
              <w:top w:val="nil"/>
              <w:left w:val="nil"/>
              <w:bottom w:val="nil"/>
              <w:right w:val="nil"/>
            </w:tcBorders>
            <w:shd w:val="clear" w:color="000000" w:fill="FFFFFF"/>
            <w:noWrap/>
            <w:vAlign w:val="bottom"/>
            <w:hideMark/>
          </w:tcPr>
          <w:p w14:paraId="2AC1F4C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2,262 </w:t>
            </w:r>
          </w:p>
        </w:tc>
        <w:tc>
          <w:tcPr>
            <w:tcW w:w="272" w:type="dxa"/>
            <w:tcBorders>
              <w:top w:val="nil"/>
              <w:left w:val="nil"/>
              <w:bottom w:val="nil"/>
              <w:right w:val="nil"/>
            </w:tcBorders>
            <w:shd w:val="clear" w:color="000000" w:fill="FFFFFF"/>
            <w:noWrap/>
            <w:vAlign w:val="bottom"/>
            <w:hideMark/>
          </w:tcPr>
          <w:p w14:paraId="6DD894D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nil"/>
              <w:right w:val="nil"/>
            </w:tcBorders>
            <w:shd w:val="clear" w:color="000000" w:fill="FFFFFF"/>
            <w:noWrap/>
            <w:vAlign w:val="bottom"/>
            <w:hideMark/>
          </w:tcPr>
          <w:p w14:paraId="28D2E36F"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1,574 </w:t>
            </w:r>
          </w:p>
        </w:tc>
        <w:tc>
          <w:tcPr>
            <w:tcW w:w="272" w:type="dxa"/>
            <w:tcBorders>
              <w:top w:val="nil"/>
              <w:left w:val="nil"/>
              <w:bottom w:val="nil"/>
              <w:right w:val="nil"/>
            </w:tcBorders>
            <w:shd w:val="clear" w:color="000000" w:fill="FFFFFF"/>
            <w:noWrap/>
            <w:vAlign w:val="bottom"/>
            <w:hideMark/>
          </w:tcPr>
          <w:p w14:paraId="3D6BDF62"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6E65861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7,547 </w:t>
            </w:r>
          </w:p>
        </w:tc>
        <w:tc>
          <w:tcPr>
            <w:tcW w:w="272" w:type="dxa"/>
            <w:tcBorders>
              <w:top w:val="nil"/>
              <w:left w:val="nil"/>
              <w:bottom w:val="nil"/>
              <w:right w:val="nil"/>
            </w:tcBorders>
            <w:shd w:val="clear" w:color="000000" w:fill="FFFFFF"/>
            <w:noWrap/>
            <w:vAlign w:val="bottom"/>
            <w:hideMark/>
          </w:tcPr>
          <w:p w14:paraId="47D547B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nil"/>
              <w:right w:val="nil"/>
            </w:tcBorders>
            <w:shd w:val="clear" w:color="000000" w:fill="FFFFFF"/>
            <w:noWrap/>
            <w:vAlign w:val="bottom"/>
            <w:hideMark/>
          </w:tcPr>
          <w:p w14:paraId="5C2D15F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5,660 </w:t>
            </w:r>
          </w:p>
        </w:tc>
      </w:tr>
      <w:tr w:rsidR="007470C1" w:rsidRPr="007470C1" w14:paraId="494283F1" w14:textId="77777777" w:rsidTr="00F01633">
        <w:trPr>
          <w:trHeight w:val="285"/>
        </w:trPr>
        <w:tc>
          <w:tcPr>
            <w:tcW w:w="3898" w:type="dxa"/>
            <w:tcBorders>
              <w:top w:val="nil"/>
              <w:left w:val="nil"/>
              <w:bottom w:val="single" w:sz="4" w:space="0" w:color="auto"/>
              <w:right w:val="nil"/>
            </w:tcBorders>
            <w:shd w:val="clear" w:color="000000" w:fill="FFFFFF"/>
            <w:noWrap/>
            <w:vAlign w:val="bottom"/>
            <w:hideMark/>
          </w:tcPr>
          <w:p w14:paraId="363C557B"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Corporate and Other</w:t>
            </w:r>
          </w:p>
        </w:tc>
        <w:tc>
          <w:tcPr>
            <w:tcW w:w="1268" w:type="dxa"/>
            <w:tcBorders>
              <w:top w:val="nil"/>
              <w:left w:val="nil"/>
              <w:bottom w:val="single" w:sz="4" w:space="0" w:color="auto"/>
              <w:right w:val="nil"/>
            </w:tcBorders>
            <w:shd w:val="clear" w:color="000000" w:fill="FFFFFF"/>
            <w:noWrap/>
            <w:vAlign w:val="bottom"/>
            <w:hideMark/>
          </w:tcPr>
          <w:p w14:paraId="43A80EC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(102)</w:t>
            </w:r>
          </w:p>
        </w:tc>
        <w:tc>
          <w:tcPr>
            <w:tcW w:w="272" w:type="dxa"/>
            <w:tcBorders>
              <w:top w:val="nil"/>
              <w:left w:val="nil"/>
              <w:bottom w:val="nil"/>
              <w:right w:val="nil"/>
            </w:tcBorders>
            <w:shd w:val="clear" w:color="000000" w:fill="FFFFFF"/>
            <w:noWrap/>
            <w:vAlign w:val="bottom"/>
            <w:hideMark/>
          </w:tcPr>
          <w:p w14:paraId="214B998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single" w:sz="4" w:space="0" w:color="auto"/>
              <w:right w:val="nil"/>
            </w:tcBorders>
            <w:shd w:val="clear" w:color="000000" w:fill="FFFFFF"/>
            <w:noWrap/>
            <w:vAlign w:val="bottom"/>
            <w:hideMark/>
          </w:tcPr>
          <w:p w14:paraId="6C4D6A1E"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677 </w:t>
            </w:r>
          </w:p>
        </w:tc>
        <w:tc>
          <w:tcPr>
            <w:tcW w:w="272" w:type="dxa"/>
            <w:tcBorders>
              <w:top w:val="nil"/>
              <w:left w:val="nil"/>
              <w:bottom w:val="nil"/>
              <w:right w:val="nil"/>
            </w:tcBorders>
            <w:shd w:val="clear" w:color="000000" w:fill="FFFFFF"/>
            <w:noWrap/>
            <w:vAlign w:val="bottom"/>
            <w:hideMark/>
          </w:tcPr>
          <w:p w14:paraId="70ECE2D4"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single" w:sz="4" w:space="0" w:color="auto"/>
              <w:right w:val="nil"/>
            </w:tcBorders>
            <w:shd w:val="clear" w:color="000000" w:fill="FFFFFF"/>
            <w:noWrap/>
            <w:vAlign w:val="bottom"/>
            <w:hideMark/>
          </w:tcPr>
          <w:p w14:paraId="4AC6C87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(415)</w:t>
            </w:r>
          </w:p>
        </w:tc>
        <w:tc>
          <w:tcPr>
            <w:tcW w:w="272" w:type="dxa"/>
            <w:tcBorders>
              <w:top w:val="nil"/>
              <w:left w:val="nil"/>
              <w:bottom w:val="nil"/>
              <w:right w:val="nil"/>
            </w:tcBorders>
            <w:shd w:val="clear" w:color="000000" w:fill="FFFFFF"/>
            <w:noWrap/>
            <w:vAlign w:val="bottom"/>
            <w:hideMark/>
          </w:tcPr>
          <w:p w14:paraId="4704606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single" w:sz="4" w:space="0" w:color="auto"/>
              <w:right w:val="nil"/>
            </w:tcBorders>
            <w:shd w:val="clear" w:color="000000" w:fill="FFFFFF"/>
            <w:noWrap/>
            <w:vAlign w:val="bottom"/>
            <w:hideMark/>
          </w:tcPr>
          <w:p w14:paraId="0DF348F4"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403 </w:t>
            </w:r>
          </w:p>
        </w:tc>
      </w:tr>
      <w:tr w:rsidR="007470C1" w:rsidRPr="007470C1" w14:paraId="5A48BADE" w14:textId="77777777" w:rsidTr="00F01633">
        <w:trPr>
          <w:trHeight w:val="300"/>
        </w:trPr>
        <w:tc>
          <w:tcPr>
            <w:tcW w:w="3898" w:type="dxa"/>
            <w:tcBorders>
              <w:top w:val="nil"/>
              <w:left w:val="nil"/>
              <w:bottom w:val="nil"/>
              <w:right w:val="nil"/>
            </w:tcBorders>
            <w:shd w:val="clear" w:color="000000" w:fill="FFFFFF"/>
            <w:noWrap/>
            <w:vAlign w:val="bottom"/>
            <w:hideMark/>
          </w:tcPr>
          <w:p w14:paraId="17CCA373"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Total Revenue</w:t>
            </w:r>
          </w:p>
        </w:tc>
        <w:tc>
          <w:tcPr>
            <w:tcW w:w="1268" w:type="dxa"/>
            <w:tcBorders>
              <w:top w:val="nil"/>
              <w:left w:val="nil"/>
              <w:bottom w:val="single" w:sz="8" w:space="0" w:color="auto"/>
              <w:right w:val="nil"/>
            </w:tcBorders>
            <w:shd w:val="clear" w:color="000000" w:fill="FFFFFF"/>
            <w:noWrap/>
            <w:vAlign w:val="bottom"/>
            <w:hideMark/>
          </w:tcPr>
          <w:p w14:paraId="20A71FA9"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23,382 </w:t>
            </w:r>
          </w:p>
        </w:tc>
        <w:tc>
          <w:tcPr>
            <w:tcW w:w="272" w:type="dxa"/>
            <w:tcBorders>
              <w:top w:val="nil"/>
              <w:left w:val="nil"/>
              <w:bottom w:val="nil"/>
              <w:right w:val="nil"/>
            </w:tcBorders>
            <w:shd w:val="clear" w:color="000000" w:fill="FFFFFF"/>
            <w:noWrap/>
            <w:vAlign w:val="bottom"/>
            <w:hideMark/>
          </w:tcPr>
          <w:p w14:paraId="467668AA"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single" w:sz="8" w:space="0" w:color="auto"/>
              <w:right w:val="nil"/>
            </w:tcBorders>
            <w:shd w:val="clear" w:color="000000" w:fill="FFFFFF"/>
            <w:noWrap/>
            <w:vAlign w:val="bottom"/>
            <w:hideMark/>
          </w:tcPr>
          <w:p w14:paraId="479A2C88"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$19,896 </w:t>
            </w:r>
          </w:p>
        </w:tc>
        <w:tc>
          <w:tcPr>
            <w:tcW w:w="272" w:type="dxa"/>
            <w:tcBorders>
              <w:top w:val="nil"/>
              <w:left w:val="nil"/>
              <w:bottom w:val="nil"/>
              <w:right w:val="nil"/>
            </w:tcBorders>
            <w:shd w:val="clear" w:color="000000" w:fill="FFFFFF"/>
            <w:noWrap/>
            <w:vAlign w:val="bottom"/>
            <w:hideMark/>
          </w:tcPr>
          <w:p w14:paraId="00AB3108"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single" w:sz="8" w:space="0" w:color="auto"/>
              <w:right w:val="nil"/>
            </w:tcBorders>
            <w:shd w:val="clear" w:color="000000" w:fill="FFFFFF"/>
            <w:noWrap/>
            <w:vAlign w:val="bottom"/>
            <w:hideMark/>
          </w:tcPr>
          <w:p w14:paraId="4284A84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86,833 </w:t>
            </w:r>
          </w:p>
        </w:tc>
        <w:tc>
          <w:tcPr>
            <w:tcW w:w="272" w:type="dxa"/>
            <w:tcBorders>
              <w:top w:val="nil"/>
              <w:left w:val="nil"/>
              <w:bottom w:val="nil"/>
              <w:right w:val="nil"/>
            </w:tcBorders>
            <w:shd w:val="clear" w:color="000000" w:fill="FFFFFF"/>
            <w:noWrap/>
            <w:vAlign w:val="bottom"/>
            <w:hideMark/>
          </w:tcPr>
          <w:p w14:paraId="76391B69"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single" w:sz="8" w:space="0" w:color="auto"/>
              <w:right w:val="nil"/>
            </w:tcBorders>
            <w:shd w:val="clear" w:color="000000" w:fill="FFFFFF"/>
            <w:noWrap/>
            <w:vAlign w:val="bottom"/>
            <w:hideMark/>
          </w:tcPr>
          <w:p w14:paraId="07DD9278"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$77,849 </w:t>
            </w:r>
          </w:p>
        </w:tc>
      </w:tr>
      <w:tr w:rsidR="007470C1" w:rsidRPr="007470C1" w14:paraId="131DCA07" w14:textId="77777777" w:rsidTr="00F01633">
        <w:trPr>
          <w:trHeight w:val="285"/>
        </w:trPr>
        <w:tc>
          <w:tcPr>
            <w:tcW w:w="3898" w:type="dxa"/>
            <w:tcBorders>
              <w:top w:val="nil"/>
              <w:left w:val="nil"/>
              <w:bottom w:val="nil"/>
              <w:right w:val="nil"/>
            </w:tcBorders>
            <w:shd w:val="clear" w:color="000000" w:fill="FFFFFF"/>
            <w:noWrap/>
            <w:vAlign w:val="bottom"/>
            <w:hideMark/>
          </w:tcPr>
          <w:p w14:paraId="3335B61C"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2E98136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1B2C6DD2"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nil"/>
              <w:right w:val="nil"/>
            </w:tcBorders>
            <w:shd w:val="clear" w:color="000000" w:fill="FFFFFF"/>
            <w:noWrap/>
            <w:vAlign w:val="bottom"/>
            <w:hideMark/>
          </w:tcPr>
          <w:p w14:paraId="127DD541"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006AC86D"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1B97BEB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277C200A"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nil"/>
              <w:right w:val="nil"/>
            </w:tcBorders>
            <w:shd w:val="clear" w:color="000000" w:fill="FFFFFF"/>
            <w:noWrap/>
            <w:vAlign w:val="bottom"/>
            <w:hideMark/>
          </w:tcPr>
          <w:p w14:paraId="5FE5EF64"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r>
      <w:tr w:rsidR="007470C1" w:rsidRPr="007470C1" w14:paraId="730B6243" w14:textId="77777777" w:rsidTr="00F01633">
        <w:trPr>
          <w:trHeight w:val="285"/>
        </w:trPr>
        <w:tc>
          <w:tcPr>
            <w:tcW w:w="3898" w:type="dxa"/>
            <w:tcBorders>
              <w:top w:val="nil"/>
              <w:left w:val="nil"/>
              <w:bottom w:val="nil"/>
              <w:right w:val="nil"/>
            </w:tcBorders>
            <w:shd w:val="clear" w:color="000000" w:fill="FFFFFF"/>
            <w:noWrap/>
            <w:vAlign w:val="bottom"/>
            <w:hideMark/>
          </w:tcPr>
          <w:p w14:paraId="78DC1F8B"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Gross Margin</w:t>
            </w:r>
          </w:p>
        </w:tc>
        <w:tc>
          <w:tcPr>
            <w:tcW w:w="1268" w:type="dxa"/>
            <w:tcBorders>
              <w:top w:val="nil"/>
              <w:left w:val="nil"/>
              <w:bottom w:val="nil"/>
              <w:right w:val="nil"/>
            </w:tcBorders>
            <w:shd w:val="clear" w:color="000000" w:fill="FFFFFF"/>
            <w:noWrap/>
            <w:vAlign w:val="bottom"/>
            <w:hideMark/>
          </w:tcPr>
          <w:p w14:paraId="2FB30FC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03704D7D"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nil"/>
              <w:right w:val="nil"/>
            </w:tcBorders>
            <w:shd w:val="clear" w:color="000000" w:fill="FFFFFF"/>
            <w:noWrap/>
            <w:vAlign w:val="bottom"/>
            <w:hideMark/>
          </w:tcPr>
          <w:p w14:paraId="065956E2"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2C66BE7F"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7CA6CFE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26837D02"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nil"/>
              <w:right w:val="nil"/>
            </w:tcBorders>
            <w:shd w:val="clear" w:color="000000" w:fill="FFFFFF"/>
            <w:noWrap/>
            <w:vAlign w:val="bottom"/>
            <w:hideMark/>
          </w:tcPr>
          <w:p w14:paraId="1D5F7B5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r>
      <w:tr w:rsidR="007470C1" w:rsidRPr="007470C1" w14:paraId="761B9D92" w14:textId="77777777" w:rsidTr="00F01633">
        <w:trPr>
          <w:trHeight w:val="285"/>
        </w:trPr>
        <w:tc>
          <w:tcPr>
            <w:tcW w:w="3898" w:type="dxa"/>
            <w:tcBorders>
              <w:top w:val="nil"/>
              <w:left w:val="nil"/>
              <w:bottom w:val="nil"/>
              <w:right w:val="nil"/>
            </w:tcBorders>
            <w:shd w:val="clear" w:color="000000" w:fill="FFFFFF"/>
            <w:noWrap/>
            <w:vAlign w:val="bottom"/>
            <w:hideMark/>
          </w:tcPr>
          <w:p w14:paraId="16C5A43F"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Devices and Consumer Licensing</w:t>
            </w:r>
          </w:p>
        </w:tc>
        <w:tc>
          <w:tcPr>
            <w:tcW w:w="1268" w:type="dxa"/>
            <w:tcBorders>
              <w:top w:val="nil"/>
              <w:left w:val="nil"/>
              <w:bottom w:val="nil"/>
              <w:right w:val="nil"/>
            </w:tcBorders>
            <w:shd w:val="clear" w:color="000000" w:fill="FFFFFF"/>
            <w:noWrap/>
            <w:vAlign w:val="bottom"/>
            <w:hideMark/>
          </w:tcPr>
          <w:p w14:paraId="373ABAC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4,407 </w:t>
            </w:r>
          </w:p>
        </w:tc>
        <w:tc>
          <w:tcPr>
            <w:tcW w:w="272" w:type="dxa"/>
            <w:tcBorders>
              <w:top w:val="nil"/>
              <w:left w:val="nil"/>
              <w:bottom w:val="nil"/>
              <w:right w:val="nil"/>
            </w:tcBorders>
            <w:shd w:val="clear" w:color="000000" w:fill="FFFFFF"/>
            <w:noWrap/>
            <w:vAlign w:val="bottom"/>
            <w:hideMark/>
          </w:tcPr>
          <w:p w14:paraId="631B955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nil"/>
              <w:right w:val="nil"/>
            </w:tcBorders>
            <w:shd w:val="clear" w:color="000000" w:fill="FFFFFF"/>
            <w:noWrap/>
            <w:vAlign w:val="bottom"/>
            <w:hideMark/>
          </w:tcPr>
          <w:p w14:paraId="343C3365"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  3,881 </w:t>
            </w:r>
          </w:p>
        </w:tc>
        <w:tc>
          <w:tcPr>
            <w:tcW w:w="272" w:type="dxa"/>
            <w:tcBorders>
              <w:top w:val="nil"/>
              <w:left w:val="nil"/>
              <w:bottom w:val="nil"/>
              <w:right w:val="nil"/>
            </w:tcBorders>
            <w:shd w:val="clear" w:color="000000" w:fill="FFFFFF"/>
            <w:noWrap/>
            <w:vAlign w:val="bottom"/>
            <w:hideMark/>
          </w:tcPr>
          <w:p w14:paraId="048C83E9"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1DAD296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17,216 </w:t>
            </w:r>
          </w:p>
        </w:tc>
        <w:tc>
          <w:tcPr>
            <w:tcW w:w="272" w:type="dxa"/>
            <w:tcBorders>
              <w:top w:val="nil"/>
              <w:left w:val="nil"/>
              <w:bottom w:val="nil"/>
              <w:right w:val="nil"/>
            </w:tcBorders>
            <w:shd w:val="clear" w:color="000000" w:fill="FFFFFF"/>
            <w:noWrap/>
            <w:vAlign w:val="bottom"/>
            <w:hideMark/>
          </w:tcPr>
          <w:p w14:paraId="171B4C1C"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nil"/>
              <w:right w:val="nil"/>
            </w:tcBorders>
            <w:shd w:val="clear" w:color="000000" w:fill="FFFFFF"/>
            <w:noWrap/>
            <w:vAlign w:val="bottom"/>
            <w:hideMark/>
          </w:tcPr>
          <w:p w14:paraId="0D439E46"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$17,044 </w:t>
            </w:r>
          </w:p>
        </w:tc>
      </w:tr>
      <w:tr w:rsidR="007470C1" w:rsidRPr="007470C1" w14:paraId="4FA28731" w14:textId="77777777" w:rsidTr="00F01633">
        <w:trPr>
          <w:trHeight w:val="285"/>
        </w:trPr>
        <w:tc>
          <w:tcPr>
            <w:tcW w:w="3898" w:type="dxa"/>
            <w:tcBorders>
              <w:top w:val="nil"/>
              <w:left w:val="nil"/>
              <w:bottom w:val="nil"/>
              <w:right w:val="nil"/>
            </w:tcBorders>
            <w:shd w:val="clear" w:color="000000" w:fill="FFFFFF"/>
            <w:noWrap/>
            <w:vAlign w:val="bottom"/>
            <w:hideMark/>
          </w:tcPr>
          <w:p w14:paraId="1C78E872"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Computing and Gaming Hardware</w:t>
            </w:r>
          </w:p>
        </w:tc>
        <w:tc>
          <w:tcPr>
            <w:tcW w:w="1268" w:type="dxa"/>
            <w:tcBorders>
              <w:top w:val="nil"/>
              <w:left w:val="nil"/>
              <w:bottom w:val="nil"/>
              <w:right w:val="nil"/>
            </w:tcBorders>
            <w:shd w:val="clear" w:color="000000" w:fill="FFFFFF"/>
            <w:noWrap/>
            <w:vAlign w:val="bottom"/>
            <w:hideMark/>
          </w:tcPr>
          <w:p w14:paraId="657A215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18 </w:t>
            </w:r>
          </w:p>
        </w:tc>
        <w:tc>
          <w:tcPr>
            <w:tcW w:w="272" w:type="dxa"/>
            <w:tcBorders>
              <w:top w:val="nil"/>
              <w:left w:val="nil"/>
              <w:bottom w:val="nil"/>
              <w:right w:val="nil"/>
            </w:tcBorders>
            <w:shd w:val="clear" w:color="000000" w:fill="FFFFFF"/>
            <w:noWrap/>
            <w:vAlign w:val="bottom"/>
            <w:hideMark/>
          </w:tcPr>
          <w:p w14:paraId="195F300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nil"/>
              <w:right w:val="nil"/>
            </w:tcBorders>
            <w:shd w:val="clear" w:color="000000" w:fill="FFFFFF"/>
            <w:noWrap/>
            <w:vAlign w:val="bottom"/>
            <w:hideMark/>
          </w:tcPr>
          <w:p w14:paraId="73C323D5"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(647)</w:t>
            </w:r>
          </w:p>
        </w:tc>
        <w:tc>
          <w:tcPr>
            <w:tcW w:w="272" w:type="dxa"/>
            <w:tcBorders>
              <w:top w:val="nil"/>
              <w:left w:val="nil"/>
              <w:bottom w:val="nil"/>
              <w:right w:val="nil"/>
            </w:tcBorders>
            <w:shd w:val="clear" w:color="000000" w:fill="FFFFFF"/>
            <w:noWrap/>
            <w:vAlign w:val="bottom"/>
            <w:hideMark/>
          </w:tcPr>
          <w:p w14:paraId="20429CAA"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3680EA0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893 </w:t>
            </w:r>
          </w:p>
        </w:tc>
        <w:tc>
          <w:tcPr>
            <w:tcW w:w="272" w:type="dxa"/>
            <w:tcBorders>
              <w:top w:val="nil"/>
              <w:left w:val="nil"/>
              <w:bottom w:val="nil"/>
              <w:right w:val="nil"/>
            </w:tcBorders>
            <w:shd w:val="clear" w:color="000000" w:fill="FFFFFF"/>
            <w:noWrap/>
            <w:vAlign w:val="bottom"/>
            <w:hideMark/>
          </w:tcPr>
          <w:p w14:paraId="0A9E878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nil"/>
              <w:right w:val="nil"/>
            </w:tcBorders>
            <w:shd w:val="clear" w:color="000000" w:fill="FFFFFF"/>
            <w:noWrap/>
            <w:vAlign w:val="bottom"/>
            <w:hideMark/>
          </w:tcPr>
          <w:p w14:paraId="7EC1107D"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956 </w:t>
            </w:r>
          </w:p>
        </w:tc>
      </w:tr>
      <w:tr w:rsidR="007470C1" w:rsidRPr="007470C1" w14:paraId="7D84E87C" w14:textId="77777777" w:rsidTr="00F01633">
        <w:trPr>
          <w:trHeight w:val="285"/>
        </w:trPr>
        <w:tc>
          <w:tcPr>
            <w:tcW w:w="3898" w:type="dxa"/>
            <w:tcBorders>
              <w:top w:val="nil"/>
              <w:left w:val="nil"/>
              <w:bottom w:val="nil"/>
              <w:right w:val="nil"/>
            </w:tcBorders>
            <w:shd w:val="clear" w:color="000000" w:fill="FFFFFF"/>
            <w:noWrap/>
            <w:vAlign w:val="bottom"/>
            <w:hideMark/>
          </w:tcPr>
          <w:p w14:paraId="29293F57"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Phone Hardware</w:t>
            </w:r>
          </w:p>
        </w:tc>
        <w:tc>
          <w:tcPr>
            <w:tcW w:w="1268" w:type="dxa"/>
            <w:tcBorders>
              <w:top w:val="nil"/>
              <w:left w:val="nil"/>
              <w:bottom w:val="nil"/>
              <w:right w:val="nil"/>
            </w:tcBorders>
            <w:shd w:val="clear" w:color="000000" w:fill="FFFFFF"/>
            <w:noWrap/>
            <w:vAlign w:val="bottom"/>
            <w:hideMark/>
          </w:tcPr>
          <w:p w14:paraId="2E6FAC9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54 </w:t>
            </w:r>
          </w:p>
        </w:tc>
        <w:tc>
          <w:tcPr>
            <w:tcW w:w="272" w:type="dxa"/>
            <w:tcBorders>
              <w:top w:val="nil"/>
              <w:left w:val="nil"/>
              <w:bottom w:val="nil"/>
              <w:right w:val="nil"/>
            </w:tcBorders>
            <w:shd w:val="clear" w:color="000000" w:fill="FFFFFF"/>
            <w:noWrap/>
            <w:vAlign w:val="bottom"/>
            <w:hideMark/>
          </w:tcPr>
          <w:p w14:paraId="0D3D21B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nil"/>
              <w:right w:val="nil"/>
            </w:tcBorders>
            <w:shd w:val="clear" w:color="000000" w:fill="FFFFFF"/>
            <w:noWrap/>
            <w:vAlign w:val="bottom"/>
            <w:hideMark/>
          </w:tcPr>
          <w:p w14:paraId="7D42D219"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000000" w:fill="FFFFFF"/>
            <w:noWrap/>
            <w:vAlign w:val="bottom"/>
            <w:hideMark/>
          </w:tcPr>
          <w:p w14:paraId="078315E0"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4AEAF18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54 </w:t>
            </w:r>
          </w:p>
        </w:tc>
        <w:tc>
          <w:tcPr>
            <w:tcW w:w="272" w:type="dxa"/>
            <w:tcBorders>
              <w:top w:val="nil"/>
              <w:left w:val="nil"/>
              <w:bottom w:val="nil"/>
              <w:right w:val="nil"/>
            </w:tcBorders>
            <w:shd w:val="clear" w:color="000000" w:fill="FFFFFF"/>
            <w:noWrap/>
            <w:vAlign w:val="bottom"/>
            <w:hideMark/>
          </w:tcPr>
          <w:p w14:paraId="324119B2"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nil"/>
              <w:right w:val="nil"/>
            </w:tcBorders>
            <w:shd w:val="clear" w:color="000000" w:fill="FFFFFF"/>
            <w:noWrap/>
            <w:vAlign w:val="bottom"/>
            <w:hideMark/>
          </w:tcPr>
          <w:p w14:paraId="06837DFC"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0 </w:t>
            </w:r>
          </w:p>
        </w:tc>
      </w:tr>
      <w:tr w:rsidR="007470C1" w:rsidRPr="007470C1" w14:paraId="444260E3" w14:textId="77777777" w:rsidTr="00F01633">
        <w:trPr>
          <w:trHeight w:val="315"/>
        </w:trPr>
        <w:tc>
          <w:tcPr>
            <w:tcW w:w="3898" w:type="dxa"/>
            <w:tcBorders>
              <w:top w:val="nil"/>
              <w:left w:val="nil"/>
              <w:bottom w:val="nil"/>
              <w:right w:val="nil"/>
            </w:tcBorders>
            <w:shd w:val="clear" w:color="000000" w:fill="FFFFFF"/>
            <w:noWrap/>
            <w:vAlign w:val="bottom"/>
            <w:hideMark/>
          </w:tcPr>
          <w:p w14:paraId="6ED7E93C"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Devices and Consumer Other</w:t>
            </w:r>
          </w:p>
        </w:tc>
        <w:tc>
          <w:tcPr>
            <w:tcW w:w="1268" w:type="dxa"/>
            <w:tcBorders>
              <w:top w:val="nil"/>
              <w:left w:val="nil"/>
              <w:bottom w:val="nil"/>
              <w:right w:val="nil"/>
            </w:tcBorders>
            <w:shd w:val="clear" w:color="000000" w:fill="FFFFFF"/>
            <w:noWrap/>
            <w:vAlign w:val="bottom"/>
            <w:hideMark/>
          </w:tcPr>
          <w:p w14:paraId="6C1B9D4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446 </w:t>
            </w:r>
          </w:p>
        </w:tc>
        <w:tc>
          <w:tcPr>
            <w:tcW w:w="272" w:type="dxa"/>
            <w:tcBorders>
              <w:top w:val="nil"/>
              <w:left w:val="nil"/>
              <w:bottom w:val="nil"/>
              <w:right w:val="nil"/>
            </w:tcBorders>
            <w:shd w:val="clear" w:color="000000" w:fill="FFFFFF"/>
            <w:noWrap/>
            <w:vAlign w:val="bottom"/>
            <w:hideMark/>
          </w:tcPr>
          <w:p w14:paraId="7A6E9293"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vertAlign w:val="superscript"/>
              </w:rPr>
              <w:t> </w:t>
            </w:r>
          </w:p>
        </w:tc>
        <w:tc>
          <w:tcPr>
            <w:tcW w:w="989" w:type="dxa"/>
            <w:tcBorders>
              <w:top w:val="nil"/>
              <w:left w:val="nil"/>
              <w:bottom w:val="nil"/>
              <w:right w:val="nil"/>
            </w:tcBorders>
            <w:shd w:val="clear" w:color="000000" w:fill="FFFFFF"/>
            <w:noWrap/>
            <w:vAlign w:val="bottom"/>
            <w:hideMark/>
          </w:tcPr>
          <w:p w14:paraId="7EF9F82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368 </w:t>
            </w:r>
          </w:p>
        </w:tc>
        <w:tc>
          <w:tcPr>
            <w:tcW w:w="272" w:type="dxa"/>
            <w:tcBorders>
              <w:top w:val="nil"/>
              <w:left w:val="nil"/>
              <w:bottom w:val="nil"/>
              <w:right w:val="nil"/>
            </w:tcBorders>
            <w:shd w:val="clear" w:color="000000" w:fill="FFFFFF"/>
            <w:noWrap/>
            <w:vAlign w:val="bottom"/>
            <w:hideMark/>
          </w:tcPr>
          <w:p w14:paraId="56B0E506"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5B4F0BB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1,770 </w:t>
            </w:r>
          </w:p>
        </w:tc>
        <w:tc>
          <w:tcPr>
            <w:tcW w:w="272" w:type="dxa"/>
            <w:tcBorders>
              <w:top w:val="nil"/>
              <w:left w:val="nil"/>
              <w:bottom w:val="nil"/>
              <w:right w:val="nil"/>
            </w:tcBorders>
            <w:shd w:val="clear" w:color="000000" w:fill="FFFFFF"/>
            <w:noWrap/>
            <w:vAlign w:val="bottom"/>
            <w:hideMark/>
          </w:tcPr>
          <w:p w14:paraId="02807074"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vertAlign w:val="superscript"/>
              </w:rPr>
              <w:t> </w:t>
            </w:r>
          </w:p>
        </w:tc>
        <w:tc>
          <w:tcPr>
            <w:tcW w:w="988" w:type="dxa"/>
            <w:tcBorders>
              <w:top w:val="nil"/>
              <w:left w:val="nil"/>
              <w:bottom w:val="nil"/>
              <w:right w:val="nil"/>
            </w:tcBorders>
            <w:shd w:val="clear" w:color="000000" w:fill="FFFFFF"/>
            <w:noWrap/>
            <w:vAlign w:val="bottom"/>
            <w:hideMark/>
          </w:tcPr>
          <w:p w14:paraId="1466BBE1"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2,046 </w:t>
            </w:r>
          </w:p>
        </w:tc>
      </w:tr>
      <w:tr w:rsidR="007470C1" w:rsidRPr="007470C1" w14:paraId="5F83B3C6" w14:textId="77777777" w:rsidTr="00F01633">
        <w:trPr>
          <w:trHeight w:val="285"/>
        </w:trPr>
        <w:tc>
          <w:tcPr>
            <w:tcW w:w="3898" w:type="dxa"/>
            <w:tcBorders>
              <w:top w:val="nil"/>
              <w:left w:val="nil"/>
              <w:bottom w:val="nil"/>
              <w:right w:val="nil"/>
            </w:tcBorders>
            <w:shd w:val="clear" w:color="000000" w:fill="FFFFFF"/>
            <w:noWrap/>
            <w:vAlign w:val="bottom"/>
            <w:hideMark/>
          </w:tcPr>
          <w:p w14:paraId="418BAD25"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Commercial Licensing</w:t>
            </w:r>
          </w:p>
        </w:tc>
        <w:tc>
          <w:tcPr>
            <w:tcW w:w="1268" w:type="dxa"/>
            <w:tcBorders>
              <w:top w:val="nil"/>
              <w:left w:val="nil"/>
              <w:bottom w:val="nil"/>
              <w:right w:val="nil"/>
            </w:tcBorders>
            <w:shd w:val="clear" w:color="000000" w:fill="FFFFFF"/>
            <w:noWrap/>
            <w:vAlign w:val="bottom"/>
            <w:hideMark/>
          </w:tcPr>
          <w:p w14:paraId="267E45A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10,296 </w:t>
            </w:r>
          </w:p>
        </w:tc>
        <w:tc>
          <w:tcPr>
            <w:tcW w:w="272" w:type="dxa"/>
            <w:tcBorders>
              <w:top w:val="nil"/>
              <w:left w:val="nil"/>
              <w:bottom w:val="nil"/>
              <w:right w:val="nil"/>
            </w:tcBorders>
            <w:shd w:val="clear" w:color="000000" w:fill="FFFFFF"/>
            <w:noWrap/>
            <w:vAlign w:val="bottom"/>
            <w:hideMark/>
          </w:tcPr>
          <w:p w14:paraId="5541D527"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nil"/>
              <w:right w:val="nil"/>
            </w:tcBorders>
            <w:shd w:val="clear" w:color="000000" w:fill="FFFFFF"/>
            <w:noWrap/>
            <w:vAlign w:val="bottom"/>
            <w:hideMark/>
          </w:tcPr>
          <w:p w14:paraId="599B24B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9,667 </w:t>
            </w:r>
          </w:p>
        </w:tc>
        <w:tc>
          <w:tcPr>
            <w:tcW w:w="272" w:type="dxa"/>
            <w:tcBorders>
              <w:top w:val="nil"/>
              <w:left w:val="nil"/>
              <w:bottom w:val="nil"/>
              <w:right w:val="nil"/>
            </w:tcBorders>
            <w:shd w:val="clear" w:color="000000" w:fill="FFFFFF"/>
            <w:noWrap/>
            <w:vAlign w:val="bottom"/>
            <w:hideMark/>
          </w:tcPr>
          <w:p w14:paraId="2FDB66E1"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0F0691A5"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38,604 </w:t>
            </w:r>
          </w:p>
        </w:tc>
        <w:tc>
          <w:tcPr>
            <w:tcW w:w="272" w:type="dxa"/>
            <w:tcBorders>
              <w:top w:val="nil"/>
              <w:left w:val="nil"/>
              <w:bottom w:val="nil"/>
              <w:right w:val="nil"/>
            </w:tcBorders>
            <w:shd w:val="clear" w:color="000000" w:fill="FFFFFF"/>
            <w:noWrap/>
            <w:vAlign w:val="bottom"/>
            <w:hideMark/>
          </w:tcPr>
          <w:p w14:paraId="0A0E1A7F"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nil"/>
              <w:right w:val="nil"/>
            </w:tcBorders>
            <w:shd w:val="clear" w:color="000000" w:fill="FFFFFF"/>
            <w:noWrap/>
            <w:vAlign w:val="bottom"/>
            <w:hideMark/>
          </w:tcPr>
          <w:p w14:paraId="5A1B2C6A"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36,261 </w:t>
            </w:r>
          </w:p>
        </w:tc>
      </w:tr>
      <w:tr w:rsidR="007470C1" w:rsidRPr="007470C1" w14:paraId="085925E0" w14:textId="77777777" w:rsidTr="00F01633">
        <w:trPr>
          <w:trHeight w:val="285"/>
        </w:trPr>
        <w:tc>
          <w:tcPr>
            <w:tcW w:w="3898" w:type="dxa"/>
            <w:tcBorders>
              <w:top w:val="nil"/>
              <w:left w:val="nil"/>
              <w:bottom w:val="nil"/>
              <w:right w:val="nil"/>
            </w:tcBorders>
            <w:shd w:val="clear" w:color="000000" w:fill="FFFFFF"/>
            <w:noWrap/>
            <w:vAlign w:val="bottom"/>
            <w:hideMark/>
          </w:tcPr>
          <w:p w14:paraId="5A94A7E4"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Commercial Other</w:t>
            </w:r>
          </w:p>
        </w:tc>
        <w:tc>
          <w:tcPr>
            <w:tcW w:w="1268" w:type="dxa"/>
            <w:tcBorders>
              <w:top w:val="nil"/>
              <w:left w:val="nil"/>
              <w:bottom w:val="nil"/>
              <w:right w:val="nil"/>
            </w:tcBorders>
            <w:shd w:val="clear" w:color="000000" w:fill="FFFFFF"/>
            <w:noWrap/>
            <w:vAlign w:val="bottom"/>
            <w:hideMark/>
          </w:tcPr>
          <w:p w14:paraId="13F9C46D"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691 </w:t>
            </w:r>
          </w:p>
        </w:tc>
        <w:tc>
          <w:tcPr>
            <w:tcW w:w="272" w:type="dxa"/>
            <w:tcBorders>
              <w:top w:val="nil"/>
              <w:left w:val="nil"/>
              <w:bottom w:val="nil"/>
              <w:right w:val="nil"/>
            </w:tcBorders>
            <w:shd w:val="clear" w:color="000000" w:fill="FFFFFF"/>
            <w:noWrap/>
            <w:vAlign w:val="bottom"/>
            <w:hideMark/>
          </w:tcPr>
          <w:p w14:paraId="6FF140F8"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nil"/>
              <w:right w:val="nil"/>
            </w:tcBorders>
            <w:shd w:val="clear" w:color="000000" w:fill="FFFFFF"/>
            <w:noWrap/>
            <w:vAlign w:val="bottom"/>
            <w:hideMark/>
          </w:tcPr>
          <w:p w14:paraId="15564CDA"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336 </w:t>
            </w:r>
          </w:p>
        </w:tc>
        <w:tc>
          <w:tcPr>
            <w:tcW w:w="272" w:type="dxa"/>
            <w:tcBorders>
              <w:top w:val="nil"/>
              <w:left w:val="nil"/>
              <w:bottom w:val="nil"/>
              <w:right w:val="nil"/>
            </w:tcBorders>
            <w:shd w:val="clear" w:color="000000" w:fill="FFFFFF"/>
            <w:noWrap/>
            <w:vAlign w:val="bottom"/>
            <w:hideMark/>
          </w:tcPr>
          <w:p w14:paraId="2ACF0A42"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nil"/>
              <w:right w:val="nil"/>
            </w:tcBorders>
            <w:shd w:val="clear" w:color="000000" w:fill="FFFFFF"/>
            <w:noWrap/>
            <w:vAlign w:val="bottom"/>
            <w:hideMark/>
          </w:tcPr>
          <w:p w14:paraId="63C94F41"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1,856 </w:t>
            </w:r>
          </w:p>
        </w:tc>
        <w:tc>
          <w:tcPr>
            <w:tcW w:w="272" w:type="dxa"/>
            <w:tcBorders>
              <w:top w:val="nil"/>
              <w:left w:val="nil"/>
              <w:bottom w:val="nil"/>
              <w:right w:val="nil"/>
            </w:tcBorders>
            <w:shd w:val="clear" w:color="000000" w:fill="FFFFFF"/>
            <w:noWrap/>
            <w:vAlign w:val="bottom"/>
            <w:hideMark/>
          </w:tcPr>
          <w:p w14:paraId="3CF2632E"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nil"/>
              <w:right w:val="nil"/>
            </w:tcBorders>
            <w:shd w:val="clear" w:color="000000" w:fill="FFFFFF"/>
            <w:noWrap/>
            <w:vAlign w:val="bottom"/>
            <w:hideMark/>
          </w:tcPr>
          <w:p w14:paraId="39D3AB23"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921 </w:t>
            </w:r>
          </w:p>
        </w:tc>
      </w:tr>
      <w:tr w:rsidR="007470C1" w:rsidRPr="007470C1" w14:paraId="57A444D0" w14:textId="77777777" w:rsidTr="00F01633">
        <w:trPr>
          <w:trHeight w:val="285"/>
        </w:trPr>
        <w:tc>
          <w:tcPr>
            <w:tcW w:w="3898" w:type="dxa"/>
            <w:tcBorders>
              <w:top w:val="nil"/>
              <w:left w:val="nil"/>
              <w:bottom w:val="single" w:sz="4" w:space="0" w:color="auto"/>
              <w:right w:val="nil"/>
            </w:tcBorders>
            <w:shd w:val="clear" w:color="000000" w:fill="FFFFFF"/>
            <w:noWrap/>
            <w:vAlign w:val="bottom"/>
            <w:hideMark/>
          </w:tcPr>
          <w:p w14:paraId="5F0EB2C7"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Corporate and Other</w:t>
            </w:r>
          </w:p>
        </w:tc>
        <w:tc>
          <w:tcPr>
            <w:tcW w:w="1268" w:type="dxa"/>
            <w:tcBorders>
              <w:top w:val="nil"/>
              <w:left w:val="nil"/>
              <w:bottom w:val="single" w:sz="4" w:space="0" w:color="auto"/>
              <w:right w:val="nil"/>
            </w:tcBorders>
            <w:shd w:val="clear" w:color="000000" w:fill="FFFFFF"/>
            <w:noWrap/>
            <w:vAlign w:val="bottom"/>
            <w:hideMark/>
          </w:tcPr>
          <w:p w14:paraId="51ED632B"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(125)</w:t>
            </w:r>
          </w:p>
        </w:tc>
        <w:tc>
          <w:tcPr>
            <w:tcW w:w="272" w:type="dxa"/>
            <w:tcBorders>
              <w:top w:val="nil"/>
              <w:left w:val="nil"/>
              <w:bottom w:val="nil"/>
              <w:right w:val="nil"/>
            </w:tcBorders>
            <w:shd w:val="clear" w:color="000000" w:fill="FFFFFF"/>
            <w:noWrap/>
            <w:vAlign w:val="bottom"/>
            <w:hideMark/>
          </w:tcPr>
          <w:p w14:paraId="1B025186"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single" w:sz="4" w:space="0" w:color="auto"/>
              <w:right w:val="nil"/>
            </w:tcBorders>
            <w:shd w:val="clear" w:color="000000" w:fill="FFFFFF"/>
            <w:noWrap/>
            <w:vAlign w:val="bottom"/>
            <w:hideMark/>
          </w:tcPr>
          <w:p w14:paraId="42FE408B"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689 </w:t>
            </w:r>
          </w:p>
        </w:tc>
        <w:tc>
          <w:tcPr>
            <w:tcW w:w="272" w:type="dxa"/>
            <w:tcBorders>
              <w:top w:val="nil"/>
              <w:left w:val="nil"/>
              <w:bottom w:val="nil"/>
              <w:right w:val="nil"/>
            </w:tcBorders>
            <w:shd w:val="clear" w:color="000000" w:fill="FFFFFF"/>
            <w:noWrap/>
            <w:vAlign w:val="bottom"/>
            <w:hideMark/>
          </w:tcPr>
          <w:p w14:paraId="2EFEFD8C"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single" w:sz="4" w:space="0" w:color="auto"/>
              <w:right w:val="nil"/>
            </w:tcBorders>
            <w:shd w:val="clear" w:color="000000" w:fill="FFFFFF"/>
            <w:noWrap/>
            <w:vAlign w:val="bottom"/>
            <w:hideMark/>
          </w:tcPr>
          <w:p w14:paraId="0751B0AA"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(494)</w:t>
            </w:r>
          </w:p>
        </w:tc>
        <w:tc>
          <w:tcPr>
            <w:tcW w:w="272" w:type="dxa"/>
            <w:tcBorders>
              <w:top w:val="nil"/>
              <w:left w:val="nil"/>
              <w:bottom w:val="nil"/>
              <w:right w:val="nil"/>
            </w:tcBorders>
            <w:shd w:val="clear" w:color="000000" w:fill="FFFFFF"/>
            <w:noWrap/>
            <w:vAlign w:val="bottom"/>
            <w:hideMark/>
          </w:tcPr>
          <w:p w14:paraId="63F32433"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single" w:sz="4" w:space="0" w:color="auto"/>
              <w:right w:val="nil"/>
            </w:tcBorders>
            <w:shd w:val="clear" w:color="000000" w:fill="FFFFFF"/>
            <w:noWrap/>
            <w:vAlign w:val="bottom"/>
            <w:hideMark/>
          </w:tcPr>
          <w:p w14:paraId="01C0AC72"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372 </w:t>
            </w:r>
          </w:p>
        </w:tc>
      </w:tr>
      <w:tr w:rsidR="007470C1" w:rsidRPr="007470C1" w14:paraId="46F7EAEC" w14:textId="77777777" w:rsidTr="00F01633">
        <w:trPr>
          <w:trHeight w:val="300"/>
        </w:trPr>
        <w:tc>
          <w:tcPr>
            <w:tcW w:w="3898" w:type="dxa"/>
            <w:tcBorders>
              <w:top w:val="nil"/>
              <w:left w:val="nil"/>
              <w:bottom w:val="nil"/>
              <w:right w:val="nil"/>
            </w:tcBorders>
            <w:shd w:val="clear" w:color="000000" w:fill="FFFFFF"/>
            <w:noWrap/>
            <w:vAlign w:val="bottom"/>
            <w:hideMark/>
          </w:tcPr>
          <w:p w14:paraId="53F0D0A1"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Total gross margin</w:t>
            </w:r>
          </w:p>
        </w:tc>
        <w:tc>
          <w:tcPr>
            <w:tcW w:w="1268" w:type="dxa"/>
            <w:tcBorders>
              <w:top w:val="nil"/>
              <w:left w:val="nil"/>
              <w:bottom w:val="single" w:sz="8" w:space="0" w:color="auto"/>
              <w:right w:val="nil"/>
            </w:tcBorders>
            <w:shd w:val="clear" w:color="000000" w:fill="FFFFFF"/>
            <w:noWrap/>
            <w:vAlign w:val="bottom"/>
            <w:hideMark/>
          </w:tcPr>
          <w:p w14:paraId="5880A500"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15,787 </w:t>
            </w:r>
          </w:p>
        </w:tc>
        <w:tc>
          <w:tcPr>
            <w:tcW w:w="272" w:type="dxa"/>
            <w:tcBorders>
              <w:top w:val="nil"/>
              <w:left w:val="nil"/>
              <w:bottom w:val="nil"/>
              <w:right w:val="nil"/>
            </w:tcBorders>
            <w:shd w:val="clear" w:color="000000" w:fill="FFFFFF"/>
            <w:noWrap/>
            <w:vAlign w:val="bottom"/>
            <w:hideMark/>
          </w:tcPr>
          <w:p w14:paraId="5A46DC25"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9" w:type="dxa"/>
            <w:tcBorders>
              <w:top w:val="nil"/>
              <w:left w:val="nil"/>
              <w:bottom w:val="single" w:sz="8" w:space="0" w:color="auto"/>
              <w:right w:val="nil"/>
            </w:tcBorders>
            <w:shd w:val="clear" w:color="000000" w:fill="FFFFFF"/>
            <w:noWrap/>
            <w:vAlign w:val="bottom"/>
            <w:hideMark/>
          </w:tcPr>
          <w:p w14:paraId="6B786DE7"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$14,294 </w:t>
            </w:r>
          </w:p>
        </w:tc>
        <w:tc>
          <w:tcPr>
            <w:tcW w:w="272" w:type="dxa"/>
            <w:tcBorders>
              <w:top w:val="nil"/>
              <w:left w:val="nil"/>
              <w:bottom w:val="nil"/>
              <w:right w:val="nil"/>
            </w:tcBorders>
            <w:shd w:val="clear" w:color="000000" w:fill="FFFFFF"/>
            <w:noWrap/>
            <w:vAlign w:val="bottom"/>
            <w:hideMark/>
          </w:tcPr>
          <w:p w14:paraId="061D176E" w14:textId="77777777" w:rsidR="007470C1" w:rsidRPr="007470C1" w:rsidRDefault="007470C1" w:rsidP="007470C1">
            <w:pPr>
              <w:spacing w:after="0" w:line="240" w:lineRule="auto"/>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w:t>
            </w:r>
          </w:p>
        </w:tc>
        <w:tc>
          <w:tcPr>
            <w:tcW w:w="1268" w:type="dxa"/>
            <w:tcBorders>
              <w:top w:val="nil"/>
              <w:left w:val="nil"/>
              <w:bottom w:val="single" w:sz="8" w:space="0" w:color="auto"/>
              <w:right w:val="nil"/>
            </w:tcBorders>
            <w:shd w:val="clear" w:color="000000" w:fill="FFFFFF"/>
            <w:noWrap/>
            <w:vAlign w:val="bottom"/>
            <w:hideMark/>
          </w:tcPr>
          <w:p w14:paraId="251888A4" w14:textId="77777777" w:rsidR="007470C1" w:rsidRPr="007470C1" w:rsidRDefault="007470C1" w:rsidP="007470C1">
            <w:pPr>
              <w:spacing w:after="0" w:line="240" w:lineRule="auto"/>
              <w:jc w:val="right"/>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xml:space="preserve"> $   59,899 </w:t>
            </w:r>
          </w:p>
        </w:tc>
        <w:tc>
          <w:tcPr>
            <w:tcW w:w="272" w:type="dxa"/>
            <w:tcBorders>
              <w:top w:val="nil"/>
              <w:left w:val="nil"/>
              <w:bottom w:val="nil"/>
              <w:right w:val="nil"/>
            </w:tcBorders>
            <w:shd w:val="clear" w:color="000000" w:fill="FFFFFF"/>
            <w:noWrap/>
            <w:vAlign w:val="bottom"/>
            <w:hideMark/>
          </w:tcPr>
          <w:p w14:paraId="393EBF77" w14:textId="77777777" w:rsidR="007470C1" w:rsidRPr="007470C1" w:rsidRDefault="007470C1" w:rsidP="007470C1">
            <w:pPr>
              <w:spacing w:after="0" w:line="240" w:lineRule="auto"/>
              <w:rPr>
                <w:rFonts w:ascii="Segoe UI" w:eastAsia="Times New Roman" w:hAnsi="Segoe UI" w:cs="Segoe UI"/>
                <w:b/>
                <w:bCs/>
                <w:color w:val="666666"/>
                <w:sz w:val="20"/>
                <w:szCs w:val="20"/>
              </w:rPr>
            </w:pPr>
            <w:r w:rsidRPr="007470C1">
              <w:rPr>
                <w:rFonts w:ascii="Segoe UI" w:eastAsia="Times New Roman" w:hAnsi="Segoe UI" w:cs="Segoe UI"/>
                <w:b/>
                <w:bCs/>
                <w:color w:val="666666"/>
                <w:sz w:val="20"/>
                <w:szCs w:val="20"/>
              </w:rPr>
              <w:t> </w:t>
            </w:r>
          </w:p>
        </w:tc>
        <w:tc>
          <w:tcPr>
            <w:tcW w:w="988" w:type="dxa"/>
            <w:tcBorders>
              <w:top w:val="nil"/>
              <w:left w:val="nil"/>
              <w:bottom w:val="single" w:sz="8" w:space="0" w:color="auto"/>
              <w:right w:val="nil"/>
            </w:tcBorders>
            <w:shd w:val="clear" w:color="000000" w:fill="FFFFFF"/>
            <w:noWrap/>
            <w:vAlign w:val="bottom"/>
            <w:hideMark/>
          </w:tcPr>
          <w:p w14:paraId="37440170" w14:textId="77777777" w:rsidR="007470C1" w:rsidRPr="007470C1" w:rsidRDefault="007470C1" w:rsidP="007470C1">
            <w:pPr>
              <w:spacing w:after="0" w:line="240" w:lineRule="auto"/>
              <w:jc w:val="right"/>
              <w:rPr>
                <w:rFonts w:ascii="Segoe UI" w:eastAsia="Times New Roman" w:hAnsi="Segoe UI" w:cs="Segoe UI"/>
                <w:color w:val="666666"/>
                <w:sz w:val="20"/>
                <w:szCs w:val="20"/>
              </w:rPr>
            </w:pPr>
            <w:r w:rsidRPr="007470C1">
              <w:rPr>
                <w:rFonts w:ascii="Segoe UI" w:eastAsia="Times New Roman" w:hAnsi="Segoe UI" w:cs="Segoe UI"/>
                <w:color w:val="666666"/>
                <w:sz w:val="20"/>
                <w:szCs w:val="20"/>
              </w:rPr>
              <w:t xml:space="preserve"> $57,600 </w:t>
            </w:r>
          </w:p>
        </w:tc>
      </w:tr>
    </w:tbl>
    <w:p w14:paraId="69747C61" w14:textId="4E53786B" w:rsidR="008A7AB3" w:rsidRDefault="008A7AB3">
      <w:pPr>
        <w:spacing w:after="160" w:line="259" w:lineRule="auto"/>
        <w:rPr>
          <w:rFonts w:ascii="Segoe UI" w:eastAsia="Times New Roman" w:hAnsi="Segoe UI" w:cs="Segoe UI"/>
          <w:b/>
          <w:bCs/>
          <w:color w:val="FF0000"/>
          <w:sz w:val="20"/>
          <w:szCs w:val="20"/>
        </w:rPr>
      </w:pPr>
      <w:r>
        <w:rPr>
          <w:rFonts w:ascii="Segoe UI" w:hAnsi="Segoe UI" w:cs="Segoe UI"/>
          <w:b/>
          <w:bCs/>
          <w:color w:val="FF0000"/>
          <w:sz w:val="20"/>
          <w:szCs w:val="20"/>
        </w:rPr>
        <w:br w:type="page"/>
      </w:r>
    </w:p>
    <w:p w14:paraId="149ED9FB" w14:textId="77777777" w:rsidR="005E59D2" w:rsidRDefault="005E59D2" w:rsidP="00A60D91">
      <w:pPr>
        <w:pStyle w:val="NormalWeb"/>
        <w:keepNext/>
        <w:spacing w:before="160" w:beforeAutospacing="0" w:after="160" w:afterAutospacing="0"/>
        <w:jc w:val="center"/>
        <w:rPr>
          <w:rFonts w:ascii="Segoe UI" w:hAnsi="Segoe UI" w:cs="Segoe UI"/>
          <w:b/>
          <w:bCs/>
          <w:color w:val="666666"/>
          <w:sz w:val="20"/>
          <w:szCs w:val="20"/>
        </w:rPr>
      </w:pPr>
    </w:p>
    <w:p w14:paraId="36BFCBEC" w14:textId="77777777" w:rsidR="00A60D91" w:rsidRPr="008E4C0A" w:rsidRDefault="00A60D91" w:rsidP="00A60D91">
      <w:pPr>
        <w:pStyle w:val="NormalWeb"/>
        <w:keepNext/>
        <w:spacing w:before="160" w:beforeAutospacing="0" w:after="160" w:afterAutospacing="0"/>
        <w:jc w:val="center"/>
        <w:rPr>
          <w:rFonts w:ascii="Segoe UI" w:hAnsi="Segoe UI" w:cs="Segoe UI"/>
          <w:b/>
          <w:bCs/>
          <w:color w:val="666666"/>
          <w:sz w:val="20"/>
          <w:szCs w:val="20"/>
        </w:rPr>
      </w:pPr>
      <w:r>
        <w:rPr>
          <w:rFonts w:ascii="Segoe UI" w:hAnsi="Segoe UI" w:cs="Segoe UI"/>
          <w:b/>
          <w:bCs/>
          <w:color w:val="666666"/>
          <w:sz w:val="20"/>
          <w:szCs w:val="20"/>
        </w:rPr>
        <w:t>M</w:t>
      </w:r>
      <w:r w:rsidRPr="008E4C0A">
        <w:rPr>
          <w:rFonts w:ascii="Segoe UI" w:hAnsi="Segoe UI" w:cs="Segoe UI"/>
          <w:b/>
          <w:bCs/>
          <w:color w:val="666666"/>
          <w:sz w:val="20"/>
          <w:szCs w:val="20"/>
        </w:rPr>
        <w:t>ICROSOFT CORPORATION</w:t>
      </w:r>
    </w:p>
    <w:p w14:paraId="76FEED0E" w14:textId="77777777" w:rsidR="00A60D91" w:rsidRPr="008E4C0A" w:rsidRDefault="00A60D91" w:rsidP="00A60D91">
      <w:pPr>
        <w:pStyle w:val="NormalWeb"/>
        <w:keepNext/>
        <w:spacing w:before="160" w:beforeAutospacing="0" w:after="160" w:afterAutospacing="0"/>
        <w:jc w:val="center"/>
        <w:rPr>
          <w:rFonts w:ascii="Segoe UI" w:hAnsi="Segoe UI" w:cs="Segoe UI"/>
          <w:b/>
          <w:bCs/>
          <w:color w:val="666666"/>
          <w:sz w:val="20"/>
          <w:szCs w:val="20"/>
        </w:rPr>
      </w:pPr>
      <w:r w:rsidRPr="008E4C0A">
        <w:rPr>
          <w:rFonts w:ascii="Segoe UI" w:hAnsi="Segoe UI" w:cs="Segoe UI"/>
          <w:b/>
          <w:bCs/>
          <w:color w:val="666666"/>
          <w:sz w:val="20"/>
          <w:szCs w:val="20"/>
        </w:rPr>
        <w:t>FOURTH QUARTER FINANCIAL HIGHLIGHTS</w:t>
      </w:r>
    </w:p>
    <w:p w14:paraId="2CD92780" w14:textId="01EB397F" w:rsidR="00A60D91" w:rsidRPr="008E4C0A" w:rsidRDefault="00A60D91" w:rsidP="00A60D91">
      <w:pPr>
        <w:spacing w:before="160" w:line="280" w:lineRule="exact"/>
        <w:jc w:val="both"/>
        <w:rPr>
          <w:rFonts w:ascii="Segoe UI" w:hAnsi="Segoe UI" w:cs="Segoe UI"/>
          <w:b/>
          <w:bCs/>
          <w:color w:val="666666"/>
          <w:sz w:val="20"/>
          <w:szCs w:val="20"/>
        </w:rPr>
      </w:pPr>
      <w:r>
        <w:rPr>
          <w:rFonts w:ascii="Segoe UI" w:hAnsi="Segoe UI" w:cs="Segoe UI"/>
          <w:color w:val="666666"/>
          <w:sz w:val="20"/>
          <w:szCs w:val="20"/>
        </w:rPr>
        <w:t xml:space="preserve">All growth comparisons relate to the corresponding period in the last fiscal year.  Please refer to the reconciliation of our GAAP and </w:t>
      </w:r>
      <w:r w:rsidR="00DA7EC8">
        <w:rPr>
          <w:rFonts w:ascii="Segoe UI" w:hAnsi="Segoe UI" w:cs="Segoe UI"/>
          <w:color w:val="666666"/>
          <w:sz w:val="20"/>
          <w:szCs w:val="20"/>
        </w:rPr>
        <w:t>N</w:t>
      </w:r>
      <w:r>
        <w:rPr>
          <w:rFonts w:ascii="Segoe UI" w:hAnsi="Segoe UI" w:cs="Segoe UI"/>
          <w:color w:val="666666"/>
          <w:sz w:val="20"/>
          <w:szCs w:val="20"/>
        </w:rPr>
        <w:t>on-GAAP financial results, and the Noted Items table provided above for additional information.</w:t>
      </w:r>
    </w:p>
    <w:p w14:paraId="21CD2541" w14:textId="77777777" w:rsidR="00A60D91" w:rsidRPr="0005515B" w:rsidRDefault="00A60D91" w:rsidP="00A60D91">
      <w:pPr>
        <w:pStyle w:val="NormalWeb"/>
        <w:keepNext/>
        <w:spacing w:before="160" w:beforeAutospacing="0" w:after="160" w:afterAutospacing="0"/>
        <w:rPr>
          <w:color w:val="FF0000"/>
        </w:rPr>
      </w:pPr>
      <w:r w:rsidRPr="008E4C0A">
        <w:rPr>
          <w:rFonts w:ascii="Segoe UI" w:hAnsi="Segoe UI" w:cs="Segoe UI"/>
          <w:b/>
          <w:bCs/>
          <w:color w:val="666666"/>
          <w:sz w:val="20"/>
          <w:szCs w:val="20"/>
        </w:rPr>
        <w:t>SUMMARY</w:t>
      </w:r>
    </w:p>
    <w:p w14:paraId="561AFA97" w14:textId="77777777" w:rsidR="00A60D91" w:rsidRPr="001600E3" w:rsidRDefault="00A60D91" w:rsidP="00A60D91">
      <w:pPr>
        <w:spacing w:before="160" w:line="280" w:lineRule="exact"/>
        <w:jc w:val="both"/>
        <w:rPr>
          <w:rFonts w:ascii="Segoe UI" w:hAnsi="Segoe UI" w:cs="Segoe UI"/>
          <w:b/>
          <w:color w:val="666666"/>
          <w:sz w:val="20"/>
          <w:szCs w:val="20"/>
          <w:u w:val="single"/>
        </w:rPr>
      </w:pPr>
      <w:r w:rsidRPr="001600E3">
        <w:rPr>
          <w:rFonts w:ascii="Segoe UI" w:hAnsi="Segoe UI" w:cs="Segoe UI"/>
          <w:b/>
          <w:color w:val="666666"/>
          <w:sz w:val="20"/>
          <w:szCs w:val="20"/>
          <w:u w:val="single"/>
        </w:rPr>
        <w:t>Nokia Devices and Services Acquisition</w:t>
      </w:r>
    </w:p>
    <w:p w14:paraId="640C53BC" w14:textId="791D596F" w:rsidR="00A60D91" w:rsidRDefault="00A60D91" w:rsidP="00A60D91">
      <w:pPr>
        <w:spacing w:before="160" w:line="280" w:lineRule="exact"/>
        <w:jc w:val="both"/>
        <w:rPr>
          <w:rFonts w:ascii="Segoe UI" w:hAnsi="Segoe UI" w:cs="Segoe UI"/>
          <w:color w:val="666666"/>
          <w:sz w:val="20"/>
          <w:szCs w:val="20"/>
        </w:rPr>
      </w:pPr>
      <w:r w:rsidRPr="00D615CB">
        <w:rPr>
          <w:rFonts w:ascii="Segoe UI" w:hAnsi="Segoe UI" w:cs="Segoe UI"/>
          <w:color w:val="666666"/>
          <w:sz w:val="20"/>
          <w:szCs w:val="20"/>
        </w:rPr>
        <w:t>On April 25, 2014, we acquired substantially all of Nokia</w:t>
      </w:r>
      <w:r>
        <w:rPr>
          <w:rFonts w:ascii="Segoe UI" w:hAnsi="Segoe UI" w:cs="Segoe UI"/>
          <w:color w:val="666666"/>
          <w:sz w:val="20"/>
          <w:szCs w:val="20"/>
        </w:rPr>
        <w:t>’s</w:t>
      </w:r>
      <w:r w:rsidRPr="00D615CB">
        <w:rPr>
          <w:rFonts w:ascii="Segoe UI" w:hAnsi="Segoe UI" w:cs="Segoe UI"/>
          <w:color w:val="666666"/>
          <w:sz w:val="20"/>
          <w:szCs w:val="20"/>
        </w:rPr>
        <w:t xml:space="preserve"> Devices and Services business (</w:t>
      </w:r>
      <w:r>
        <w:rPr>
          <w:rFonts w:ascii="Segoe UI" w:hAnsi="Segoe UI" w:cs="Segoe UI"/>
          <w:color w:val="666666"/>
          <w:sz w:val="20"/>
          <w:szCs w:val="20"/>
        </w:rPr>
        <w:t xml:space="preserve">the acquired assets and operations are hereafter referred to as </w:t>
      </w:r>
      <w:r w:rsidRPr="00D615CB">
        <w:rPr>
          <w:rFonts w:ascii="Segoe UI" w:hAnsi="Segoe UI" w:cs="Segoe UI"/>
          <w:color w:val="666666"/>
          <w:sz w:val="20"/>
          <w:szCs w:val="20"/>
        </w:rPr>
        <w:t>“NDS”)</w:t>
      </w:r>
      <w:r>
        <w:rPr>
          <w:rFonts w:ascii="Segoe UI" w:hAnsi="Segoe UI" w:cs="Segoe UI"/>
          <w:color w:val="666666"/>
          <w:sz w:val="20"/>
          <w:szCs w:val="20"/>
        </w:rPr>
        <w:t xml:space="preserve">.  Beginning </w:t>
      </w:r>
      <w:r w:rsidRPr="00CA404F">
        <w:rPr>
          <w:rFonts w:ascii="Segoe UI" w:hAnsi="Segoe UI" w:cs="Segoe UI"/>
          <w:color w:val="666666"/>
          <w:sz w:val="20"/>
          <w:szCs w:val="20"/>
        </w:rPr>
        <w:t xml:space="preserve">on that date, we reported the revenue and cost of revenue from </w:t>
      </w:r>
      <w:r>
        <w:rPr>
          <w:rFonts w:ascii="Segoe UI" w:hAnsi="Segoe UI" w:cs="Segoe UI"/>
          <w:color w:val="666666"/>
          <w:sz w:val="20"/>
          <w:szCs w:val="20"/>
        </w:rPr>
        <w:t>NDS</w:t>
      </w:r>
      <w:r w:rsidRPr="00CA404F">
        <w:rPr>
          <w:rFonts w:ascii="Segoe UI" w:hAnsi="Segoe UI" w:cs="Segoe UI"/>
          <w:color w:val="666666"/>
          <w:sz w:val="20"/>
          <w:szCs w:val="20"/>
        </w:rPr>
        <w:t xml:space="preserve">, </w:t>
      </w:r>
      <w:r w:rsidRPr="004A55C8">
        <w:rPr>
          <w:rFonts w:ascii="Segoe UI" w:hAnsi="Segoe UI" w:cs="Segoe UI"/>
          <w:color w:val="666666"/>
          <w:sz w:val="20"/>
          <w:szCs w:val="20"/>
        </w:rPr>
        <w:t>including amortization of intangible assets</w:t>
      </w:r>
      <w:r w:rsidRPr="00CA404F">
        <w:rPr>
          <w:rFonts w:ascii="Segoe UI" w:hAnsi="Segoe UI" w:cs="Segoe UI"/>
          <w:color w:val="666666"/>
          <w:sz w:val="20"/>
          <w:szCs w:val="20"/>
        </w:rPr>
        <w:t>, in the</w:t>
      </w:r>
      <w:r w:rsidRPr="004A55C8">
        <w:rPr>
          <w:rFonts w:ascii="Segoe UI" w:hAnsi="Segoe UI" w:cs="Segoe UI"/>
          <w:color w:val="666666"/>
          <w:sz w:val="20"/>
          <w:szCs w:val="20"/>
        </w:rPr>
        <w:t xml:space="preserve"> new Phone Hardware</w:t>
      </w:r>
      <w:r w:rsidRPr="00CA404F">
        <w:rPr>
          <w:rFonts w:ascii="Segoe UI" w:hAnsi="Segoe UI" w:cs="Segoe UI"/>
          <w:color w:val="666666"/>
          <w:sz w:val="20"/>
          <w:szCs w:val="20"/>
        </w:rPr>
        <w:t xml:space="preserve"> segment.  For the fourth quarter, </w:t>
      </w:r>
      <w:r w:rsidRPr="004A55C8">
        <w:rPr>
          <w:rFonts w:ascii="Segoe UI" w:hAnsi="Segoe UI" w:cs="Segoe UI"/>
          <w:color w:val="666666"/>
          <w:sz w:val="20"/>
          <w:szCs w:val="20"/>
        </w:rPr>
        <w:t xml:space="preserve">the results of </w:t>
      </w:r>
      <w:r>
        <w:rPr>
          <w:rFonts w:ascii="Segoe UI" w:hAnsi="Segoe UI" w:cs="Segoe UI"/>
          <w:color w:val="666666"/>
          <w:sz w:val="20"/>
          <w:szCs w:val="20"/>
        </w:rPr>
        <w:t>NDS</w:t>
      </w:r>
      <w:r w:rsidRPr="00CA404F">
        <w:rPr>
          <w:rFonts w:ascii="Segoe UI" w:hAnsi="Segoe UI" w:cs="Segoe UI"/>
          <w:color w:val="666666"/>
          <w:sz w:val="20"/>
          <w:szCs w:val="20"/>
        </w:rPr>
        <w:t xml:space="preserve"> impacted revenue, gross margin</w:t>
      </w:r>
      <w:r w:rsidR="0073645C">
        <w:rPr>
          <w:rFonts w:ascii="Segoe UI" w:hAnsi="Segoe UI" w:cs="Segoe UI"/>
          <w:color w:val="666666"/>
          <w:sz w:val="20"/>
          <w:szCs w:val="20"/>
        </w:rPr>
        <w:t xml:space="preserve">, operating income, and diluted </w:t>
      </w:r>
      <w:r>
        <w:rPr>
          <w:rFonts w:ascii="Segoe UI" w:hAnsi="Segoe UI" w:cs="Segoe UI"/>
          <w:color w:val="666666"/>
          <w:sz w:val="20"/>
          <w:szCs w:val="20"/>
        </w:rPr>
        <w:t xml:space="preserve">EPS by </w:t>
      </w:r>
      <w:r w:rsidRPr="002241FC">
        <w:rPr>
          <w:rFonts w:ascii="Segoe UI" w:hAnsi="Segoe UI" w:cs="Segoe UI"/>
          <w:color w:val="666666"/>
          <w:sz w:val="20"/>
          <w:szCs w:val="20"/>
        </w:rPr>
        <w:t>$</w:t>
      </w:r>
      <w:r>
        <w:rPr>
          <w:rFonts w:ascii="Segoe UI" w:hAnsi="Segoe UI" w:cs="Segoe UI"/>
          <w:color w:val="666666"/>
          <w:sz w:val="20"/>
          <w:szCs w:val="20"/>
        </w:rPr>
        <w:t>1.99</w:t>
      </w:r>
      <w:r w:rsidRPr="009B36EB">
        <w:rPr>
          <w:rFonts w:ascii="Segoe UI" w:hAnsi="Segoe UI" w:cs="Segoe UI"/>
          <w:color w:val="666666"/>
          <w:sz w:val="20"/>
          <w:szCs w:val="20"/>
        </w:rPr>
        <w:t xml:space="preserve"> billion, </w:t>
      </w:r>
      <w:r w:rsidRPr="002241FC">
        <w:rPr>
          <w:rFonts w:ascii="Segoe UI" w:hAnsi="Segoe UI" w:cs="Segoe UI"/>
          <w:color w:val="666666"/>
          <w:sz w:val="20"/>
          <w:szCs w:val="20"/>
        </w:rPr>
        <w:t>$54</w:t>
      </w:r>
      <w:r w:rsidRPr="009B36EB">
        <w:rPr>
          <w:rFonts w:ascii="Segoe UI" w:hAnsi="Segoe UI" w:cs="Segoe UI"/>
          <w:color w:val="666666"/>
          <w:sz w:val="20"/>
          <w:szCs w:val="20"/>
        </w:rPr>
        <w:t xml:space="preserve"> million, </w:t>
      </w:r>
      <w:r w:rsidRPr="002241FC">
        <w:rPr>
          <w:rFonts w:ascii="Segoe UI" w:hAnsi="Segoe UI" w:cs="Segoe UI"/>
          <w:color w:val="666666"/>
          <w:sz w:val="20"/>
          <w:szCs w:val="20"/>
        </w:rPr>
        <w:t>$(692)</w:t>
      </w:r>
      <w:r w:rsidRPr="009B36EB">
        <w:rPr>
          <w:rFonts w:ascii="Segoe UI" w:hAnsi="Segoe UI" w:cs="Segoe UI"/>
          <w:color w:val="666666"/>
          <w:sz w:val="20"/>
          <w:szCs w:val="20"/>
        </w:rPr>
        <w:t xml:space="preserve"> million, and </w:t>
      </w:r>
      <w:r w:rsidRPr="002241FC">
        <w:rPr>
          <w:rFonts w:ascii="Segoe UI" w:hAnsi="Segoe UI" w:cs="Segoe UI"/>
          <w:color w:val="666666"/>
          <w:sz w:val="20"/>
          <w:szCs w:val="20"/>
        </w:rPr>
        <w:t>$(0.08)</w:t>
      </w:r>
      <w:r w:rsidR="00D66A56">
        <w:rPr>
          <w:rFonts w:ascii="Segoe UI" w:hAnsi="Segoe UI" w:cs="Segoe UI"/>
          <w:color w:val="666666"/>
          <w:sz w:val="20"/>
          <w:szCs w:val="20"/>
        </w:rPr>
        <w:t>, respectively</w:t>
      </w:r>
      <w:r w:rsidRPr="009B36EB">
        <w:rPr>
          <w:rFonts w:ascii="Segoe UI" w:hAnsi="Segoe UI" w:cs="Segoe UI"/>
          <w:color w:val="666666"/>
          <w:sz w:val="20"/>
          <w:szCs w:val="20"/>
        </w:rPr>
        <w:t>.</w:t>
      </w:r>
      <w:r>
        <w:rPr>
          <w:rFonts w:ascii="Segoe UI" w:hAnsi="Segoe UI" w:cs="Segoe UI"/>
          <w:color w:val="666666"/>
          <w:sz w:val="20"/>
          <w:szCs w:val="20"/>
        </w:rPr>
        <w:t xml:space="preserve">  </w:t>
      </w:r>
    </w:p>
    <w:p w14:paraId="47F54E2E" w14:textId="77777777" w:rsidR="00A60D91" w:rsidRPr="001600E3" w:rsidRDefault="00A60D91" w:rsidP="00A60D91">
      <w:pPr>
        <w:spacing w:before="160" w:line="280" w:lineRule="exact"/>
        <w:jc w:val="both"/>
        <w:rPr>
          <w:rFonts w:ascii="Segoe UI" w:hAnsi="Segoe UI" w:cs="Segoe UI"/>
          <w:b/>
          <w:color w:val="666666"/>
          <w:sz w:val="20"/>
          <w:szCs w:val="20"/>
          <w:u w:val="single"/>
        </w:rPr>
      </w:pPr>
      <w:r w:rsidRPr="001600E3">
        <w:rPr>
          <w:rFonts w:ascii="Segoe UI" w:hAnsi="Segoe UI" w:cs="Segoe UI"/>
          <w:b/>
          <w:color w:val="666666"/>
          <w:sz w:val="20"/>
          <w:szCs w:val="20"/>
          <w:u w:val="single"/>
        </w:rPr>
        <w:t>Operating Summary</w:t>
      </w:r>
    </w:p>
    <w:p w14:paraId="28C5105B" w14:textId="41463D1A" w:rsidR="00A60D91" w:rsidRDefault="00A60D91" w:rsidP="00A60D91">
      <w:pPr>
        <w:spacing w:before="160" w:line="280" w:lineRule="exact"/>
        <w:jc w:val="both"/>
        <w:rPr>
          <w:rFonts w:ascii="Segoe UI" w:hAnsi="Segoe UI" w:cs="Segoe UI"/>
          <w:color w:val="666666"/>
          <w:sz w:val="20"/>
          <w:szCs w:val="20"/>
        </w:rPr>
      </w:pPr>
      <w:r w:rsidRPr="0096006A">
        <w:rPr>
          <w:rFonts w:ascii="Segoe UI" w:hAnsi="Segoe UI" w:cs="Segoe UI"/>
          <w:color w:val="666666"/>
          <w:sz w:val="20"/>
          <w:szCs w:val="20"/>
        </w:rPr>
        <w:t xml:space="preserve">Revenue was </w:t>
      </w:r>
      <w:r w:rsidRPr="00647AC7">
        <w:rPr>
          <w:rFonts w:ascii="Segoe UI" w:hAnsi="Segoe UI" w:cs="Segoe UI"/>
          <w:color w:val="666666"/>
          <w:sz w:val="20"/>
          <w:szCs w:val="20"/>
        </w:rPr>
        <w:t>$23.</w:t>
      </w:r>
      <w:r>
        <w:rPr>
          <w:rFonts w:ascii="Segoe UI" w:hAnsi="Segoe UI" w:cs="Segoe UI"/>
          <w:color w:val="666666"/>
          <w:sz w:val="20"/>
          <w:szCs w:val="20"/>
        </w:rPr>
        <w:t>38</w:t>
      </w:r>
      <w:r w:rsidRPr="00647AC7">
        <w:rPr>
          <w:rFonts w:ascii="Segoe UI" w:hAnsi="Segoe UI" w:cs="Segoe UI"/>
          <w:color w:val="666666"/>
          <w:sz w:val="20"/>
          <w:szCs w:val="20"/>
        </w:rPr>
        <w:t xml:space="preserve"> </w:t>
      </w:r>
      <w:r w:rsidRPr="0096006A">
        <w:rPr>
          <w:rFonts w:ascii="Segoe UI" w:hAnsi="Segoe UI" w:cs="Segoe UI"/>
          <w:color w:val="666666"/>
          <w:sz w:val="20"/>
          <w:szCs w:val="20"/>
        </w:rPr>
        <w:t xml:space="preserve">billion, up </w:t>
      </w:r>
      <w:r w:rsidRPr="00647AC7">
        <w:rPr>
          <w:rFonts w:ascii="Segoe UI" w:hAnsi="Segoe UI" w:cs="Segoe UI"/>
          <w:color w:val="666666"/>
          <w:sz w:val="20"/>
          <w:szCs w:val="20"/>
        </w:rPr>
        <w:t>18%</w:t>
      </w:r>
      <w:r>
        <w:rPr>
          <w:rFonts w:ascii="Segoe UI" w:hAnsi="Segoe UI" w:cs="Segoe UI"/>
          <w:color w:val="666666"/>
          <w:sz w:val="20"/>
          <w:szCs w:val="20"/>
        </w:rPr>
        <w:t xml:space="preserve"> year-over-</w:t>
      </w:r>
      <w:r w:rsidRPr="0096006A">
        <w:rPr>
          <w:rFonts w:ascii="Segoe UI" w:hAnsi="Segoe UI" w:cs="Segoe UI"/>
          <w:color w:val="666666"/>
          <w:sz w:val="20"/>
          <w:szCs w:val="20"/>
        </w:rPr>
        <w:t>year</w:t>
      </w:r>
      <w:r>
        <w:rPr>
          <w:rFonts w:ascii="Segoe UI" w:hAnsi="Segoe UI" w:cs="Segoe UI"/>
          <w:color w:val="666666"/>
          <w:sz w:val="20"/>
          <w:szCs w:val="20"/>
        </w:rPr>
        <w:t xml:space="preserve">.  Non-GAAP revenue grew </w:t>
      </w:r>
      <w:r w:rsidRPr="00647AC7">
        <w:rPr>
          <w:rFonts w:ascii="Segoe UI" w:hAnsi="Segoe UI" w:cs="Segoe UI"/>
          <w:color w:val="666666"/>
          <w:sz w:val="20"/>
          <w:szCs w:val="20"/>
        </w:rPr>
        <w:t>22</w:t>
      </w:r>
      <w:r>
        <w:rPr>
          <w:rFonts w:ascii="Segoe UI" w:hAnsi="Segoe UI" w:cs="Segoe UI"/>
          <w:color w:val="666666"/>
          <w:sz w:val="20"/>
          <w:szCs w:val="20"/>
        </w:rPr>
        <w:t>%</w:t>
      </w:r>
      <w:r w:rsidRPr="00773BDA">
        <w:rPr>
          <w:rFonts w:ascii="Segoe UI" w:hAnsi="Segoe UI" w:cs="Segoe UI"/>
          <w:color w:val="666666"/>
          <w:sz w:val="20"/>
          <w:szCs w:val="20"/>
        </w:rPr>
        <w:t xml:space="preserve">.  </w:t>
      </w:r>
      <w:r>
        <w:rPr>
          <w:rFonts w:ascii="Segoe UI" w:hAnsi="Segoe UI" w:cs="Segoe UI"/>
          <w:color w:val="666666"/>
          <w:sz w:val="20"/>
          <w:szCs w:val="20"/>
        </w:rPr>
        <w:t>As described in the Noted Items table, prior</w:t>
      </w:r>
      <w:r w:rsidRPr="004A55C8">
        <w:rPr>
          <w:rFonts w:ascii="Segoe UI" w:hAnsi="Segoe UI" w:cs="Segoe UI"/>
          <w:color w:val="666666"/>
          <w:sz w:val="20"/>
          <w:szCs w:val="20"/>
        </w:rPr>
        <w:t xml:space="preserve"> year </w:t>
      </w:r>
      <w:r>
        <w:rPr>
          <w:rFonts w:ascii="Segoe UI" w:hAnsi="Segoe UI" w:cs="Segoe UI"/>
          <w:color w:val="666666"/>
          <w:sz w:val="20"/>
          <w:szCs w:val="20"/>
        </w:rPr>
        <w:t xml:space="preserve">revenue was </w:t>
      </w:r>
      <w:r w:rsidR="0038552D">
        <w:rPr>
          <w:rFonts w:ascii="Segoe UI" w:hAnsi="Segoe UI" w:cs="Segoe UI"/>
          <w:color w:val="666666"/>
          <w:sz w:val="20"/>
          <w:szCs w:val="20"/>
        </w:rPr>
        <w:t xml:space="preserve">decreased </w:t>
      </w:r>
      <w:r>
        <w:rPr>
          <w:rFonts w:ascii="Segoe UI" w:hAnsi="Segoe UI" w:cs="Segoe UI"/>
          <w:color w:val="666666"/>
          <w:sz w:val="20"/>
          <w:szCs w:val="20"/>
        </w:rPr>
        <w:t>by</w:t>
      </w:r>
      <w:r w:rsidRPr="00B565A7">
        <w:rPr>
          <w:rFonts w:ascii="Segoe UI" w:hAnsi="Segoe UI" w:cs="Segoe UI"/>
          <w:color w:val="666666"/>
          <w:sz w:val="20"/>
          <w:szCs w:val="20"/>
        </w:rPr>
        <w:t xml:space="preserve"> $</w:t>
      </w:r>
      <w:r w:rsidR="0038552D">
        <w:rPr>
          <w:rFonts w:ascii="Segoe UI" w:hAnsi="Segoe UI" w:cs="Segoe UI"/>
          <w:color w:val="666666"/>
          <w:sz w:val="20"/>
          <w:szCs w:val="20"/>
        </w:rPr>
        <w:t>38</w:t>
      </w:r>
      <w:r>
        <w:rPr>
          <w:rFonts w:ascii="Segoe UI" w:hAnsi="Segoe UI" w:cs="Segoe UI"/>
          <w:color w:val="666666"/>
          <w:sz w:val="20"/>
          <w:szCs w:val="20"/>
        </w:rPr>
        <w:t xml:space="preserve"> million and current year revenue was </w:t>
      </w:r>
      <w:r w:rsidR="0038552D">
        <w:rPr>
          <w:rFonts w:ascii="Segoe UI" w:hAnsi="Segoe UI" w:cs="Segoe UI"/>
          <w:color w:val="666666"/>
          <w:sz w:val="20"/>
          <w:szCs w:val="20"/>
        </w:rPr>
        <w:t xml:space="preserve">increased </w:t>
      </w:r>
      <w:r>
        <w:rPr>
          <w:rFonts w:ascii="Segoe UI" w:hAnsi="Segoe UI" w:cs="Segoe UI"/>
          <w:color w:val="666666"/>
          <w:sz w:val="20"/>
          <w:szCs w:val="20"/>
        </w:rPr>
        <w:t xml:space="preserve">by </w:t>
      </w:r>
      <w:r w:rsidRPr="00DF655E">
        <w:rPr>
          <w:rFonts w:ascii="Segoe UI" w:hAnsi="Segoe UI" w:cs="Segoe UI"/>
          <w:color w:val="666666"/>
          <w:sz w:val="20"/>
          <w:szCs w:val="20"/>
        </w:rPr>
        <w:t>$</w:t>
      </w:r>
      <w:r>
        <w:rPr>
          <w:rFonts w:ascii="Segoe UI" w:hAnsi="Segoe UI" w:cs="Segoe UI"/>
          <w:color w:val="666666"/>
          <w:sz w:val="20"/>
          <w:szCs w:val="20"/>
        </w:rPr>
        <w:t xml:space="preserve">382 million.  Additionally, NDS contributed </w:t>
      </w:r>
      <w:r w:rsidRPr="00647AC7">
        <w:rPr>
          <w:rFonts w:ascii="Segoe UI" w:hAnsi="Segoe UI" w:cs="Segoe UI"/>
          <w:color w:val="666666"/>
          <w:sz w:val="20"/>
          <w:szCs w:val="20"/>
        </w:rPr>
        <w:t>$</w:t>
      </w:r>
      <w:r>
        <w:rPr>
          <w:rFonts w:ascii="Segoe UI" w:hAnsi="Segoe UI" w:cs="Segoe UI"/>
          <w:color w:val="666666"/>
          <w:sz w:val="20"/>
          <w:szCs w:val="20"/>
        </w:rPr>
        <w:t>1</w:t>
      </w:r>
      <w:r w:rsidRPr="00647AC7">
        <w:rPr>
          <w:rFonts w:ascii="Segoe UI" w:hAnsi="Segoe UI" w:cs="Segoe UI"/>
          <w:color w:val="666666"/>
          <w:sz w:val="20"/>
          <w:szCs w:val="20"/>
        </w:rPr>
        <w:t>.</w:t>
      </w:r>
      <w:r>
        <w:rPr>
          <w:rFonts w:ascii="Segoe UI" w:hAnsi="Segoe UI" w:cs="Segoe UI"/>
          <w:color w:val="666666"/>
          <w:sz w:val="20"/>
          <w:szCs w:val="20"/>
        </w:rPr>
        <w:t>99</w:t>
      </w:r>
      <w:r w:rsidRPr="0096006A">
        <w:rPr>
          <w:rFonts w:ascii="Segoe UI" w:hAnsi="Segoe UI" w:cs="Segoe UI"/>
          <w:color w:val="666666"/>
          <w:sz w:val="20"/>
          <w:szCs w:val="20"/>
        </w:rPr>
        <w:t xml:space="preserve"> billion </w:t>
      </w:r>
      <w:r>
        <w:rPr>
          <w:rFonts w:ascii="Segoe UI" w:hAnsi="Segoe UI" w:cs="Segoe UI"/>
          <w:color w:val="666666"/>
          <w:sz w:val="20"/>
          <w:szCs w:val="20"/>
        </w:rPr>
        <w:t>to current year revenue.</w:t>
      </w:r>
    </w:p>
    <w:p w14:paraId="2B113E23" w14:textId="27DC81E6" w:rsidR="00A60D91" w:rsidRPr="00CA404F" w:rsidRDefault="00A60D91" w:rsidP="00A60D91">
      <w:pPr>
        <w:spacing w:before="160" w:line="280" w:lineRule="exact"/>
        <w:jc w:val="both"/>
        <w:rPr>
          <w:rFonts w:ascii="Segoe UI" w:hAnsi="Segoe UI" w:cs="Segoe UI"/>
          <w:color w:val="666666"/>
          <w:sz w:val="20"/>
          <w:szCs w:val="20"/>
        </w:rPr>
      </w:pPr>
      <w:r>
        <w:rPr>
          <w:rFonts w:ascii="Segoe UI" w:hAnsi="Segoe UI" w:cs="Segoe UI"/>
          <w:color w:val="666666"/>
          <w:sz w:val="20"/>
          <w:szCs w:val="20"/>
        </w:rPr>
        <w:t>G</w:t>
      </w:r>
      <w:r w:rsidRPr="004A55C8">
        <w:rPr>
          <w:rFonts w:ascii="Segoe UI" w:hAnsi="Segoe UI" w:cs="Segoe UI"/>
          <w:color w:val="666666"/>
          <w:sz w:val="20"/>
          <w:szCs w:val="20"/>
        </w:rPr>
        <w:t xml:space="preserve">ross margin </w:t>
      </w:r>
      <w:r>
        <w:rPr>
          <w:rFonts w:ascii="Segoe UI" w:hAnsi="Segoe UI" w:cs="Segoe UI"/>
          <w:color w:val="666666"/>
          <w:sz w:val="20"/>
          <w:szCs w:val="20"/>
        </w:rPr>
        <w:t>was</w:t>
      </w:r>
      <w:r w:rsidRPr="004A55C8">
        <w:rPr>
          <w:rFonts w:ascii="Segoe UI" w:hAnsi="Segoe UI" w:cs="Segoe UI"/>
          <w:color w:val="666666"/>
          <w:sz w:val="20"/>
          <w:szCs w:val="20"/>
        </w:rPr>
        <w:t xml:space="preserve"> </w:t>
      </w:r>
      <w:r w:rsidRPr="00DF655E">
        <w:rPr>
          <w:rFonts w:ascii="Segoe UI" w:hAnsi="Segoe UI" w:cs="Segoe UI"/>
          <w:color w:val="666666"/>
          <w:sz w:val="20"/>
          <w:szCs w:val="20"/>
        </w:rPr>
        <w:t>$15.</w:t>
      </w:r>
      <w:r>
        <w:rPr>
          <w:rFonts w:ascii="Segoe UI" w:hAnsi="Segoe UI" w:cs="Segoe UI"/>
          <w:color w:val="666666"/>
          <w:sz w:val="20"/>
          <w:szCs w:val="20"/>
        </w:rPr>
        <w:t>79</w:t>
      </w:r>
      <w:r w:rsidRPr="004A55C8">
        <w:rPr>
          <w:rFonts w:ascii="Segoe UI" w:hAnsi="Segoe UI" w:cs="Segoe UI"/>
          <w:color w:val="666666"/>
          <w:sz w:val="20"/>
          <w:szCs w:val="20"/>
        </w:rPr>
        <w:t xml:space="preserve"> billion, up </w:t>
      </w:r>
      <w:r w:rsidRPr="00DF655E">
        <w:rPr>
          <w:rFonts w:ascii="Segoe UI" w:hAnsi="Segoe UI" w:cs="Segoe UI"/>
          <w:color w:val="666666"/>
          <w:sz w:val="20"/>
          <w:szCs w:val="20"/>
        </w:rPr>
        <w:t>10%</w:t>
      </w:r>
      <w:r w:rsidRPr="004A55C8">
        <w:rPr>
          <w:rFonts w:ascii="Segoe UI" w:hAnsi="Segoe UI" w:cs="Segoe UI"/>
          <w:color w:val="666666"/>
          <w:sz w:val="20"/>
          <w:szCs w:val="20"/>
        </w:rPr>
        <w:t xml:space="preserve"> year-over-year.  Non-GAAP gross margin grew </w:t>
      </w:r>
      <w:r w:rsidRPr="00DF655E">
        <w:rPr>
          <w:rFonts w:ascii="Segoe UI" w:hAnsi="Segoe UI" w:cs="Segoe UI"/>
          <w:color w:val="666666"/>
          <w:sz w:val="20"/>
          <w:szCs w:val="20"/>
        </w:rPr>
        <w:t>17%</w:t>
      </w:r>
      <w:r>
        <w:rPr>
          <w:rFonts w:ascii="Segoe UI" w:hAnsi="Segoe UI" w:cs="Segoe UI"/>
          <w:color w:val="666666"/>
          <w:sz w:val="20"/>
          <w:szCs w:val="20"/>
        </w:rPr>
        <w:t>.  As described in the Noted Items table, prior</w:t>
      </w:r>
      <w:r w:rsidRPr="004A55C8">
        <w:rPr>
          <w:rFonts w:ascii="Segoe UI" w:hAnsi="Segoe UI" w:cs="Segoe UI"/>
          <w:color w:val="666666"/>
          <w:sz w:val="20"/>
          <w:szCs w:val="20"/>
        </w:rPr>
        <w:t xml:space="preserve"> year gross </w:t>
      </w:r>
      <w:r w:rsidRPr="00B565A7">
        <w:rPr>
          <w:rFonts w:ascii="Segoe UI" w:hAnsi="Segoe UI" w:cs="Segoe UI"/>
          <w:color w:val="666666"/>
          <w:sz w:val="20"/>
          <w:szCs w:val="20"/>
        </w:rPr>
        <w:t xml:space="preserve">margin </w:t>
      </w:r>
      <w:r>
        <w:rPr>
          <w:rFonts w:ascii="Segoe UI" w:hAnsi="Segoe UI" w:cs="Segoe UI"/>
          <w:color w:val="666666"/>
          <w:sz w:val="20"/>
          <w:szCs w:val="20"/>
        </w:rPr>
        <w:t xml:space="preserve">was </w:t>
      </w:r>
      <w:r w:rsidR="0038552D">
        <w:rPr>
          <w:rFonts w:ascii="Segoe UI" w:hAnsi="Segoe UI" w:cs="Segoe UI"/>
          <w:color w:val="666666"/>
          <w:sz w:val="20"/>
          <w:szCs w:val="20"/>
        </w:rPr>
        <w:t xml:space="preserve">decreased </w:t>
      </w:r>
      <w:r>
        <w:rPr>
          <w:rFonts w:ascii="Segoe UI" w:hAnsi="Segoe UI" w:cs="Segoe UI"/>
          <w:color w:val="666666"/>
          <w:sz w:val="20"/>
          <w:szCs w:val="20"/>
        </w:rPr>
        <w:t>by</w:t>
      </w:r>
      <w:r w:rsidRPr="00B565A7">
        <w:rPr>
          <w:rFonts w:ascii="Segoe UI" w:hAnsi="Segoe UI" w:cs="Segoe UI"/>
          <w:color w:val="666666"/>
          <w:sz w:val="20"/>
          <w:szCs w:val="20"/>
        </w:rPr>
        <w:t xml:space="preserve"> $900</w:t>
      </w:r>
      <w:r>
        <w:rPr>
          <w:rFonts w:ascii="Segoe UI" w:hAnsi="Segoe UI" w:cs="Segoe UI"/>
          <w:color w:val="666666"/>
          <w:sz w:val="20"/>
          <w:szCs w:val="20"/>
        </w:rPr>
        <w:t xml:space="preserve"> million and current year g</w:t>
      </w:r>
      <w:r w:rsidRPr="004A55C8">
        <w:rPr>
          <w:rFonts w:ascii="Segoe UI" w:hAnsi="Segoe UI" w:cs="Segoe UI"/>
          <w:color w:val="666666"/>
          <w:sz w:val="20"/>
          <w:szCs w:val="20"/>
        </w:rPr>
        <w:t xml:space="preserve">ross margin </w:t>
      </w:r>
      <w:r>
        <w:rPr>
          <w:rFonts w:ascii="Segoe UI" w:hAnsi="Segoe UI" w:cs="Segoe UI"/>
          <w:color w:val="666666"/>
          <w:sz w:val="20"/>
          <w:szCs w:val="20"/>
        </w:rPr>
        <w:t xml:space="preserve">was </w:t>
      </w:r>
      <w:r w:rsidR="0038552D">
        <w:rPr>
          <w:rFonts w:ascii="Segoe UI" w:hAnsi="Segoe UI" w:cs="Segoe UI"/>
          <w:color w:val="666666"/>
          <w:sz w:val="20"/>
          <w:szCs w:val="20"/>
        </w:rPr>
        <w:t xml:space="preserve">increased </w:t>
      </w:r>
      <w:r>
        <w:rPr>
          <w:rFonts w:ascii="Segoe UI" w:hAnsi="Segoe UI" w:cs="Segoe UI"/>
          <w:color w:val="666666"/>
          <w:sz w:val="20"/>
          <w:szCs w:val="20"/>
        </w:rPr>
        <w:t xml:space="preserve">by </w:t>
      </w:r>
      <w:r w:rsidRPr="00DF655E">
        <w:rPr>
          <w:rFonts w:ascii="Segoe UI" w:hAnsi="Segoe UI" w:cs="Segoe UI"/>
          <w:color w:val="666666"/>
          <w:sz w:val="20"/>
          <w:szCs w:val="20"/>
        </w:rPr>
        <w:t>$</w:t>
      </w:r>
      <w:r>
        <w:rPr>
          <w:rFonts w:ascii="Segoe UI" w:hAnsi="Segoe UI" w:cs="Segoe UI"/>
          <w:color w:val="666666"/>
          <w:sz w:val="20"/>
          <w:szCs w:val="20"/>
        </w:rPr>
        <w:t xml:space="preserve">382 million.  Additionally, NDS contributed </w:t>
      </w:r>
      <w:r w:rsidRPr="00DF655E">
        <w:rPr>
          <w:rFonts w:ascii="Segoe UI" w:hAnsi="Segoe UI" w:cs="Segoe UI"/>
          <w:color w:val="666666"/>
          <w:sz w:val="20"/>
          <w:szCs w:val="20"/>
        </w:rPr>
        <w:t>$54</w:t>
      </w:r>
      <w:r w:rsidRPr="004A55C8">
        <w:rPr>
          <w:rFonts w:ascii="Segoe UI" w:hAnsi="Segoe UI" w:cs="Segoe UI"/>
          <w:color w:val="666666"/>
          <w:sz w:val="20"/>
          <w:szCs w:val="20"/>
        </w:rPr>
        <w:t xml:space="preserve"> million </w:t>
      </w:r>
      <w:r>
        <w:rPr>
          <w:rFonts w:ascii="Segoe UI" w:hAnsi="Segoe UI" w:cs="Segoe UI"/>
          <w:color w:val="666666"/>
          <w:sz w:val="20"/>
          <w:szCs w:val="20"/>
        </w:rPr>
        <w:t>to current year gross margin</w:t>
      </w:r>
      <w:r w:rsidRPr="00CA404F">
        <w:rPr>
          <w:rFonts w:ascii="Segoe UI" w:hAnsi="Segoe UI" w:cs="Segoe UI"/>
          <w:color w:val="666666"/>
          <w:sz w:val="20"/>
          <w:szCs w:val="20"/>
        </w:rPr>
        <w:t>.</w:t>
      </w:r>
    </w:p>
    <w:p w14:paraId="4F899EB4" w14:textId="3E08E67B" w:rsidR="00A60D91" w:rsidRPr="00CA404F" w:rsidRDefault="00A60D91" w:rsidP="00A60D91">
      <w:pPr>
        <w:pStyle w:val="NormalWeb"/>
        <w:spacing w:before="160" w:beforeAutospacing="0" w:after="160" w:afterAutospacing="0"/>
        <w:rPr>
          <w:rFonts w:ascii="Segoe UI" w:eastAsia="Calibri" w:hAnsi="Segoe UI" w:cs="Segoe UI"/>
          <w:color w:val="666666"/>
          <w:sz w:val="20"/>
          <w:szCs w:val="20"/>
        </w:rPr>
      </w:pPr>
      <w:r w:rsidRPr="004A55C8">
        <w:rPr>
          <w:rFonts w:ascii="Segoe UI" w:eastAsia="Calibri" w:hAnsi="Segoe UI" w:cs="Segoe UI"/>
          <w:color w:val="666666"/>
          <w:sz w:val="20"/>
          <w:szCs w:val="20"/>
        </w:rPr>
        <w:t xml:space="preserve">Operating income was </w:t>
      </w:r>
      <w:r w:rsidRPr="00DF655E">
        <w:rPr>
          <w:rFonts w:ascii="Segoe UI" w:eastAsia="Calibri" w:hAnsi="Segoe UI" w:cs="Segoe UI"/>
          <w:color w:val="666666"/>
          <w:sz w:val="20"/>
          <w:szCs w:val="20"/>
        </w:rPr>
        <w:t>$6.</w:t>
      </w:r>
      <w:r>
        <w:rPr>
          <w:rFonts w:ascii="Segoe UI" w:eastAsia="Calibri" w:hAnsi="Segoe UI" w:cs="Segoe UI"/>
          <w:color w:val="666666"/>
          <w:sz w:val="20"/>
          <w:szCs w:val="20"/>
        </w:rPr>
        <w:t>48</w:t>
      </w:r>
      <w:r w:rsidRPr="004A55C8">
        <w:rPr>
          <w:rFonts w:ascii="Segoe UI" w:eastAsia="Calibri" w:hAnsi="Segoe UI" w:cs="Segoe UI"/>
          <w:color w:val="666666"/>
          <w:sz w:val="20"/>
          <w:szCs w:val="20"/>
        </w:rPr>
        <w:t xml:space="preserve"> billion, up </w:t>
      </w:r>
      <w:r w:rsidRPr="00DF655E">
        <w:rPr>
          <w:rFonts w:ascii="Segoe UI" w:eastAsia="Calibri" w:hAnsi="Segoe UI" w:cs="Segoe UI"/>
          <w:color w:val="666666"/>
          <w:sz w:val="20"/>
          <w:szCs w:val="20"/>
        </w:rPr>
        <w:t>7%</w:t>
      </w:r>
      <w:r w:rsidRPr="004A55C8">
        <w:rPr>
          <w:rFonts w:ascii="Segoe UI" w:eastAsia="Calibri" w:hAnsi="Segoe UI" w:cs="Segoe UI"/>
          <w:color w:val="666666"/>
          <w:sz w:val="20"/>
          <w:szCs w:val="20"/>
        </w:rPr>
        <w:t xml:space="preserve"> year-over-year.  </w:t>
      </w:r>
      <w:r w:rsidRPr="00DF655E">
        <w:rPr>
          <w:rFonts w:ascii="Segoe UI" w:eastAsia="Calibri" w:hAnsi="Segoe UI" w:cs="Segoe UI"/>
          <w:color w:val="666666"/>
          <w:sz w:val="20"/>
          <w:szCs w:val="20"/>
        </w:rPr>
        <w:t>Non-GAAP operating income grew 23%</w:t>
      </w:r>
      <w:r>
        <w:rPr>
          <w:rFonts w:ascii="Segoe UI" w:eastAsia="Calibri" w:hAnsi="Segoe UI" w:cs="Segoe UI"/>
          <w:color w:val="666666"/>
          <w:sz w:val="20"/>
          <w:szCs w:val="20"/>
        </w:rPr>
        <w:t xml:space="preserve">.  </w:t>
      </w:r>
      <w:r>
        <w:rPr>
          <w:rFonts w:ascii="Segoe UI" w:hAnsi="Segoe UI" w:cs="Segoe UI"/>
          <w:color w:val="666666"/>
          <w:sz w:val="20"/>
          <w:szCs w:val="20"/>
        </w:rPr>
        <w:t xml:space="preserve">As described in the Noted Items table, prior year operating income </w:t>
      </w:r>
      <w:r>
        <w:rPr>
          <w:rFonts w:ascii="Segoe UI" w:eastAsia="Calibri" w:hAnsi="Segoe UI" w:cs="Segoe UI"/>
          <w:color w:val="666666"/>
          <w:sz w:val="20"/>
          <w:szCs w:val="20"/>
        </w:rPr>
        <w:t xml:space="preserve">was </w:t>
      </w:r>
      <w:r w:rsidR="0038552D">
        <w:rPr>
          <w:rFonts w:ascii="Segoe UI" w:eastAsia="Calibri" w:hAnsi="Segoe UI" w:cs="Segoe UI"/>
          <w:color w:val="666666"/>
          <w:sz w:val="20"/>
          <w:szCs w:val="20"/>
        </w:rPr>
        <w:t xml:space="preserve">decreased </w:t>
      </w:r>
      <w:r>
        <w:rPr>
          <w:rFonts w:ascii="Segoe UI" w:eastAsia="Calibri" w:hAnsi="Segoe UI" w:cs="Segoe UI"/>
          <w:color w:val="666666"/>
          <w:sz w:val="20"/>
          <w:szCs w:val="20"/>
        </w:rPr>
        <w:t xml:space="preserve">by </w:t>
      </w:r>
      <w:r w:rsidRPr="00B565A7">
        <w:rPr>
          <w:rFonts w:ascii="Segoe UI" w:eastAsia="Calibri" w:hAnsi="Segoe UI" w:cs="Segoe UI"/>
          <w:color w:val="666666"/>
          <w:sz w:val="20"/>
          <w:szCs w:val="20"/>
        </w:rPr>
        <w:t>$900</w:t>
      </w:r>
      <w:r>
        <w:rPr>
          <w:rFonts w:ascii="Segoe UI" w:eastAsia="Calibri" w:hAnsi="Segoe UI" w:cs="Segoe UI"/>
          <w:color w:val="666666"/>
          <w:sz w:val="20"/>
          <w:szCs w:val="20"/>
        </w:rPr>
        <w:t xml:space="preserve"> million and current year o</w:t>
      </w:r>
      <w:r w:rsidRPr="00DF655E">
        <w:rPr>
          <w:rFonts w:ascii="Segoe UI" w:eastAsia="Calibri" w:hAnsi="Segoe UI" w:cs="Segoe UI"/>
          <w:color w:val="666666"/>
          <w:sz w:val="20"/>
          <w:szCs w:val="20"/>
        </w:rPr>
        <w:t xml:space="preserve">perating income </w:t>
      </w:r>
      <w:r>
        <w:rPr>
          <w:rFonts w:ascii="Segoe UI" w:eastAsia="Calibri" w:hAnsi="Segoe UI" w:cs="Segoe UI"/>
          <w:color w:val="666666"/>
          <w:sz w:val="20"/>
          <w:szCs w:val="20"/>
        </w:rPr>
        <w:t xml:space="preserve">was </w:t>
      </w:r>
      <w:r w:rsidR="0038552D">
        <w:rPr>
          <w:rFonts w:ascii="Segoe UI" w:eastAsia="Calibri" w:hAnsi="Segoe UI" w:cs="Segoe UI"/>
          <w:color w:val="666666"/>
          <w:sz w:val="20"/>
          <w:szCs w:val="20"/>
        </w:rPr>
        <w:t xml:space="preserve">increased </w:t>
      </w:r>
      <w:r>
        <w:rPr>
          <w:rFonts w:ascii="Segoe UI" w:eastAsia="Calibri" w:hAnsi="Segoe UI" w:cs="Segoe UI"/>
          <w:color w:val="666666"/>
          <w:sz w:val="20"/>
          <w:szCs w:val="20"/>
        </w:rPr>
        <w:t>by $25</w:t>
      </w:r>
      <w:r w:rsidR="00532D90">
        <w:rPr>
          <w:rFonts w:ascii="Segoe UI" w:eastAsia="Calibri" w:hAnsi="Segoe UI" w:cs="Segoe UI"/>
          <w:color w:val="666666"/>
          <w:sz w:val="20"/>
          <w:szCs w:val="20"/>
        </w:rPr>
        <w:t>5</w:t>
      </w:r>
      <w:r>
        <w:rPr>
          <w:rFonts w:ascii="Segoe UI" w:eastAsia="Calibri" w:hAnsi="Segoe UI" w:cs="Segoe UI"/>
          <w:color w:val="666666"/>
          <w:sz w:val="20"/>
          <w:szCs w:val="20"/>
        </w:rPr>
        <w:t xml:space="preserve"> million.  Additionally, NDS contributed </w:t>
      </w:r>
      <w:r w:rsidRPr="00DF655E">
        <w:rPr>
          <w:rFonts w:ascii="Segoe UI" w:eastAsia="Calibri" w:hAnsi="Segoe UI" w:cs="Segoe UI"/>
          <w:color w:val="666666"/>
          <w:sz w:val="20"/>
          <w:szCs w:val="20"/>
        </w:rPr>
        <w:t xml:space="preserve">$(692) million </w:t>
      </w:r>
      <w:r>
        <w:rPr>
          <w:rFonts w:ascii="Segoe UI" w:eastAsia="Calibri" w:hAnsi="Segoe UI" w:cs="Segoe UI"/>
          <w:color w:val="666666"/>
          <w:sz w:val="20"/>
          <w:szCs w:val="20"/>
        </w:rPr>
        <w:t>to current year operating income</w:t>
      </w:r>
      <w:r w:rsidRPr="00DF655E">
        <w:rPr>
          <w:rFonts w:ascii="Segoe UI" w:eastAsia="Calibri" w:hAnsi="Segoe UI" w:cs="Segoe UI"/>
          <w:color w:val="666666"/>
          <w:sz w:val="20"/>
          <w:szCs w:val="20"/>
        </w:rPr>
        <w:t>.</w:t>
      </w:r>
      <w:r w:rsidRPr="00CA404F">
        <w:rPr>
          <w:rFonts w:ascii="Segoe UI" w:eastAsia="Calibri" w:hAnsi="Segoe UI" w:cs="Segoe UI"/>
          <w:color w:val="666666"/>
          <w:sz w:val="20"/>
          <w:szCs w:val="20"/>
        </w:rPr>
        <w:t xml:space="preserve"> </w:t>
      </w:r>
    </w:p>
    <w:p w14:paraId="6D9A3EFF" w14:textId="3BC8324A" w:rsidR="00A60D91" w:rsidRPr="00CA404F" w:rsidRDefault="00A60D91" w:rsidP="00A60D91">
      <w:pPr>
        <w:pStyle w:val="NormalWeb"/>
        <w:spacing w:before="160" w:beforeAutospacing="0" w:after="160" w:afterAutospacing="0"/>
        <w:rPr>
          <w:rFonts w:ascii="Segoe UI" w:eastAsia="Calibri" w:hAnsi="Segoe UI" w:cs="Segoe UI"/>
          <w:color w:val="666666"/>
          <w:sz w:val="20"/>
          <w:szCs w:val="20"/>
        </w:rPr>
      </w:pPr>
      <w:r w:rsidRPr="004A55C8">
        <w:rPr>
          <w:rFonts w:ascii="Segoe UI" w:hAnsi="Segoe UI" w:cs="Segoe UI"/>
          <w:color w:val="666666"/>
          <w:sz w:val="20"/>
          <w:szCs w:val="20"/>
        </w:rPr>
        <w:t>D</w:t>
      </w:r>
      <w:r w:rsidRPr="004A55C8">
        <w:rPr>
          <w:rFonts w:ascii="Segoe UI" w:eastAsia="Calibri" w:hAnsi="Segoe UI" w:cs="Segoe UI"/>
          <w:color w:val="666666"/>
          <w:sz w:val="20"/>
          <w:szCs w:val="20"/>
        </w:rPr>
        <w:t xml:space="preserve">iluted </w:t>
      </w:r>
      <w:r>
        <w:rPr>
          <w:rFonts w:ascii="Segoe UI" w:eastAsia="Calibri" w:hAnsi="Segoe UI" w:cs="Segoe UI"/>
          <w:color w:val="666666"/>
          <w:sz w:val="20"/>
          <w:szCs w:val="20"/>
        </w:rPr>
        <w:t xml:space="preserve">EPS </w:t>
      </w:r>
      <w:r w:rsidRPr="004A55C8">
        <w:rPr>
          <w:rFonts w:ascii="Segoe UI" w:eastAsia="Calibri" w:hAnsi="Segoe UI" w:cs="Segoe UI"/>
          <w:color w:val="666666"/>
          <w:sz w:val="20"/>
          <w:szCs w:val="20"/>
        </w:rPr>
        <w:t xml:space="preserve">was </w:t>
      </w:r>
      <w:r w:rsidRPr="00DF655E">
        <w:rPr>
          <w:rFonts w:ascii="Segoe UI" w:eastAsia="Calibri" w:hAnsi="Segoe UI" w:cs="Segoe UI"/>
          <w:color w:val="666666"/>
          <w:sz w:val="20"/>
          <w:szCs w:val="20"/>
        </w:rPr>
        <w:t>$0.55</w:t>
      </w:r>
      <w:r w:rsidRPr="004A55C8">
        <w:rPr>
          <w:rFonts w:ascii="Segoe UI" w:eastAsia="Calibri" w:hAnsi="Segoe UI" w:cs="Segoe UI"/>
          <w:color w:val="666666"/>
          <w:sz w:val="20"/>
          <w:szCs w:val="20"/>
        </w:rPr>
        <w:t xml:space="preserve">, down </w:t>
      </w:r>
      <w:r w:rsidRPr="00DF655E">
        <w:rPr>
          <w:rFonts w:ascii="Segoe UI" w:eastAsia="Calibri" w:hAnsi="Segoe UI" w:cs="Segoe UI"/>
          <w:color w:val="666666"/>
          <w:sz w:val="20"/>
          <w:szCs w:val="20"/>
        </w:rPr>
        <w:t>7%</w:t>
      </w:r>
      <w:r w:rsidRPr="004A55C8">
        <w:rPr>
          <w:rFonts w:ascii="Segoe UI" w:eastAsia="Calibri" w:hAnsi="Segoe UI" w:cs="Segoe UI"/>
          <w:color w:val="666666"/>
          <w:sz w:val="20"/>
          <w:szCs w:val="20"/>
        </w:rPr>
        <w:t xml:space="preserve"> year-over-year.  </w:t>
      </w:r>
      <w:r w:rsidRPr="00DF655E">
        <w:rPr>
          <w:rFonts w:ascii="Segoe UI" w:eastAsia="Calibri" w:hAnsi="Segoe UI" w:cs="Segoe UI"/>
          <w:color w:val="666666"/>
          <w:sz w:val="20"/>
          <w:szCs w:val="20"/>
        </w:rPr>
        <w:t xml:space="preserve">Non-GAAP diluted </w:t>
      </w:r>
      <w:r>
        <w:rPr>
          <w:rFonts w:ascii="Segoe UI" w:eastAsia="Calibri" w:hAnsi="Segoe UI" w:cs="Segoe UI"/>
          <w:color w:val="666666"/>
          <w:sz w:val="20"/>
          <w:szCs w:val="20"/>
        </w:rPr>
        <w:t>EPS</w:t>
      </w:r>
      <w:r w:rsidRPr="00DF655E">
        <w:rPr>
          <w:rFonts w:ascii="Segoe UI" w:eastAsia="Calibri" w:hAnsi="Segoe UI" w:cs="Segoe UI"/>
          <w:color w:val="666666"/>
          <w:sz w:val="20"/>
          <w:szCs w:val="20"/>
        </w:rPr>
        <w:t xml:space="preserve"> grew 6%</w:t>
      </w:r>
      <w:r>
        <w:rPr>
          <w:rFonts w:ascii="Segoe UI" w:eastAsia="Calibri" w:hAnsi="Segoe UI" w:cs="Segoe UI"/>
          <w:color w:val="666666"/>
          <w:sz w:val="20"/>
          <w:szCs w:val="20"/>
        </w:rPr>
        <w:t xml:space="preserve">.  </w:t>
      </w:r>
      <w:r>
        <w:rPr>
          <w:rFonts w:ascii="Segoe UI" w:hAnsi="Segoe UI" w:cs="Segoe UI"/>
          <w:color w:val="666666"/>
          <w:sz w:val="20"/>
          <w:szCs w:val="20"/>
        </w:rPr>
        <w:t xml:space="preserve">As described in the Noted Items table, prior year diluted EPS was </w:t>
      </w:r>
      <w:r w:rsidR="0038552D">
        <w:rPr>
          <w:rFonts w:ascii="Segoe UI" w:hAnsi="Segoe UI" w:cs="Segoe UI"/>
          <w:color w:val="666666"/>
          <w:sz w:val="20"/>
          <w:szCs w:val="20"/>
        </w:rPr>
        <w:t xml:space="preserve">decreased </w:t>
      </w:r>
      <w:r>
        <w:rPr>
          <w:rFonts w:ascii="Segoe UI" w:hAnsi="Segoe UI" w:cs="Segoe UI"/>
          <w:color w:val="666666"/>
          <w:sz w:val="20"/>
          <w:szCs w:val="20"/>
        </w:rPr>
        <w:t xml:space="preserve">by </w:t>
      </w:r>
      <w:r w:rsidRPr="00B565A7">
        <w:rPr>
          <w:rFonts w:ascii="Segoe UI" w:eastAsia="Calibri" w:hAnsi="Segoe UI" w:cs="Segoe UI"/>
          <w:color w:val="666666"/>
          <w:sz w:val="20"/>
          <w:szCs w:val="20"/>
        </w:rPr>
        <w:t>$</w:t>
      </w:r>
      <w:r>
        <w:rPr>
          <w:rFonts w:ascii="Segoe UI" w:eastAsia="Calibri" w:hAnsi="Segoe UI" w:cs="Segoe UI"/>
          <w:color w:val="666666"/>
          <w:sz w:val="20"/>
          <w:szCs w:val="20"/>
        </w:rPr>
        <w:t>0.07 and current year d</w:t>
      </w:r>
      <w:r w:rsidRPr="00DF655E">
        <w:rPr>
          <w:rFonts w:ascii="Segoe UI" w:eastAsia="Calibri" w:hAnsi="Segoe UI" w:cs="Segoe UI"/>
          <w:color w:val="666666"/>
          <w:sz w:val="20"/>
          <w:szCs w:val="20"/>
        </w:rPr>
        <w:t xml:space="preserve">iluted </w:t>
      </w:r>
      <w:r>
        <w:rPr>
          <w:rFonts w:ascii="Segoe UI" w:eastAsia="Calibri" w:hAnsi="Segoe UI" w:cs="Segoe UI"/>
          <w:color w:val="666666"/>
          <w:sz w:val="20"/>
          <w:szCs w:val="20"/>
        </w:rPr>
        <w:t xml:space="preserve">EPS was </w:t>
      </w:r>
      <w:r w:rsidR="0038552D">
        <w:rPr>
          <w:rFonts w:ascii="Segoe UI" w:eastAsia="Calibri" w:hAnsi="Segoe UI" w:cs="Segoe UI"/>
          <w:color w:val="666666"/>
          <w:sz w:val="20"/>
          <w:szCs w:val="20"/>
        </w:rPr>
        <w:t xml:space="preserve">decreased </w:t>
      </w:r>
      <w:r>
        <w:rPr>
          <w:rFonts w:ascii="Segoe UI" w:eastAsia="Calibri" w:hAnsi="Segoe UI" w:cs="Segoe UI"/>
          <w:color w:val="666666"/>
          <w:sz w:val="20"/>
          <w:szCs w:val="20"/>
        </w:rPr>
        <w:t>by $</w:t>
      </w:r>
      <w:r w:rsidRPr="00DF655E">
        <w:rPr>
          <w:rFonts w:ascii="Segoe UI" w:eastAsia="Calibri" w:hAnsi="Segoe UI" w:cs="Segoe UI"/>
          <w:color w:val="666666"/>
          <w:sz w:val="20"/>
          <w:szCs w:val="20"/>
        </w:rPr>
        <w:t>0.</w:t>
      </w:r>
      <w:r>
        <w:rPr>
          <w:rFonts w:ascii="Segoe UI" w:eastAsia="Calibri" w:hAnsi="Segoe UI" w:cs="Segoe UI"/>
          <w:color w:val="666666"/>
          <w:sz w:val="20"/>
          <w:szCs w:val="20"/>
        </w:rPr>
        <w:t xml:space="preserve">03.  Additionally, NDS contributed </w:t>
      </w:r>
      <w:r w:rsidRPr="00DF655E">
        <w:rPr>
          <w:rFonts w:ascii="Segoe UI" w:eastAsia="Calibri" w:hAnsi="Segoe UI" w:cs="Segoe UI"/>
          <w:color w:val="666666"/>
          <w:sz w:val="20"/>
          <w:szCs w:val="20"/>
        </w:rPr>
        <w:t xml:space="preserve">$(0.08) </w:t>
      </w:r>
      <w:r>
        <w:rPr>
          <w:rFonts w:ascii="Segoe UI" w:eastAsia="Calibri" w:hAnsi="Segoe UI" w:cs="Segoe UI"/>
          <w:color w:val="666666"/>
          <w:sz w:val="20"/>
          <w:szCs w:val="20"/>
        </w:rPr>
        <w:t>to current year diluted EPS</w:t>
      </w:r>
      <w:r w:rsidRPr="00DF655E">
        <w:rPr>
          <w:rFonts w:ascii="Segoe UI" w:eastAsia="Calibri" w:hAnsi="Segoe UI" w:cs="Segoe UI"/>
          <w:color w:val="666666"/>
          <w:sz w:val="20"/>
          <w:szCs w:val="20"/>
        </w:rPr>
        <w:t>.</w:t>
      </w:r>
    </w:p>
    <w:p w14:paraId="516FB426" w14:textId="77777777" w:rsidR="00A60D91" w:rsidRPr="004A55C8" w:rsidRDefault="00A60D91" w:rsidP="00A60D91">
      <w:pPr>
        <w:pStyle w:val="NormalWeb"/>
        <w:keepNext/>
        <w:spacing w:before="160" w:beforeAutospacing="0" w:after="160" w:afterAutospacing="0"/>
        <w:rPr>
          <w:rFonts w:ascii="Segoe UI" w:hAnsi="Segoe UI" w:cs="Segoe UI"/>
          <w:b/>
          <w:bCs/>
          <w:color w:val="666666"/>
          <w:sz w:val="20"/>
          <w:szCs w:val="20"/>
        </w:rPr>
      </w:pPr>
      <w:r w:rsidRPr="004A55C8">
        <w:rPr>
          <w:rFonts w:ascii="Segoe UI" w:hAnsi="Segoe UI" w:cs="Segoe UI"/>
          <w:b/>
          <w:bCs/>
          <w:color w:val="666666"/>
          <w:sz w:val="20"/>
          <w:szCs w:val="20"/>
        </w:rPr>
        <w:t>SEGMENT INFORMATION</w:t>
      </w:r>
    </w:p>
    <w:p w14:paraId="455EE4DB" w14:textId="425BCA85" w:rsidR="00A60D91" w:rsidRPr="004A55C8" w:rsidRDefault="00A60D91" w:rsidP="00A60D91">
      <w:pPr>
        <w:pStyle w:val="NormalWeb"/>
        <w:keepNext/>
        <w:spacing w:before="160" w:beforeAutospacing="0" w:after="160" w:afterAutospacing="0"/>
        <w:rPr>
          <w:rFonts w:ascii="Segoe UI" w:hAnsi="Segoe UI" w:cs="Segoe UI"/>
          <w:b/>
          <w:bCs/>
          <w:color w:val="666666"/>
          <w:sz w:val="20"/>
          <w:szCs w:val="20"/>
          <w:u w:val="single"/>
        </w:rPr>
      </w:pPr>
      <w:r w:rsidRPr="004A55C8">
        <w:rPr>
          <w:rFonts w:ascii="Segoe UI" w:hAnsi="Segoe UI" w:cs="Segoe UI"/>
          <w:b/>
          <w:bCs/>
          <w:color w:val="666666"/>
          <w:sz w:val="20"/>
          <w:szCs w:val="20"/>
          <w:u w:val="single"/>
        </w:rPr>
        <w:t>Devices and Consumer</w:t>
      </w:r>
      <w:r w:rsidR="000B7B26">
        <w:rPr>
          <w:rFonts w:ascii="Segoe UI" w:hAnsi="Segoe UI" w:cs="Segoe UI"/>
          <w:b/>
          <w:bCs/>
          <w:color w:val="666666"/>
          <w:sz w:val="20"/>
          <w:szCs w:val="20"/>
          <w:u w:val="single"/>
        </w:rPr>
        <w:t xml:space="preserve"> (“D&amp;C”)</w:t>
      </w:r>
    </w:p>
    <w:p w14:paraId="647E713C" w14:textId="3386811B" w:rsidR="00A60D91" w:rsidRPr="001805B3" w:rsidRDefault="00A60D91" w:rsidP="00A60D91">
      <w:pPr>
        <w:pStyle w:val="NormalWeb"/>
        <w:spacing w:before="160" w:beforeAutospacing="0" w:after="160" w:afterAutospacing="0"/>
        <w:rPr>
          <w:rFonts w:ascii="Segoe UI" w:hAnsi="Segoe UI" w:cs="Segoe UI"/>
          <w:color w:val="666666"/>
          <w:sz w:val="20"/>
          <w:szCs w:val="20"/>
        </w:rPr>
      </w:pPr>
      <w:r w:rsidRPr="004A55C8">
        <w:rPr>
          <w:rFonts w:ascii="Segoe UI" w:hAnsi="Segoe UI" w:cs="Segoe UI"/>
          <w:color w:val="666666"/>
          <w:sz w:val="20"/>
          <w:szCs w:val="20"/>
        </w:rPr>
        <w:t xml:space="preserve">Total D&amp;C revenue </w:t>
      </w:r>
      <w:r w:rsidRPr="001805B3">
        <w:rPr>
          <w:rFonts w:ascii="Segoe UI" w:hAnsi="Segoe UI" w:cs="Segoe UI"/>
          <w:color w:val="666666"/>
          <w:sz w:val="20"/>
          <w:szCs w:val="20"/>
        </w:rPr>
        <w:t>increased $</w:t>
      </w:r>
      <w:r>
        <w:rPr>
          <w:rFonts w:ascii="Segoe UI" w:hAnsi="Segoe UI" w:cs="Segoe UI"/>
          <w:color w:val="666666"/>
          <w:sz w:val="20"/>
          <w:szCs w:val="20"/>
        </w:rPr>
        <w:t>2</w:t>
      </w:r>
      <w:r w:rsidRPr="001805B3">
        <w:rPr>
          <w:rFonts w:ascii="Segoe UI" w:hAnsi="Segoe UI" w:cs="Segoe UI"/>
          <w:color w:val="666666"/>
          <w:sz w:val="20"/>
          <w:szCs w:val="20"/>
        </w:rPr>
        <w:t>.</w:t>
      </w:r>
      <w:r>
        <w:rPr>
          <w:rFonts w:ascii="Segoe UI" w:hAnsi="Segoe UI" w:cs="Segoe UI"/>
          <w:color w:val="666666"/>
          <w:sz w:val="20"/>
          <w:szCs w:val="20"/>
        </w:rPr>
        <w:t>98</w:t>
      </w:r>
      <w:r w:rsidRPr="001805B3">
        <w:rPr>
          <w:rFonts w:ascii="Segoe UI" w:hAnsi="Segoe UI" w:cs="Segoe UI"/>
          <w:color w:val="666666"/>
          <w:sz w:val="20"/>
          <w:szCs w:val="20"/>
        </w:rPr>
        <w:t xml:space="preserve"> billion or 4</w:t>
      </w:r>
      <w:r>
        <w:rPr>
          <w:rFonts w:ascii="Segoe UI" w:hAnsi="Segoe UI" w:cs="Segoe UI"/>
          <w:color w:val="666666"/>
          <w:sz w:val="20"/>
          <w:szCs w:val="20"/>
        </w:rPr>
        <w:t>2</w:t>
      </w:r>
      <w:r w:rsidRPr="001805B3">
        <w:rPr>
          <w:rFonts w:ascii="Segoe UI" w:hAnsi="Segoe UI" w:cs="Segoe UI"/>
          <w:color w:val="666666"/>
          <w:sz w:val="20"/>
          <w:szCs w:val="20"/>
        </w:rPr>
        <w:t>%</w:t>
      </w:r>
      <w:r w:rsidRPr="004A55C8">
        <w:rPr>
          <w:rFonts w:ascii="Segoe UI" w:hAnsi="Segoe UI" w:cs="Segoe UI"/>
          <w:color w:val="666666"/>
          <w:sz w:val="20"/>
          <w:szCs w:val="20"/>
        </w:rPr>
        <w:t xml:space="preserve">, including </w:t>
      </w:r>
      <w:r w:rsidRPr="001805B3">
        <w:rPr>
          <w:rFonts w:ascii="Segoe UI" w:hAnsi="Segoe UI" w:cs="Segoe UI"/>
          <w:color w:val="666666"/>
          <w:sz w:val="20"/>
          <w:szCs w:val="20"/>
        </w:rPr>
        <w:t>$</w:t>
      </w:r>
      <w:r>
        <w:rPr>
          <w:rFonts w:ascii="Segoe UI" w:hAnsi="Segoe UI" w:cs="Segoe UI"/>
          <w:color w:val="666666"/>
          <w:sz w:val="20"/>
          <w:szCs w:val="20"/>
        </w:rPr>
        <w:t>1</w:t>
      </w:r>
      <w:r w:rsidRPr="001805B3">
        <w:rPr>
          <w:rFonts w:ascii="Segoe UI" w:hAnsi="Segoe UI" w:cs="Segoe UI"/>
          <w:color w:val="666666"/>
          <w:sz w:val="20"/>
          <w:szCs w:val="20"/>
        </w:rPr>
        <w:t>.</w:t>
      </w:r>
      <w:r>
        <w:rPr>
          <w:rFonts w:ascii="Segoe UI" w:hAnsi="Segoe UI" w:cs="Segoe UI"/>
          <w:color w:val="666666"/>
          <w:sz w:val="20"/>
          <w:szCs w:val="20"/>
        </w:rPr>
        <w:t>99</w:t>
      </w:r>
      <w:r w:rsidRPr="004A55C8">
        <w:rPr>
          <w:rFonts w:ascii="Segoe UI" w:hAnsi="Segoe UI" w:cs="Segoe UI"/>
          <w:color w:val="666666"/>
          <w:sz w:val="20"/>
          <w:szCs w:val="20"/>
        </w:rPr>
        <w:t xml:space="preserve"> billion of Phone Hardware</w:t>
      </w:r>
      <w:r w:rsidRPr="00CA404F">
        <w:rPr>
          <w:rFonts w:ascii="Segoe UI" w:hAnsi="Segoe UI" w:cs="Segoe UI"/>
          <w:color w:val="666666"/>
          <w:sz w:val="20"/>
          <w:szCs w:val="20"/>
        </w:rPr>
        <w:t xml:space="preserve"> revenue </w:t>
      </w:r>
      <w:r>
        <w:rPr>
          <w:rFonts w:ascii="Segoe UI" w:hAnsi="Segoe UI" w:cs="Segoe UI"/>
          <w:color w:val="666666"/>
          <w:sz w:val="20"/>
          <w:szCs w:val="20"/>
        </w:rPr>
        <w:t xml:space="preserve">following the </w:t>
      </w:r>
      <w:r w:rsidRPr="004A55C8">
        <w:rPr>
          <w:rFonts w:ascii="Segoe UI" w:hAnsi="Segoe UI" w:cs="Segoe UI"/>
          <w:color w:val="666666"/>
          <w:sz w:val="20"/>
          <w:szCs w:val="20"/>
        </w:rPr>
        <w:t xml:space="preserve">completion of the NDS acquisition.  </w:t>
      </w:r>
      <w:r w:rsidRPr="001805B3">
        <w:rPr>
          <w:rFonts w:ascii="Segoe UI" w:hAnsi="Segoe UI" w:cs="Segoe UI"/>
          <w:color w:val="666666"/>
          <w:sz w:val="20"/>
          <w:szCs w:val="20"/>
        </w:rPr>
        <w:t>D&amp;C gross margin increased $1.3</w:t>
      </w:r>
      <w:r>
        <w:rPr>
          <w:rFonts w:ascii="Segoe UI" w:hAnsi="Segoe UI" w:cs="Segoe UI"/>
          <w:color w:val="666666"/>
          <w:sz w:val="20"/>
          <w:szCs w:val="20"/>
        </w:rPr>
        <w:t>2</w:t>
      </w:r>
      <w:r w:rsidRPr="001805B3">
        <w:rPr>
          <w:rFonts w:ascii="Segoe UI" w:hAnsi="Segoe UI" w:cs="Segoe UI"/>
          <w:color w:val="666666"/>
          <w:sz w:val="20"/>
          <w:szCs w:val="20"/>
        </w:rPr>
        <w:t xml:space="preserve"> billion or 37%</w:t>
      </w:r>
      <w:r>
        <w:rPr>
          <w:rFonts w:ascii="Segoe UI" w:hAnsi="Segoe UI" w:cs="Segoe UI"/>
          <w:color w:val="666666"/>
          <w:sz w:val="20"/>
          <w:szCs w:val="20"/>
        </w:rPr>
        <w:t xml:space="preserve"> over the prior year</w:t>
      </w:r>
      <w:r w:rsidR="005A4E1F">
        <w:rPr>
          <w:rFonts w:ascii="Segoe UI" w:hAnsi="Segoe UI" w:cs="Segoe UI"/>
          <w:color w:val="666666"/>
          <w:sz w:val="20"/>
          <w:szCs w:val="20"/>
        </w:rPr>
        <w:t>,</w:t>
      </w:r>
      <w:r>
        <w:rPr>
          <w:rFonts w:ascii="Segoe UI" w:hAnsi="Segoe UI" w:cs="Segoe UI"/>
          <w:color w:val="666666"/>
          <w:sz w:val="20"/>
          <w:szCs w:val="20"/>
        </w:rPr>
        <w:t xml:space="preserve"> which included </w:t>
      </w:r>
      <w:r w:rsidRPr="001B4DBD">
        <w:rPr>
          <w:rFonts w:ascii="Segoe UI" w:hAnsi="Segoe UI" w:cs="Segoe UI"/>
          <w:color w:val="666666"/>
          <w:sz w:val="20"/>
          <w:szCs w:val="20"/>
        </w:rPr>
        <w:t xml:space="preserve">the </w:t>
      </w:r>
      <w:r>
        <w:rPr>
          <w:rFonts w:ascii="Segoe UI" w:hAnsi="Segoe UI" w:cs="Segoe UI"/>
          <w:color w:val="666666"/>
          <w:sz w:val="20"/>
          <w:szCs w:val="20"/>
        </w:rPr>
        <w:t>Surface RT inventory adjustment charge</w:t>
      </w:r>
      <w:r w:rsidRPr="001B4DBD">
        <w:rPr>
          <w:rFonts w:ascii="Segoe UI" w:hAnsi="Segoe UI" w:cs="Segoe UI"/>
          <w:color w:val="666666"/>
          <w:sz w:val="20"/>
          <w:szCs w:val="20"/>
        </w:rPr>
        <w:t xml:space="preserve"> of approximately $900 million</w:t>
      </w:r>
      <w:r w:rsidRPr="00B511CD">
        <w:rPr>
          <w:rFonts w:ascii="Segoe UI" w:hAnsi="Segoe UI" w:cs="Segoe UI"/>
          <w:color w:val="666666"/>
          <w:sz w:val="20"/>
          <w:szCs w:val="20"/>
        </w:rPr>
        <w:t>.</w:t>
      </w:r>
    </w:p>
    <w:p w14:paraId="61CAF62B" w14:textId="77777777" w:rsidR="00A60D91" w:rsidRPr="00E675BE" w:rsidRDefault="00A60D91" w:rsidP="00A60D91">
      <w:pPr>
        <w:spacing w:before="160" w:line="280" w:lineRule="exact"/>
        <w:jc w:val="both"/>
        <w:rPr>
          <w:rFonts w:ascii="Segoe UI" w:hAnsi="Segoe UI" w:cs="Segoe UI"/>
          <w:b/>
          <w:i/>
          <w:color w:val="666666"/>
          <w:sz w:val="20"/>
          <w:szCs w:val="20"/>
        </w:rPr>
      </w:pPr>
      <w:r w:rsidRPr="00E675BE">
        <w:rPr>
          <w:rFonts w:ascii="Segoe UI" w:hAnsi="Segoe UI" w:cs="Segoe UI"/>
          <w:b/>
          <w:i/>
          <w:color w:val="666666"/>
          <w:sz w:val="20"/>
          <w:szCs w:val="20"/>
        </w:rPr>
        <w:t>D&amp;C Licensing</w:t>
      </w:r>
    </w:p>
    <w:p w14:paraId="4252B4A0" w14:textId="20D84E3F" w:rsidR="00A60D91" w:rsidRDefault="00A60D91" w:rsidP="00A60D91">
      <w:pPr>
        <w:pStyle w:val="NormalWeb"/>
        <w:spacing w:before="160" w:beforeAutospacing="0" w:after="160" w:afterAutospacing="0"/>
        <w:rPr>
          <w:rFonts w:ascii="Segoe UI" w:eastAsia="Calibri" w:hAnsi="Segoe UI" w:cs="Segoe UI"/>
          <w:color w:val="666666"/>
          <w:sz w:val="20"/>
          <w:szCs w:val="20"/>
        </w:rPr>
      </w:pPr>
      <w:r w:rsidRPr="00E675BE">
        <w:rPr>
          <w:rFonts w:ascii="Segoe UI" w:eastAsia="Calibri" w:hAnsi="Segoe UI" w:cs="Segoe UI"/>
          <w:color w:val="666666"/>
          <w:sz w:val="20"/>
          <w:szCs w:val="20"/>
        </w:rPr>
        <w:t xml:space="preserve">D&amp;C Licensing revenue increased </w:t>
      </w:r>
      <w:r w:rsidRPr="00111215">
        <w:rPr>
          <w:rFonts w:ascii="Segoe UI" w:eastAsia="Calibri" w:hAnsi="Segoe UI" w:cs="Segoe UI"/>
          <w:color w:val="666666"/>
          <w:sz w:val="20"/>
          <w:szCs w:val="20"/>
        </w:rPr>
        <w:t>$406</w:t>
      </w:r>
      <w:r w:rsidRPr="00E675BE">
        <w:rPr>
          <w:rFonts w:ascii="Segoe UI" w:eastAsia="Calibri" w:hAnsi="Segoe UI" w:cs="Segoe UI"/>
          <w:color w:val="666666"/>
          <w:sz w:val="20"/>
          <w:szCs w:val="20"/>
        </w:rPr>
        <w:t xml:space="preserve"> million or </w:t>
      </w:r>
      <w:r w:rsidRPr="00111215">
        <w:rPr>
          <w:rFonts w:ascii="Segoe UI" w:eastAsia="Calibri" w:hAnsi="Segoe UI" w:cs="Segoe UI"/>
          <w:color w:val="666666"/>
          <w:sz w:val="20"/>
          <w:szCs w:val="20"/>
        </w:rPr>
        <w:t>9%</w:t>
      </w:r>
      <w:r w:rsidRPr="00E675BE">
        <w:rPr>
          <w:rFonts w:ascii="Segoe UI" w:eastAsia="Calibri" w:hAnsi="Segoe UI" w:cs="Segoe UI"/>
          <w:color w:val="666666"/>
          <w:sz w:val="20"/>
          <w:szCs w:val="20"/>
        </w:rPr>
        <w:t xml:space="preserve">, due to </w:t>
      </w:r>
      <w:r>
        <w:rPr>
          <w:rFonts w:ascii="Segoe UI" w:eastAsia="Calibri" w:hAnsi="Segoe UI" w:cs="Segoe UI"/>
          <w:color w:val="666666"/>
          <w:sz w:val="20"/>
          <w:szCs w:val="20"/>
        </w:rPr>
        <w:t xml:space="preserve">the recognition of $382 million from the conclusion of the commercial agreement with Nokia and </w:t>
      </w:r>
      <w:r w:rsidRPr="00E675BE">
        <w:rPr>
          <w:rFonts w:ascii="Segoe UI" w:eastAsia="Calibri" w:hAnsi="Segoe UI" w:cs="Segoe UI"/>
          <w:color w:val="666666"/>
          <w:sz w:val="20"/>
          <w:szCs w:val="20"/>
        </w:rPr>
        <w:t>higher revenue from Office</w:t>
      </w:r>
      <w:r>
        <w:rPr>
          <w:rFonts w:ascii="Segoe UI" w:eastAsia="Calibri" w:hAnsi="Segoe UI" w:cs="Segoe UI"/>
          <w:color w:val="666666"/>
          <w:sz w:val="20"/>
          <w:szCs w:val="20"/>
        </w:rPr>
        <w:t xml:space="preserve"> Consumer</w:t>
      </w:r>
      <w:r w:rsidRPr="00E675BE">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and </w:t>
      </w:r>
      <w:r w:rsidRPr="00E675BE">
        <w:rPr>
          <w:rFonts w:ascii="Segoe UI" w:eastAsia="Calibri" w:hAnsi="Segoe UI" w:cs="Segoe UI"/>
          <w:color w:val="666666"/>
          <w:sz w:val="20"/>
          <w:szCs w:val="20"/>
        </w:rPr>
        <w:t>Windows OEM</w:t>
      </w:r>
      <w:r>
        <w:rPr>
          <w:rFonts w:ascii="Segoe UI" w:eastAsia="Calibri" w:hAnsi="Segoe UI" w:cs="Segoe UI"/>
          <w:color w:val="666666"/>
          <w:sz w:val="20"/>
          <w:szCs w:val="20"/>
        </w:rPr>
        <w:t xml:space="preserve">, offset by a decline </w:t>
      </w:r>
      <w:r w:rsidRPr="000336E0">
        <w:rPr>
          <w:rFonts w:ascii="Segoe UI" w:eastAsia="Calibri" w:hAnsi="Segoe UI" w:cs="Segoe UI"/>
          <w:color w:val="666666"/>
          <w:sz w:val="20"/>
          <w:szCs w:val="20"/>
        </w:rPr>
        <w:t xml:space="preserve">in </w:t>
      </w:r>
      <w:r w:rsidR="00D66A56">
        <w:rPr>
          <w:rFonts w:ascii="Segoe UI" w:eastAsia="Calibri" w:hAnsi="Segoe UI" w:cs="Segoe UI"/>
          <w:color w:val="666666"/>
          <w:sz w:val="20"/>
          <w:szCs w:val="20"/>
        </w:rPr>
        <w:t>royalty revenue</w:t>
      </w:r>
      <w:r w:rsidRPr="00E675BE">
        <w:rPr>
          <w:rFonts w:ascii="Segoe UI" w:eastAsia="Calibri" w:hAnsi="Segoe UI" w:cs="Segoe UI"/>
          <w:color w:val="666666"/>
          <w:sz w:val="20"/>
          <w:szCs w:val="20"/>
        </w:rPr>
        <w:t>.</w:t>
      </w:r>
      <w:r>
        <w:rPr>
          <w:rFonts w:ascii="Segoe UI" w:eastAsia="Calibri" w:hAnsi="Segoe UI" w:cs="Segoe UI"/>
          <w:color w:val="666666"/>
          <w:sz w:val="20"/>
          <w:szCs w:val="20"/>
        </w:rPr>
        <w:t xml:space="preserve">  G</w:t>
      </w:r>
      <w:r w:rsidRPr="00E675BE">
        <w:rPr>
          <w:rFonts w:ascii="Segoe UI" w:eastAsia="Calibri" w:hAnsi="Segoe UI" w:cs="Segoe UI"/>
          <w:color w:val="666666"/>
          <w:sz w:val="20"/>
          <w:szCs w:val="20"/>
        </w:rPr>
        <w:t xml:space="preserve">ross margin increased </w:t>
      </w:r>
      <w:r w:rsidRPr="00111215">
        <w:rPr>
          <w:rFonts w:ascii="Segoe UI" w:eastAsia="Calibri" w:hAnsi="Segoe UI" w:cs="Segoe UI"/>
          <w:color w:val="666666"/>
          <w:sz w:val="20"/>
          <w:szCs w:val="20"/>
        </w:rPr>
        <w:t>$52</w:t>
      </w:r>
      <w:r>
        <w:rPr>
          <w:rFonts w:ascii="Segoe UI" w:eastAsia="Calibri" w:hAnsi="Segoe UI" w:cs="Segoe UI"/>
          <w:color w:val="666666"/>
          <w:sz w:val="20"/>
          <w:szCs w:val="20"/>
        </w:rPr>
        <w:t>6</w:t>
      </w:r>
      <w:r w:rsidRPr="00E675BE">
        <w:rPr>
          <w:rFonts w:ascii="Segoe UI" w:eastAsia="Calibri" w:hAnsi="Segoe UI" w:cs="Segoe UI"/>
          <w:color w:val="666666"/>
          <w:sz w:val="20"/>
          <w:szCs w:val="20"/>
        </w:rPr>
        <w:t xml:space="preserve"> million or </w:t>
      </w:r>
      <w:r w:rsidRPr="00111215">
        <w:rPr>
          <w:rFonts w:ascii="Segoe UI" w:eastAsia="Calibri" w:hAnsi="Segoe UI" w:cs="Segoe UI"/>
          <w:color w:val="666666"/>
          <w:sz w:val="20"/>
          <w:szCs w:val="20"/>
        </w:rPr>
        <w:t>14%</w:t>
      </w:r>
      <w:r w:rsidRPr="00E675BE">
        <w:rPr>
          <w:rFonts w:ascii="Segoe UI" w:eastAsia="Calibri" w:hAnsi="Segoe UI" w:cs="Segoe UI"/>
          <w:color w:val="666666"/>
          <w:sz w:val="20"/>
          <w:szCs w:val="20"/>
        </w:rPr>
        <w:t>.</w:t>
      </w:r>
    </w:p>
    <w:p w14:paraId="79E83244" w14:textId="77777777" w:rsidR="00A60D91" w:rsidRPr="00E2793B" w:rsidRDefault="00A60D91" w:rsidP="00A60D91">
      <w:pPr>
        <w:pStyle w:val="NormalWeb"/>
        <w:numPr>
          <w:ilvl w:val="0"/>
          <w:numId w:val="4"/>
        </w:numPr>
        <w:spacing w:before="160" w:beforeAutospacing="0" w:after="160" w:afterAutospacing="0"/>
        <w:rPr>
          <w:rFonts w:ascii="Segoe UI" w:eastAsia="Calibri" w:hAnsi="Segoe UI" w:cs="Segoe UI"/>
          <w:color w:val="666666"/>
          <w:sz w:val="20"/>
          <w:szCs w:val="20"/>
        </w:rPr>
      </w:pPr>
      <w:r w:rsidRPr="00E675BE">
        <w:rPr>
          <w:rFonts w:ascii="Segoe UI" w:eastAsia="Calibri" w:hAnsi="Segoe UI" w:cs="Segoe UI"/>
          <w:color w:val="666666"/>
          <w:sz w:val="20"/>
          <w:szCs w:val="20"/>
        </w:rPr>
        <w:t xml:space="preserve">Windows OEM revenue increased </w:t>
      </w:r>
      <w:r w:rsidRPr="00111215">
        <w:rPr>
          <w:rFonts w:ascii="Segoe UI" w:eastAsia="Calibri" w:hAnsi="Segoe UI" w:cs="Segoe UI"/>
          <w:color w:val="666666"/>
          <w:sz w:val="20"/>
          <w:szCs w:val="20"/>
        </w:rPr>
        <w:t>3%</w:t>
      </w:r>
      <w:r w:rsidRPr="00E675BE">
        <w:rPr>
          <w:rFonts w:ascii="Segoe UI" w:eastAsia="Calibri" w:hAnsi="Segoe UI" w:cs="Segoe UI"/>
          <w:color w:val="666666"/>
          <w:sz w:val="20"/>
          <w:szCs w:val="20"/>
        </w:rPr>
        <w:t xml:space="preserve">, </w:t>
      </w:r>
      <w:r>
        <w:rPr>
          <w:rFonts w:ascii="Segoe UI" w:eastAsia="Calibri" w:hAnsi="Segoe UI" w:cs="Segoe UI"/>
          <w:color w:val="666666"/>
          <w:sz w:val="20"/>
          <w:szCs w:val="20"/>
        </w:rPr>
        <w:t>as</w:t>
      </w:r>
      <w:r w:rsidRPr="00E675BE">
        <w:rPr>
          <w:rFonts w:ascii="Segoe UI" w:eastAsia="Calibri" w:hAnsi="Segoe UI" w:cs="Segoe UI"/>
          <w:color w:val="666666"/>
          <w:sz w:val="20"/>
          <w:szCs w:val="20"/>
        </w:rPr>
        <w:t xml:space="preserve"> Windows </w:t>
      </w:r>
      <w:r>
        <w:rPr>
          <w:rFonts w:ascii="Segoe UI" w:eastAsia="Calibri" w:hAnsi="Segoe UI" w:cs="Segoe UI"/>
          <w:color w:val="666666"/>
          <w:sz w:val="20"/>
          <w:szCs w:val="20"/>
        </w:rPr>
        <w:t xml:space="preserve">OEM </w:t>
      </w:r>
      <w:r w:rsidRPr="00E675BE">
        <w:rPr>
          <w:rFonts w:ascii="Segoe UI" w:eastAsia="Calibri" w:hAnsi="Segoe UI" w:cs="Segoe UI"/>
          <w:color w:val="666666"/>
          <w:sz w:val="20"/>
          <w:szCs w:val="20"/>
        </w:rPr>
        <w:t>Pro revenue increas</w:t>
      </w:r>
      <w:r>
        <w:rPr>
          <w:rFonts w:ascii="Segoe UI" w:eastAsia="Calibri" w:hAnsi="Segoe UI" w:cs="Segoe UI"/>
          <w:color w:val="666666"/>
          <w:sz w:val="20"/>
          <w:szCs w:val="20"/>
        </w:rPr>
        <w:t>ed</w:t>
      </w:r>
      <w:r w:rsidRPr="00E675BE">
        <w:rPr>
          <w:rFonts w:ascii="Segoe UI" w:eastAsia="Calibri" w:hAnsi="Segoe UI" w:cs="Segoe UI"/>
          <w:color w:val="666666"/>
          <w:sz w:val="20"/>
          <w:szCs w:val="20"/>
        </w:rPr>
        <w:t xml:space="preserve"> </w:t>
      </w:r>
      <w:r w:rsidRPr="00111215">
        <w:rPr>
          <w:rFonts w:ascii="Segoe UI" w:eastAsia="Calibri" w:hAnsi="Segoe UI" w:cs="Segoe UI"/>
          <w:color w:val="666666"/>
          <w:sz w:val="20"/>
          <w:szCs w:val="20"/>
        </w:rPr>
        <w:t>11%</w:t>
      </w:r>
      <w:r w:rsidRPr="00E675BE">
        <w:rPr>
          <w:rFonts w:ascii="Segoe UI" w:eastAsia="Calibri" w:hAnsi="Segoe UI" w:cs="Segoe UI"/>
          <w:color w:val="666666"/>
          <w:sz w:val="20"/>
          <w:szCs w:val="20"/>
        </w:rPr>
        <w:t xml:space="preserve"> an</w:t>
      </w:r>
      <w:r>
        <w:rPr>
          <w:rFonts w:ascii="Segoe UI" w:eastAsia="Calibri" w:hAnsi="Segoe UI" w:cs="Segoe UI"/>
          <w:color w:val="666666"/>
          <w:sz w:val="20"/>
          <w:szCs w:val="20"/>
        </w:rPr>
        <w:t xml:space="preserve">d Windows OEM non-Pro revenue decreased </w:t>
      </w:r>
      <w:r w:rsidRPr="00111215">
        <w:rPr>
          <w:rFonts w:ascii="Segoe UI" w:eastAsia="Calibri" w:hAnsi="Segoe UI" w:cs="Segoe UI"/>
          <w:color w:val="666666"/>
          <w:sz w:val="20"/>
          <w:szCs w:val="20"/>
        </w:rPr>
        <w:t>9%</w:t>
      </w:r>
      <w:r>
        <w:rPr>
          <w:rFonts w:ascii="Segoe UI" w:eastAsia="Calibri" w:hAnsi="Segoe UI" w:cs="Segoe UI"/>
          <w:color w:val="666666"/>
          <w:sz w:val="20"/>
          <w:szCs w:val="20"/>
        </w:rPr>
        <w:t xml:space="preserve">.  Businesses continue to demonstrate their strong preference </w:t>
      </w:r>
      <w:r w:rsidRPr="00E2793B">
        <w:rPr>
          <w:rFonts w:ascii="Segoe UI" w:eastAsia="Calibri" w:hAnsi="Segoe UI" w:cs="Segoe UI"/>
          <w:color w:val="666666"/>
          <w:sz w:val="20"/>
          <w:szCs w:val="20"/>
        </w:rPr>
        <w:lastRenderedPageBreak/>
        <w:t>for Windows, and D&amp;C Licensing results were again driven by business PC growth in developed markets, and benefits from Windows XP end of support that moderated throughout the quarter.</w:t>
      </w:r>
    </w:p>
    <w:p w14:paraId="5BDD5A3B" w14:textId="57EDA5A9" w:rsidR="00A60D91" w:rsidRPr="00E2793B" w:rsidRDefault="00A60D91" w:rsidP="00A60D91">
      <w:pPr>
        <w:pStyle w:val="NormalWeb"/>
        <w:numPr>
          <w:ilvl w:val="0"/>
          <w:numId w:val="4"/>
        </w:numPr>
        <w:spacing w:before="160" w:beforeAutospacing="0" w:after="160" w:afterAutospacing="0"/>
        <w:rPr>
          <w:rFonts w:ascii="Segoe UI" w:eastAsia="Calibri" w:hAnsi="Segoe UI" w:cs="Segoe UI"/>
          <w:color w:val="666666"/>
          <w:sz w:val="20"/>
          <w:szCs w:val="20"/>
        </w:rPr>
      </w:pPr>
      <w:r w:rsidRPr="00E2793B">
        <w:rPr>
          <w:rFonts w:ascii="Segoe UI" w:eastAsia="Calibri" w:hAnsi="Segoe UI" w:cs="Segoe UI"/>
          <w:color w:val="666666"/>
          <w:sz w:val="20"/>
          <w:szCs w:val="20"/>
        </w:rPr>
        <w:t>Office Consumer revenue increased $125 million or 21%.  We continue to outpace overall consumer PC</w:t>
      </w:r>
      <w:r w:rsidR="000A2315">
        <w:rPr>
          <w:rFonts w:ascii="Segoe UI" w:eastAsia="Calibri" w:hAnsi="Segoe UI" w:cs="Segoe UI"/>
          <w:color w:val="666666"/>
          <w:sz w:val="20"/>
          <w:szCs w:val="20"/>
        </w:rPr>
        <w:t>s</w:t>
      </w:r>
      <w:r w:rsidRPr="00E2793B">
        <w:rPr>
          <w:rFonts w:ascii="Segoe UI" w:eastAsia="Calibri" w:hAnsi="Segoe UI" w:cs="Segoe UI"/>
          <w:color w:val="666666"/>
          <w:sz w:val="20"/>
          <w:szCs w:val="20"/>
        </w:rPr>
        <w:t xml:space="preserve"> as developed markets, </w:t>
      </w:r>
      <w:r w:rsidR="00EB2BC6" w:rsidRPr="00E2793B">
        <w:rPr>
          <w:rFonts w:ascii="Segoe UI" w:eastAsia="Calibri" w:hAnsi="Segoe UI" w:cs="Segoe UI"/>
          <w:color w:val="666666"/>
          <w:sz w:val="20"/>
          <w:szCs w:val="20"/>
        </w:rPr>
        <w:t>where more consumers buy Office with their PCs</w:t>
      </w:r>
      <w:r w:rsidRPr="00E2793B">
        <w:rPr>
          <w:rFonts w:ascii="Segoe UI" w:eastAsia="Calibri" w:hAnsi="Segoe UI" w:cs="Segoe UI"/>
          <w:color w:val="666666"/>
          <w:sz w:val="20"/>
          <w:szCs w:val="20"/>
        </w:rPr>
        <w:t xml:space="preserve">, outperformed emerging markets.  </w:t>
      </w:r>
      <w:r w:rsidR="00EB2BC6" w:rsidRPr="00E2793B">
        <w:rPr>
          <w:rFonts w:ascii="Segoe UI" w:eastAsia="Calibri" w:hAnsi="Segoe UI" w:cs="Segoe UI"/>
          <w:color w:val="666666"/>
          <w:sz w:val="20"/>
          <w:szCs w:val="20"/>
        </w:rPr>
        <w:t xml:space="preserve">Microsoft ended support for </w:t>
      </w:r>
      <w:r w:rsidRPr="00E2793B">
        <w:rPr>
          <w:rFonts w:ascii="Segoe UI" w:eastAsia="Calibri" w:hAnsi="Segoe UI" w:cs="Segoe UI"/>
          <w:color w:val="666666"/>
          <w:sz w:val="20"/>
          <w:szCs w:val="20"/>
        </w:rPr>
        <w:t>Windows XP</w:t>
      </w:r>
      <w:r w:rsidR="00EB2BC6" w:rsidRPr="00E2793B">
        <w:rPr>
          <w:rFonts w:ascii="Segoe UI" w:eastAsia="Calibri" w:hAnsi="Segoe UI" w:cs="Segoe UI"/>
          <w:color w:val="666666"/>
          <w:sz w:val="20"/>
          <w:szCs w:val="20"/>
        </w:rPr>
        <w:t xml:space="preserve"> in April 2014, which </w:t>
      </w:r>
      <w:r w:rsidRPr="00E2793B">
        <w:rPr>
          <w:rFonts w:ascii="Segoe UI" w:eastAsia="Calibri" w:hAnsi="Segoe UI" w:cs="Segoe UI"/>
          <w:color w:val="666666"/>
          <w:sz w:val="20"/>
          <w:szCs w:val="20"/>
        </w:rPr>
        <w:t>also contributed to our growth</w:t>
      </w:r>
      <w:r w:rsidR="00EB2BC6" w:rsidRPr="00E2793B">
        <w:rPr>
          <w:rFonts w:ascii="Segoe UI" w:eastAsia="Calibri" w:hAnsi="Segoe UI" w:cs="Segoe UI"/>
          <w:color w:val="666666"/>
          <w:sz w:val="20"/>
          <w:szCs w:val="20"/>
        </w:rPr>
        <w:t>,</w:t>
      </w:r>
      <w:r w:rsidRPr="00E2793B">
        <w:rPr>
          <w:rFonts w:ascii="Segoe UI" w:eastAsia="Calibri" w:hAnsi="Segoe UI" w:cs="Segoe UI"/>
          <w:color w:val="666666"/>
          <w:sz w:val="20"/>
          <w:szCs w:val="20"/>
        </w:rPr>
        <w:t xml:space="preserve"> as small businesses upgraded their PCs and purchased </w:t>
      </w:r>
      <w:r w:rsidR="00EB2BC6" w:rsidRPr="00E2793B">
        <w:rPr>
          <w:rFonts w:ascii="Segoe UI" w:eastAsia="Calibri" w:hAnsi="Segoe UI" w:cs="Segoe UI"/>
          <w:color w:val="666666"/>
          <w:sz w:val="20"/>
          <w:szCs w:val="20"/>
        </w:rPr>
        <w:t xml:space="preserve">new versions of </w:t>
      </w:r>
      <w:r w:rsidRPr="00E2793B">
        <w:rPr>
          <w:rFonts w:ascii="Segoe UI" w:eastAsia="Calibri" w:hAnsi="Segoe UI" w:cs="Segoe UI"/>
          <w:color w:val="666666"/>
          <w:sz w:val="20"/>
          <w:szCs w:val="20"/>
        </w:rPr>
        <w:t>Office through consumer channels.</w:t>
      </w:r>
    </w:p>
    <w:p w14:paraId="55DB6944" w14:textId="77777777" w:rsidR="00A60D91" w:rsidRPr="004A55C8" w:rsidRDefault="00A60D91" w:rsidP="00A60D91">
      <w:pPr>
        <w:pStyle w:val="NormalWeb"/>
        <w:spacing w:before="160" w:beforeAutospacing="0" w:after="160" w:afterAutospacing="0"/>
        <w:rPr>
          <w:rFonts w:ascii="Segoe UI" w:hAnsi="Segoe UI" w:cs="Segoe UI"/>
          <w:color w:val="666666"/>
          <w:sz w:val="20"/>
          <w:szCs w:val="20"/>
        </w:rPr>
      </w:pPr>
      <w:r w:rsidRPr="00E2793B">
        <w:rPr>
          <w:rFonts w:ascii="Segoe UI" w:hAnsi="Segoe UI" w:cs="Segoe UI"/>
          <w:color w:val="666666"/>
          <w:sz w:val="20"/>
          <w:szCs w:val="20"/>
        </w:rPr>
        <w:t>With free licensing for sub 9-inch devices and the new Windows with Bing offering, we are helping our partners bring new low-cost devices to market.  We are encouraged by the initial response from OEMs, and expect many of these new devices to be available</w:t>
      </w:r>
      <w:r w:rsidRPr="004A55C8">
        <w:rPr>
          <w:rFonts w:ascii="Segoe UI" w:hAnsi="Segoe UI" w:cs="Segoe UI"/>
          <w:color w:val="666666"/>
          <w:sz w:val="20"/>
          <w:szCs w:val="20"/>
        </w:rPr>
        <w:t xml:space="preserve"> in time for the holiday season.  During </w:t>
      </w:r>
      <w:proofErr w:type="spellStart"/>
      <w:r w:rsidRPr="004A55C8">
        <w:rPr>
          <w:rFonts w:ascii="Segoe UI" w:hAnsi="Segoe UI" w:cs="Segoe UI"/>
          <w:color w:val="666666"/>
          <w:sz w:val="20"/>
          <w:szCs w:val="20"/>
        </w:rPr>
        <w:t>Computex</w:t>
      </w:r>
      <w:proofErr w:type="spellEnd"/>
      <w:r w:rsidRPr="004A55C8">
        <w:rPr>
          <w:rFonts w:ascii="Segoe UI" w:hAnsi="Segoe UI" w:cs="Segoe UI"/>
          <w:color w:val="666666"/>
          <w:sz w:val="20"/>
          <w:szCs w:val="20"/>
        </w:rPr>
        <w:t xml:space="preserve"> </w:t>
      </w:r>
      <w:r>
        <w:rPr>
          <w:rFonts w:ascii="Segoe UI" w:hAnsi="Segoe UI" w:cs="Segoe UI"/>
          <w:color w:val="666666"/>
          <w:sz w:val="20"/>
          <w:szCs w:val="20"/>
        </w:rPr>
        <w:t>in June</w:t>
      </w:r>
      <w:r w:rsidRPr="004A55C8">
        <w:rPr>
          <w:rFonts w:ascii="Segoe UI" w:hAnsi="Segoe UI" w:cs="Segoe UI"/>
          <w:color w:val="666666"/>
          <w:sz w:val="20"/>
          <w:szCs w:val="20"/>
        </w:rPr>
        <w:t>, our OEM partners announced nearly 40 new devices, including all-in-ones, laptops, two-in-ones, and smartphones, demonstrating continued innovation on the Windows platform.</w:t>
      </w:r>
    </w:p>
    <w:p w14:paraId="5D623BC1" w14:textId="77777777" w:rsidR="00A60D91" w:rsidRPr="00CA404F" w:rsidRDefault="00A60D91" w:rsidP="00A60D91">
      <w:pPr>
        <w:spacing w:before="160" w:line="280" w:lineRule="exact"/>
        <w:jc w:val="both"/>
        <w:rPr>
          <w:rFonts w:ascii="Segoe UI" w:hAnsi="Segoe UI" w:cs="Segoe UI"/>
          <w:b/>
          <w:i/>
          <w:color w:val="666666"/>
          <w:sz w:val="20"/>
          <w:szCs w:val="20"/>
        </w:rPr>
      </w:pPr>
      <w:r w:rsidRPr="004A55C8">
        <w:rPr>
          <w:rFonts w:ascii="Segoe UI" w:hAnsi="Segoe UI" w:cs="Segoe UI"/>
          <w:b/>
          <w:i/>
          <w:color w:val="666666"/>
          <w:sz w:val="20"/>
          <w:szCs w:val="20"/>
        </w:rPr>
        <w:t>Computing and Gaming Hardware</w:t>
      </w:r>
    </w:p>
    <w:p w14:paraId="1C9B4417" w14:textId="67F46789" w:rsidR="00A60D91" w:rsidRPr="001A71E0" w:rsidRDefault="00A60D91" w:rsidP="00A60D91">
      <w:pPr>
        <w:pStyle w:val="NormalWeb"/>
        <w:spacing w:before="160" w:beforeAutospacing="0" w:after="160" w:afterAutospacing="0"/>
        <w:rPr>
          <w:rFonts w:ascii="Segoe UI" w:eastAsia="Calibri" w:hAnsi="Segoe UI" w:cs="Segoe UI"/>
          <w:color w:val="666666"/>
          <w:sz w:val="20"/>
          <w:szCs w:val="20"/>
        </w:rPr>
      </w:pPr>
      <w:r w:rsidRPr="00CA404F">
        <w:rPr>
          <w:rFonts w:ascii="Segoe UI" w:eastAsia="Calibri" w:hAnsi="Segoe UI" w:cs="Segoe UI"/>
          <w:color w:val="666666"/>
          <w:sz w:val="20"/>
          <w:szCs w:val="20"/>
        </w:rPr>
        <w:t>The</w:t>
      </w:r>
      <w:r w:rsidRPr="00CA404F">
        <w:rPr>
          <w:rFonts w:ascii="Segoe UI" w:hAnsi="Segoe UI" w:cs="Segoe UI"/>
          <w:color w:val="666666"/>
          <w:sz w:val="20"/>
          <w:szCs w:val="20"/>
        </w:rPr>
        <w:t xml:space="preserve"> D&amp;C Hardware segment was renamed Computing and Gaming Hardware in the fourth quarter of fiscal year 2014.  </w:t>
      </w:r>
      <w:r w:rsidRPr="004A55C8">
        <w:rPr>
          <w:rFonts w:ascii="Segoe UI" w:eastAsia="Calibri" w:hAnsi="Segoe UI" w:cs="Segoe UI"/>
          <w:color w:val="666666"/>
          <w:sz w:val="20"/>
          <w:szCs w:val="20"/>
        </w:rPr>
        <w:t>Computing and Gaming Hardware</w:t>
      </w:r>
      <w:r w:rsidRPr="00CA404F">
        <w:rPr>
          <w:rFonts w:ascii="Segoe UI" w:eastAsia="Calibri" w:hAnsi="Segoe UI" w:cs="Segoe UI"/>
          <w:color w:val="666666"/>
          <w:sz w:val="20"/>
          <w:szCs w:val="20"/>
        </w:rPr>
        <w:t xml:space="preserve"> revenue increased </w:t>
      </w:r>
      <w:r w:rsidRPr="00B565A7">
        <w:rPr>
          <w:rFonts w:ascii="Segoe UI" w:eastAsia="Calibri" w:hAnsi="Segoe UI" w:cs="Segoe UI"/>
          <w:color w:val="666666"/>
          <w:sz w:val="20"/>
          <w:szCs w:val="20"/>
        </w:rPr>
        <w:t>$27</w:t>
      </w:r>
      <w:r>
        <w:rPr>
          <w:rFonts w:ascii="Segoe UI" w:eastAsia="Calibri" w:hAnsi="Segoe UI" w:cs="Segoe UI"/>
          <w:color w:val="666666"/>
          <w:sz w:val="20"/>
          <w:szCs w:val="20"/>
        </w:rPr>
        <w:t>4</w:t>
      </w:r>
      <w:r w:rsidRPr="00CA404F">
        <w:rPr>
          <w:rFonts w:ascii="Segoe UI" w:eastAsia="Calibri" w:hAnsi="Segoe UI" w:cs="Segoe UI"/>
          <w:color w:val="666666"/>
          <w:sz w:val="20"/>
          <w:szCs w:val="20"/>
        </w:rPr>
        <w:t xml:space="preserve"> million or </w:t>
      </w:r>
      <w:r w:rsidRPr="00B565A7">
        <w:rPr>
          <w:rFonts w:ascii="Segoe UI" w:eastAsia="Calibri" w:hAnsi="Segoe UI" w:cs="Segoe UI"/>
          <w:color w:val="666666"/>
          <w:sz w:val="20"/>
          <w:szCs w:val="20"/>
        </w:rPr>
        <w:t>2</w:t>
      </w:r>
      <w:r>
        <w:rPr>
          <w:rFonts w:ascii="Segoe UI" w:eastAsia="Calibri" w:hAnsi="Segoe UI" w:cs="Segoe UI"/>
          <w:color w:val="666666"/>
          <w:sz w:val="20"/>
          <w:szCs w:val="20"/>
        </w:rPr>
        <w:t>3</w:t>
      </w:r>
      <w:r w:rsidRPr="00B565A7">
        <w:rPr>
          <w:rFonts w:ascii="Segoe UI" w:eastAsia="Calibri" w:hAnsi="Segoe UI" w:cs="Segoe UI"/>
          <w:color w:val="666666"/>
          <w:sz w:val="20"/>
          <w:szCs w:val="20"/>
        </w:rPr>
        <w:t>%</w:t>
      </w:r>
      <w:r w:rsidRPr="004A55C8">
        <w:rPr>
          <w:rFonts w:ascii="Segoe UI" w:eastAsia="Calibri" w:hAnsi="Segoe UI" w:cs="Segoe UI"/>
          <w:color w:val="666666"/>
          <w:sz w:val="20"/>
          <w:szCs w:val="20"/>
        </w:rPr>
        <w:t>, dr</w:t>
      </w:r>
      <w:r w:rsidR="003A19D2">
        <w:rPr>
          <w:rFonts w:ascii="Segoe UI" w:eastAsia="Calibri" w:hAnsi="Segoe UI" w:cs="Segoe UI"/>
          <w:color w:val="666666"/>
          <w:sz w:val="20"/>
          <w:szCs w:val="20"/>
        </w:rPr>
        <w:t>iven by higher Surface and Xbox P</w:t>
      </w:r>
      <w:r w:rsidRPr="004A55C8">
        <w:rPr>
          <w:rFonts w:ascii="Segoe UI" w:eastAsia="Calibri" w:hAnsi="Segoe UI" w:cs="Segoe UI"/>
          <w:color w:val="666666"/>
          <w:sz w:val="20"/>
          <w:szCs w:val="20"/>
        </w:rPr>
        <w:t>latform revenue.  G</w:t>
      </w:r>
      <w:r w:rsidRPr="00B565A7">
        <w:rPr>
          <w:rFonts w:ascii="Segoe UI" w:eastAsia="Calibri" w:hAnsi="Segoe UI" w:cs="Segoe UI"/>
          <w:color w:val="666666"/>
          <w:sz w:val="20"/>
          <w:szCs w:val="20"/>
        </w:rPr>
        <w:t xml:space="preserve">ross margin increased $665 million compared to </w:t>
      </w:r>
      <w:r>
        <w:rPr>
          <w:rFonts w:ascii="Segoe UI" w:eastAsia="Calibri" w:hAnsi="Segoe UI" w:cs="Segoe UI"/>
          <w:color w:val="666666"/>
          <w:sz w:val="20"/>
          <w:szCs w:val="20"/>
        </w:rPr>
        <w:t xml:space="preserve">the </w:t>
      </w:r>
      <w:r w:rsidRPr="00B565A7">
        <w:rPr>
          <w:rFonts w:ascii="Segoe UI" w:eastAsia="Calibri" w:hAnsi="Segoe UI" w:cs="Segoe UI"/>
          <w:color w:val="666666"/>
          <w:sz w:val="20"/>
          <w:szCs w:val="20"/>
        </w:rPr>
        <w:t>prior year</w:t>
      </w:r>
      <w:r>
        <w:rPr>
          <w:rFonts w:ascii="Segoe UI" w:eastAsia="Calibri" w:hAnsi="Segoe UI" w:cs="Segoe UI"/>
          <w:color w:val="666666"/>
          <w:sz w:val="20"/>
          <w:szCs w:val="20"/>
        </w:rPr>
        <w:t>,</w:t>
      </w:r>
      <w:r w:rsidRPr="00B565A7">
        <w:rPr>
          <w:rFonts w:ascii="Segoe UI" w:eastAsia="Calibri" w:hAnsi="Segoe UI" w:cs="Segoe UI"/>
          <w:color w:val="666666"/>
          <w:sz w:val="20"/>
          <w:szCs w:val="20"/>
        </w:rPr>
        <w:t xml:space="preserve"> which included the Surface RT inventory adjustment charge.  Current year cost of revenue included </w:t>
      </w:r>
      <w:r>
        <w:rPr>
          <w:rFonts w:ascii="Segoe UI" w:eastAsia="Calibri" w:hAnsi="Segoe UI" w:cs="Segoe UI"/>
          <w:color w:val="666666"/>
          <w:sz w:val="20"/>
          <w:szCs w:val="20"/>
        </w:rPr>
        <w:t xml:space="preserve">Surface </w:t>
      </w:r>
      <w:r w:rsidRPr="00B565A7">
        <w:rPr>
          <w:rFonts w:ascii="Segoe UI" w:eastAsia="Calibri" w:hAnsi="Segoe UI" w:cs="Segoe UI"/>
          <w:color w:val="666666"/>
          <w:sz w:val="20"/>
          <w:szCs w:val="20"/>
        </w:rPr>
        <w:t xml:space="preserve">inventory adjustments resulting from </w:t>
      </w:r>
      <w:r w:rsidRPr="004A55C8">
        <w:rPr>
          <w:rFonts w:ascii="Segoe UI" w:eastAsia="Calibri" w:hAnsi="Segoe UI" w:cs="Segoe UI"/>
          <w:color w:val="666666"/>
          <w:sz w:val="20"/>
          <w:szCs w:val="20"/>
        </w:rPr>
        <w:t>our transition to newer generation devices and a decision to not ship</w:t>
      </w:r>
      <w:r>
        <w:rPr>
          <w:rFonts w:ascii="Segoe UI" w:eastAsia="Calibri" w:hAnsi="Segoe UI" w:cs="Segoe UI"/>
          <w:color w:val="666666"/>
          <w:sz w:val="20"/>
          <w:szCs w:val="20"/>
        </w:rPr>
        <w:t xml:space="preserve"> a new form factor.</w:t>
      </w:r>
    </w:p>
    <w:p w14:paraId="0B8FEC31" w14:textId="77777777" w:rsidR="00A60D91" w:rsidRPr="00DD4877" w:rsidRDefault="00A60D91" w:rsidP="00A60D91">
      <w:pPr>
        <w:pStyle w:val="NormalWeb"/>
        <w:numPr>
          <w:ilvl w:val="0"/>
          <w:numId w:val="4"/>
        </w:numPr>
        <w:spacing w:before="160" w:beforeAutospacing="0" w:after="160" w:afterAutospacing="0"/>
        <w:rPr>
          <w:rFonts w:ascii="Segoe UI" w:eastAsia="Calibri" w:hAnsi="Segoe UI" w:cs="Segoe UI"/>
          <w:color w:val="666666"/>
          <w:sz w:val="20"/>
          <w:szCs w:val="20"/>
        </w:rPr>
      </w:pPr>
      <w:r w:rsidRPr="00DD4877">
        <w:rPr>
          <w:rFonts w:ascii="Segoe UI" w:eastAsia="Calibri" w:hAnsi="Segoe UI" w:cs="Segoe UI"/>
          <w:color w:val="666666"/>
          <w:sz w:val="20"/>
          <w:szCs w:val="20"/>
        </w:rPr>
        <w:t xml:space="preserve">Surface revenue was </w:t>
      </w:r>
      <w:r>
        <w:rPr>
          <w:rFonts w:ascii="Segoe UI" w:eastAsia="Calibri" w:hAnsi="Segoe UI" w:cs="Segoe UI"/>
          <w:color w:val="666666"/>
          <w:sz w:val="20"/>
          <w:szCs w:val="20"/>
        </w:rPr>
        <w:t>$409 million</w:t>
      </w:r>
      <w:r w:rsidRPr="00DD4877">
        <w:rPr>
          <w:rFonts w:ascii="Segoe UI" w:eastAsia="Calibri" w:hAnsi="Segoe UI" w:cs="Segoe UI"/>
          <w:color w:val="666666"/>
          <w:sz w:val="20"/>
          <w:szCs w:val="20"/>
        </w:rPr>
        <w:t xml:space="preserve">, </w:t>
      </w:r>
      <w:r>
        <w:rPr>
          <w:rFonts w:ascii="Segoe UI" w:eastAsia="Calibri" w:hAnsi="Segoe UI" w:cs="Segoe UI"/>
          <w:color w:val="666666"/>
          <w:sz w:val="20"/>
          <w:szCs w:val="20"/>
        </w:rPr>
        <w:t>driven by</w:t>
      </w:r>
      <w:r w:rsidRPr="00DD4877">
        <w:rPr>
          <w:rFonts w:ascii="Segoe UI" w:eastAsia="Calibri" w:hAnsi="Segoe UI" w:cs="Segoe UI"/>
          <w:color w:val="666666"/>
          <w:sz w:val="20"/>
          <w:szCs w:val="20"/>
        </w:rPr>
        <w:t xml:space="preserve"> our second generation Surface 2 and Surface Pro 2</w:t>
      </w:r>
      <w:r>
        <w:rPr>
          <w:rFonts w:ascii="Segoe UI" w:eastAsia="Calibri" w:hAnsi="Segoe UI" w:cs="Segoe UI"/>
          <w:color w:val="666666"/>
          <w:sz w:val="20"/>
          <w:szCs w:val="20"/>
        </w:rPr>
        <w:t xml:space="preserve"> devices</w:t>
      </w:r>
      <w:r w:rsidRPr="00DD4877">
        <w:rPr>
          <w:rFonts w:ascii="Segoe UI" w:eastAsia="Calibri" w:hAnsi="Segoe UI" w:cs="Segoe UI"/>
          <w:color w:val="666666"/>
          <w:sz w:val="20"/>
          <w:szCs w:val="20"/>
        </w:rPr>
        <w:t xml:space="preserve">, and the </w:t>
      </w:r>
      <w:r>
        <w:rPr>
          <w:rFonts w:ascii="Segoe UI" w:eastAsia="Calibri" w:hAnsi="Segoe UI" w:cs="Segoe UI"/>
          <w:color w:val="666666"/>
          <w:sz w:val="20"/>
          <w:szCs w:val="20"/>
        </w:rPr>
        <w:t xml:space="preserve">recent launch </w:t>
      </w:r>
      <w:r w:rsidRPr="00DD4877">
        <w:rPr>
          <w:rFonts w:ascii="Segoe UI" w:eastAsia="Calibri" w:hAnsi="Segoe UI" w:cs="Segoe UI"/>
          <w:color w:val="666666"/>
          <w:sz w:val="20"/>
          <w:szCs w:val="20"/>
        </w:rPr>
        <w:t>of Surface Pro 3.</w:t>
      </w:r>
    </w:p>
    <w:p w14:paraId="2B64D25E" w14:textId="29D20DB0" w:rsidR="00A60D91" w:rsidRPr="00DD4877" w:rsidRDefault="00A60D91" w:rsidP="00A60D91">
      <w:pPr>
        <w:pStyle w:val="NormalWeb"/>
        <w:numPr>
          <w:ilvl w:val="0"/>
          <w:numId w:val="4"/>
        </w:numPr>
        <w:spacing w:before="160" w:beforeAutospacing="0" w:after="160" w:afterAutospacing="0"/>
        <w:rPr>
          <w:rFonts w:ascii="Segoe UI" w:eastAsia="Calibri" w:hAnsi="Segoe UI" w:cs="Segoe UI"/>
          <w:color w:val="666666"/>
          <w:sz w:val="20"/>
          <w:szCs w:val="20"/>
        </w:rPr>
      </w:pPr>
      <w:r w:rsidRPr="00DD4877">
        <w:rPr>
          <w:rFonts w:ascii="Segoe UI" w:eastAsia="Calibri" w:hAnsi="Segoe UI" w:cs="Segoe UI"/>
          <w:color w:val="666666"/>
          <w:sz w:val="20"/>
          <w:szCs w:val="20"/>
        </w:rPr>
        <w:t xml:space="preserve">Xbox Platform revenue </w:t>
      </w:r>
      <w:r>
        <w:rPr>
          <w:rFonts w:ascii="Segoe UI" w:eastAsia="Calibri" w:hAnsi="Segoe UI" w:cs="Segoe UI"/>
          <w:color w:val="666666"/>
          <w:sz w:val="20"/>
          <w:szCs w:val="20"/>
        </w:rPr>
        <w:t>increased</w:t>
      </w:r>
      <w:r w:rsidRPr="00DD4877">
        <w:rPr>
          <w:rFonts w:ascii="Segoe UI" w:eastAsia="Calibri" w:hAnsi="Segoe UI" w:cs="Segoe UI"/>
          <w:color w:val="666666"/>
          <w:sz w:val="20"/>
          <w:szCs w:val="20"/>
        </w:rPr>
        <w:t xml:space="preserve"> </w:t>
      </w:r>
      <w:r>
        <w:rPr>
          <w:rFonts w:ascii="Segoe UI" w:eastAsia="Calibri" w:hAnsi="Segoe UI" w:cs="Segoe UI"/>
          <w:color w:val="666666"/>
          <w:sz w:val="20"/>
          <w:szCs w:val="20"/>
        </w:rPr>
        <w:t>$10</w:t>
      </w:r>
      <w:r w:rsidR="00CA711A">
        <w:rPr>
          <w:rFonts w:ascii="Segoe UI" w:eastAsia="Calibri" w:hAnsi="Segoe UI" w:cs="Segoe UI"/>
          <w:color w:val="666666"/>
          <w:sz w:val="20"/>
          <w:szCs w:val="20"/>
        </w:rPr>
        <w:t>4</w:t>
      </w:r>
      <w:r>
        <w:rPr>
          <w:rFonts w:ascii="Segoe UI" w:eastAsia="Calibri" w:hAnsi="Segoe UI" w:cs="Segoe UI"/>
          <w:color w:val="666666"/>
          <w:sz w:val="20"/>
          <w:szCs w:val="20"/>
        </w:rPr>
        <w:t xml:space="preserve"> million or </w:t>
      </w:r>
      <w:r w:rsidRPr="00B565A7">
        <w:rPr>
          <w:rFonts w:ascii="Segoe UI" w:eastAsia="Calibri" w:hAnsi="Segoe UI" w:cs="Segoe UI"/>
          <w:color w:val="666666"/>
          <w:sz w:val="20"/>
          <w:szCs w:val="20"/>
        </w:rPr>
        <w:t>14%</w:t>
      </w:r>
      <w:r w:rsidRPr="00DD4877">
        <w:rPr>
          <w:rFonts w:ascii="Segoe UI" w:eastAsia="Calibri" w:hAnsi="Segoe UI" w:cs="Segoe UI"/>
          <w:color w:val="666666"/>
          <w:sz w:val="20"/>
          <w:szCs w:val="20"/>
        </w:rPr>
        <w:t xml:space="preserve">, driven </w:t>
      </w:r>
      <w:r>
        <w:rPr>
          <w:rFonts w:ascii="Segoe UI" w:eastAsia="Calibri" w:hAnsi="Segoe UI" w:cs="Segoe UI"/>
          <w:color w:val="666666"/>
          <w:sz w:val="20"/>
          <w:szCs w:val="20"/>
        </w:rPr>
        <w:t xml:space="preserve">primarily </w:t>
      </w:r>
      <w:r w:rsidRPr="00DD4877">
        <w:rPr>
          <w:rFonts w:ascii="Segoe UI" w:eastAsia="Calibri" w:hAnsi="Segoe UI" w:cs="Segoe UI"/>
          <w:color w:val="666666"/>
          <w:sz w:val="20"/>
          <w:szCs w:val="20"/>
        </w:rPr>
        <w:t xml:space="preserve">by </w:t>
      </w:r>
      <w:r>
        <w:rPr>
          <w:rFonts w:ascii="Segoe UI" w:eastAsia="Calibri" w:hAnsi="Segoe UI" w:cs="Segoe UI"/>
          <w:color w:val="666666"/>
          <w:sz w:val="20"/>
          <w:szCs w:val="20"/>
        </w:rPr>
        <w:t xml:space="preserve">increased </w:t>
      </w:r>
      <w:r w:rsidRPr="00DD4877">
        <w:rPr>
          <w:rFonts w:ascii="Segoe UI" w:eastAsia="Calibri" w:hAnsi="Segoe UI" w:cs="Segoe UI"/>
          <w:color w:val="666666"/>
          <w:sz w:val="20"/>
          <w:szCs w:val="20"/>
        </w:rPr>
        <w:t xml:space="preserve">console revenue.  We sold </w:t>
      </w:r>
      <w:r>
        <w:rPr>
          <w:rFonts w:ascii="Segoe UI" w:eastAsia="Calibri" w:hAnsi="Segoe UI" w:cs="Segoe UI"/>
          <w:color w:val="666666"/>
          <w:sz w:val="20"/>
          <w:szCs w:val="20"/>
        </w:rPr>
        <w:t>in</w:t>
      </w:r>
      <w:r w:rsidRPr="00DD4877">
        <w:rPr>
          <w:rFonts w:ascii="Segoe UI" w:eastAsia="Calibri" w:hAnsi="Segoe UI" w:cs="Segoe UI"/>
          <w:color w:val="666666"/>
          <w:sz w:val="20"/>
          <w:szCs w:val="20"/>
        </w:rPr>
        <w:t xml:space="preserve"> </w:t>
      </w:r>
      <w:r w:rsidRPr="00B565A7">
        <w:rPr>
          <w:rFonts w:ascii="Segoe UI" w:eastAsia="Calibri" w:hAnsi="Segoe UI" w:cs="Segoe UI"/>
          <w:color w:val="666666"/>
          <w:sz w:val="20"/>
          <w:szCs w:val="20"/>
        </w:rPr>
        <w:t>1.1</w:t>
      </w:r>
      <w:r w:rsidRPr="00DD4877">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million </w:t>
      </w:r>
      <w:r w:rsidRPr="00DD4877">
        <w:rPr>
          <w:rFonts w:ascii="Segoe UI" w:eastAsia="Calibri" w:hAnsi="Segoe UI" w:cs="Segoe UI"/>
          <w:color w:val="666666"/>
          <w:sz w:val="20"/>
          <w:szCs w:val="20"/>
        </w:rPr>
        <w:t>consoles in the fourth quarter, as we drew down channel inventory, compared to 1.0 million consoles during the prior year.</w:t>
      </w:r>
    </w:p>
    <w:p w14:paraId="55E72D53" w14:textId="40FE99DB" w:rsidR="00A60D91" w:rsidRPr="0010733A" w:rsidRDefault="00A60D91" w:rsidP="00A60D91">
      <w:pPr>
        <w:pStyle w:val="NormalWeb"/>
        <w:spacing w:before="160" w:beforeAutospacing="0" w:after="160" w:afterAutospacing="0"/>
        <w:rPr>
          <w:rFonts w:ascii="Segoe UI" w:eastAsiaTheme="minorHAnsi" w:hAnsi="Segoe UI" w:cs="Segoe UI"/>
          <w:color w:val="666666"/>
          <w:sz w:val="20"/>
          <w:szCs w:val="20"/>
        </w:rPr>
      </w:pPr>
      <w:r w:rsidRPr="00DD4877">
        <w:rPr>
          <w:rFonts w:ascii="Segoe UI" w:eastAsiaTheme="minorHAnsi" w:hAnsi="Segoe UI" w:cs="Segoe UI"/>
          <w:color w:val="666666"/>
          <w:sz w:val="20"/>
          <w:szCs w:val="20"/>
        </w:rPr>
        <w:t xml:space="preserve">We launched Surface Pro 3 in the U.S. and Canada on June 20, and it will roll out to additional markets </w:t>
      </w:r>
      <w:r>
        <w:rPr>
          <w:rFonts w:ascii="Segoe UI" w:eastAsiaTheme="minorHAnsi" w:hAnsi="Segoe UI" w:cs="Segoe UI"/>
          <w:color w:val="666666"/>
          <w:sz w:val="20"/>
          <w:szCs w:val="20"/>
        </w:rPr>
        <w:t>beginning in the first quarter of fiscal</w:t>
      </w:r>
      <w:r w:rsidR="003A19D2">
        <w:rPr>
          <w:rFonts w:ascii="Segoe UI" w:eastAsiaTheme="minorHAnsi" w:hAnsi="Segoe UI" w:cs="Segoe UI"/>
          <w:color w:val="666666"/>
          <w:sz w:val="20"/>
          <w:szCs w:val="20"/>
        </w:rPr>
        <w:t xml:space="preserve"> year</w:t>
      </w:r>
      <w:r>
        <w:rPr>
          <w:rFonts w:ascii="Segoe UI" w:eastAsiaTheme="minorHAnsi" w:hAnsi="Segoe UI" w:cs="Segoe UI"/>
          <w:color w:val="666666"/>
          <w:sz w:val="20"/>
          <w:szCs w:val="20"/>
        </w:rPr>
        <w:t xml:space="preserve"> 2015</w:t>
      </w:r>
      <w:r w:rsidRPr="00DD4877">
        <w:rPr>
          <w:rFonts w:ascii="Segoe UI" w:eastAsiaTheme="minorHAnsi" w:hAnsi="Segoe UI" w:cs="Segoe UI"/>
          <w:color w:val="666666"/>
          <w:sz w:val="20"/>
          <w:szCs w:val="20"/>
        </w:rPr>
        <w:t xml:space="preserve">.  This new device </w:t>
      </w:r>
      <w:r>
        <w:rPr>
          <w:rFonts w:ascii="Segoe UI" w:eastAsiaTheme="minorHAnsi" w:hAnsi="Segoe UI" w:cs="Segoe UI"/>
          <w:color w:val="666666"/>
          <w:sz w:val="20"/>
          <w:szCs w:val="20"/>
        </w:rPr>
        <w:t xml:space="preserve">is optimized for productivity and </w:t>
      </w:r>
      <w:r w:rsidRPr="00DD4877">
        <w:rPr>
          <w:rFonts w:ascii="Segoe UI" w:eastAsiaTheme="minorHAnsi" w:hAnsi="Segoe UI" w:cs="Segoe UI"/>
          <w:color w:val="666666"/>
          <w:sz w:val="20"/>
          <w:szCs w:val="20"/>
        </w:rPr>
        <w:t xml:space="preserve">highlights </w:t>
      </w:r>
      <w:r>
        <w:rPr>
          <w:rFonts w:ascii="Segoe UI" w:eastAsiaTheme="minorHAnsi" w:hAnsi="Segoe UI" w:cs="Segoe UI"/>
          <w:color w:val="666666"/>
          <w:sz w:val="20"/>
          <w:szCs w:val="20"/>
        </w:rPr>
        <w:t>the progress we have made bringing hardware and software together</w:t>
      </w:r>
      <w:r w:rsidRPr="0010733A">
        <w:rPr>
          <w:rFonts w:ascii="Segoe UI" w:eastAsiaTheme="minorHAnsi" w:hAnsi="Segoe UI" w:cs="Segoe UI"/>
          <w:color w:val="666666"/>
          <w:sz w:val="20"/>
          <w:szCs w:val="20"/>
        </w:rPr>
        <w:t>.</w:t>
      </w:r>
    </w:p>
    <w:p w14:paraId="20C2A671" w14:textId="2EC8DDD2" w:rsidR="00A60D91" w:rsidRDefault="00A60D91" w:rsidP="00A60D91">
      <w:pPr>
        <w:pStyle w:val="NormalWeb"/>
        <w:spacing w:before="160" w:beforeAutospacing="0" w:after="160" w:afterAutospacing="0"/>
      </w:pPr>
      <w:r w:rsidRPr="002F6B78">
        <w:rPr>
          <w:rFonts w:ascii="Segoe UI" w:hAnsi="Segoe UI" w:cs="Segoe UI"/>
          <w:color w:val="666666"/>
          <w:sz w:val="20"/>
          <w:szCs w:val="20"/>
        </w:rPr>
        <w:t xml:space="preserve">During the E3 conference in early June, we highlighted </w:t>
      </w:r>
      <w:r>
        <w:rPr>
          <w:rFonts w:ascii="Segoe UI" w:hAnsi="Segoe UI" w:cs="Segoe UI"/>
          <w:color w:val="666666"/>
          <w:sz w:val="20"/>
          <w:szCs w:val="20"/>
        </w:rPr>
        <w:t xml:space="preserve">several new </w:t>
      </w:r>
      <w:r w:rsidRPr="002F6B78">
        <w:rPr>
          <w:rFonts w:ascii="Segoe UI" w:hAnsi="Segoe UI" w:cs="Segoe UI"/>
          <w:color w:val="666666"/>
          <w:sz w:val="20"/>
          <w:szCs w:val="20"/>
        </w:rPr>
        <w:t>titles</w:t>
      </w:r>
      <w:r>
        <w:rPr>
          <w:rFonts w:ascii="Segoe UI" w:hAnsi="Segoe UI" w:cs="Segoe UI"/>
          <w:color w:val="666666"/>
          <w:sz w:val="20"/>
          <w:szCs w:val="20"/>
        </w:rPr>
        <w:t xml:space="preserve"> that will be ava</w:t>
      </w:r>
      <w:r w:rsidR="003A19D2">
        <w:rPr>
          <w:rFonts w:ascii="Segoe UI" w:hAnsi="Segoe UI" w:cs="Segoe UI"/>
          <w:color w:val="666666"/>
          <w:sz w:val="20"/>
          <w:szCs w:val="20"/>
        </w:rPr>
        <w:t>ilable exclusively on the Xbox P</w:t>
      </w:r>
      <w:r>
        <w:rPr>
          <w:rFonts w:ascii="Segoe UI" w:hAnsi="Segoe UI" w:cs="Segoe UI"/>
          <w:color w:val="666666"/>
          <w:sz w:val="20"/>
          <w:szCs w:val="20"/>
        </w:rPr>
        <w:t>latform.</w:t>
      </w:r>
      <w:r w:rsidRPr="002F6B78">
        <w:rPr>
          <w:rFonts w:ascii="Segoe UI" w:hAnsi="Segoe UI" w:cs="Segoe UI"/>
          <w:color w:val="666666"/>
          <w:sz w:val="20"/>
          <w:szCs w:val="20"/>
        </w:rPr>
        <w:t xml:space="preserve">  We also launched a lower</w:t>
      </w:r>
      <w:r>
        <w:rPr>
          <w:rFonts w:ascii="Segoe UI" w:hAnsi="Segoe UI" w:cs="Segoe UI"/>
          <w:color w:val="666666"/>
          <w:sz w:val="20"/>
          <w:szCs w:val="20"/>
        </w:rPr>
        <w:t>-</w:t>
      </w:r>
      <w:r w:rsidRPr="002F6B78">
        <w:rPr>
          <w:rFonts w:ascii="Segoe UI" w:hAnsi="Segoe UI" w:cs="Segoe UI"/>
          <w:color w:val="666666"/>
          <w:sz w:val="20"/>
          <w:szCs w:val="20"/>
        </w:rPr>
        <w:t xml:space="preserve">priced </w:t>
      </w:r>
      <w:r>
        <w:rPr>
          <w:rFonts w:ascii="Segoe UI" w:hAnsi="Segoe UI" w:cs="Segoe UI"/>
          <w:color w:val="666666"/>
          <w:sz w:val="20"/>
          <w:szCs w:val="20"/>
        </w:rPr>
        <w:t>console</w:t>
      </w:r>
      <w:r w:rsidR="005A4E1F">
        <w:rPr>
          <w:rFonts w:ascii="Segoe UI" w:hAnsi="Segoe UI" w:cs="Segoe UI"/>
          <w:color w:val="666666"/>
          <w:sz w:val="20"/>
          <w:szCs w:val="20"/>
        </w:rPr>
        <w:t xml:space="preserve"> without the Kinect sensor</w:t>
      </w:r>
      <w:r w:rsidRPr="002F6B78">
        <w:rPr>
          <w:rFonts w:ascii="Segoe UI" w:hAnsi="Segoe UI" w:cs="Segoe UI"/>
          <w:color w:val="666666"/>
          <w:sz w:val="20"/>
          <w:szCs w:val="20"/>
        </w:rPr>
        <w:t xml:space="preserve"> to provide additional choice to our customers, and are planning to offer Xbox One in additional markets beginning this fall</w:t>
      </w:r>
      <w:r>
        <w:rPr>
          <w:rFonts w:ascii="Segoe UI" w:hAnsi="Segoe UI" w:cs="Segoe UI"/>
          <w:color w:val="666666"/>
          <w:sz w:val="20"/>
          <w:szCs w:val="20"/>
        </w:rPr>
        <w:t>.</w:t>
      </w:r>
    </w:p>
    <w:p w14:paraId="6677F5FF" w14:textId="77777777" w:rsidR="00A60D91" w:rsidRPr="00CA404F" w:rsidRDefault="00A60D91" w:rsidP="00A60D91">
      <w:pPr>
        <w:spacing w:before="160" w:line="280" w:lineRule="exact"/>
        <w:jc w:val="both"/>
        <w:rPr>
          <w:rFonts w:ascii="Segoe UI" w:hAnsi="Segoe UI" w:cs="Segoe UI"/>
          <w:b/>
          <w:i/>
          <w:color w:val="666666"/>
          <w:sz w:val="20"/>
          <w:szCs w:val="20"/>
        </w:rPr>
      </w:pPr>
      <w:r w:rsidRPr="004A55C8">
        <w:rPr>
          <w:rFonts w:ascii="Segoe UI" w:hAnsi="Segoe UI" w:cs="Segoe UI"/>
          <w:b/>
          <w:i/>
          <w:color w:val="666666"/>
          <w:sz w:val="20"/>
          <w:szCs w:val="20"/>
        </w:rPr>
        <w:t>Phone Hardware</w:t>
      </w:r>
    </w:p>
    <w:p w14:paraId="23251347" w14:textId="77777777" w:rsidR="00A60D91" w:rsidRDefault="00A60D91" w:rsidP="00A60D91">
      <w:pPr>
        <w:pStyle w:val="NormalWeb"/>
        <w:spacing w:before="160" w:beforeAutospacing="0" w:after="160" w:afterAutospacing="0"/>
        <w:rPr>
          <w:rFonts w:ascii="Segoe UI" w:eastAsia="Calibri" w:hAnsi="Segoe UI" w:cs="Segoe UI"/>
          <w:color w:val="666666"/>
          <w:sz w:val="20"/>
          <w:szCs w:val="20"/>
        </w:rPr>
      </w:pPr>
      <w:r w:rsidRPr="004A55C8">
        <w:rPr>
          <w:rFonts w:ascii="Segoe UI" w:eastAsia="Calibri" w:hAnsi="Segoe UI" w:cs="Segoe UI"/>
          <w:color w:val="666666"/>
          <w:sz w:val="20"/>
          <w:szCs w:val="20"/>
        </w:rPr>
        <w:t>Phone Hardware</w:t>
      </w:r>
      <w:r w:rsidRPr="00CA404F">
        <w:rPr>
          <w:rFonts w:ascii="Segoe UI" w:eastAsia="Calibri" w:hAnsi="Segoe UI" w:cs="Segoe UI"/>
          <w:color w:val="666666"/>
          <w:sz w:val="20"/>
          <w:szCs w:val="20"/>
        </w:rPr>
        <w:t xml:space="preserve"> </w:t>
      </w:r>
      <w:r w:rsidRPr="004A55C8">
        <w:rPr>
          <w:rFonts w:ascii="Segoe UI" w:eastAsia="Calibri" w:hAnsi="Segoe UI" w:cs="Segoe UI"/>
          <w:color w:val="666666"/>
          <w:sz w:val="20"/>
          <w:szCs w:val="20"/>
        </w:rPr>
        <w:t>revenue</w:t>
      </w:r>
      <w:r w:rsidRPr="00F12E55">
        <w:rPr>
          <w:rFonts w:ascii="Segoe UI" w:eastAsia="Calibri" w:hAnsi="Segoe UI" w:cs="Segoe UI"/>
          <w:color w:val="666666"/>
          <w:sz w:val="20"/>
          <w:szCs w:val="20"/>
        </w:rPr>
        <w:t xml:space="preserve"> was </w:t>
      </w:r>
      <w:r w:rsidRPr="007D13D3">
        <w:rPr>
          <w:rFonts w:ascii="Segoe UI" w:eastAsia="Calibri" w:hAnsi="Segoe UI" w:cs="Segoe UI"/>
          <w:color w:val="666666"/>
          <w:sz w:val="20"/>
          <w:szCs w:val="20"/>
        </w:rPr>
        <w:t>$</w:t>
      </w:r>
      <w:r>
        <w:rPr>
          <w:rFonts w:ascii="Segoe UI" w:eastAsia="Calibri" w:hAnsi="Segoe UI" w:cs="Segoe UI"/>
          <w:color w:val="666666"/>
          <w:sz w:val="20"/>
          <w:szCs w:val="20"/>
        </w:rPr>
        <w:t>1.99</w:t>
      </w:r>
      <w:r w:rsidRPr="00F12E55">
        <w:rPr>
          <w:rFonts w:ascii="Segoe UI" w:eastAsia="Calibri" w:hAnsi="Segoe UI" w:cs="Segoe UI"/>
          <w:color w:val="666666"/>
          <w:sz w:val="20"/>
          <w:szCs w:val="20"/>
        </w:rPr>
        <w:t xml:space="preserve"> billion, reflecting sales of </w:t>
      </w:r>
      <w:r>
        <w:rPr>
          <w:rFonts w:ascii="Segoe UI" w:eastAsia="Calibri" w:hAnsi="Segoe UI" w:cs="Segoe UI"/>
          <w:color w:val="666666"/>
          <w:sz w:val="20"/>
          <w:szCs w:val="20"/>
        </w:rPr>
        <w:t xml:space="preserve">Lumia Smartphones </w:t>
      </w:r>
      <w:r w:rsidRPr="001A71E0">
        <w:rPr>
          <w:rFonts w:ascii="Segoe UI" w:eastAsia="Calibri" w:hAnsi="Segoe UI" w:cs="Segoe UI"/>
          <w:color w:val="666666"/>
          <w:sz w:val="20"/>
          <w:szCs w:val="20"/>
        </w:rPr>
        <w:t xml:space="preserve">and </w:t>
      </w:r>
      <w:r>
        <w:rPr>
          <w:rFonts w:ascii="Segoe UI" w:eastAsia="Calibri" w:hAnsi="Segoe UI" w:cs="Segoe UI"/>
          <w:color w:val="666666"/>
          <w:sz w:val="20"/>
          <w:szCs w:val="20"/>
        </w:rPr>
        <w:t>other first-party non-Lumia phones following</w:t>
      </w:r>
      <w:r w:rsidRPr="00F12E55">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completion of the NDS </w:t>
      </w:r>
      <w:r w:rsidRPr="00F12E55">
        <w:rPr>
          <w:rFonts w:ascii="Segoe UI" w:eastAsia="Calibri" w:hAnsi="Segoe UI" w:cs="Segoe UI"/>
          <w:color w:val="666666"/>
          <w:sz w:val="20"/>
          <w:szCs w:val="20"/>
        </w:rPr>
        <w:t xml:space="preserve">acquisition. </w:t>
      </w:r>
      <w:r>
        <w:rPr>
          <w:rFonts w:ascii="Segoe UI" w:eastAsia="Calibri" w:hAnsi="Segoe UI" w:cs="Segoe UI"/>
          <w:color w:val="666666"/>
          <w:sz w:val="20"/>
          <w:szCs w:val="20"/>
        </w:rPr>
        <w:t xml:space="preserve"> Cost of revenue was </w:t>
      </w:r>
      <w:r w:rsidRPr="007D13D3">
        <w:rPr>
          <w:rFonts w:ascii="Segoe UI" w:eastAsia="Calibri" w:hAnsi="Segoe UI" w:cs="Segoe UI"/>
          <w:color w:val="666666"/>
          <w:sz w:val="20"/>
          <w:szCs w:val="20"/>
        </w:rPr>
        <w:t>$1.9</w:t>
      </w:r>
      <w:r>
        <w:rPr>
          <w:rFonts w:ascii="Segoe UI" w:eastAsia="Calibri" w:hAnsi="Segoe UI" w:cs="Segoe UI"/>
          <w:color w:val="666666"/>
          <w:sz w:val="20"/>
          <w:szCs w:val="20"/>
        </w:rPr>
        <w:t xml:space="preserve">3 billion, </w:t>
      </w:r>
      <w:r w:rsidRPr="00F12E55">
        <w:rPr>
          <w:rFonts w:ascii="Segoe UI" w:eastAsia="Calibri" w:hAnsi="Segoe UI" w:cs="Segoe UI"/>
          <w:color w:val="666666"/>
          <w:sz w:val="20"/>
          <w:szCs w:val="20"/>
        </w:rPr>
        <w:t>including amortization of acquired intangible assets</w:t>
      </w:r>
      <w:r>
        <w:rPr>
          <w:rFonts w:ascii="Segoe UI" w:eastAsia="Calibri" w:hAnsi="Segoe UI" w:cs="Segoe UI"/>
          <w:color w:val="666666"/>
          <w:sz w:val="20"/>
          <w:szCs w:val="20"/>
        </w:rPr>
        <w:t xml:space="preserve"> and the impact of decisions to rationalize our device portfolio, resulting in gross margin of </w:t>
      </w:r>
      <w:r w:rsidRPr="007D13D3">
        <w:rPr>
          <w:rFonts w:ascii="Segoe UI" w:eastAsia="Calibri" w:hAnsi="Segoe UI" w:cs="Segoe UI"/>
          <w:color w:val="666666"/>
          <w:sz w:val="20"/>
          <w:szCs w:val="20"/>
        </w:rPr>
        <w:t>$54</w:t>
      </w:r>
      <w:r>
        <w:rPr>
          <w:rFonts w:ascii="Segoe UI" w:eastAsia="Calibri" w:hAnsi="Segoe UI" w:cs="Segoe UI"/>
          <w:color w:val="666666"/>
          <w:sz w:val="20"/>
          <w:szCs w:val="20"/>
        </w:rPr>
        <w:t xml:space="preserve"> million.</w:t>
      </w:r>
    </w:p>
    <w:p w14:paraId="606143E3" w14:textId="016E7611" w:rsidR="00A60D91" w:rsidRPr="007B63B9" w:rsidRDefault="00A60D91" w:rsidP="00A60D91">
      <w:pPr>
        <w:pStyle w:val="NormalWeb"/>
        <w:numPr>
          <w:ilvl w:val="0"/>
          <w:numId w:val="5"/>
        </w:numPr>
        <w:spacing w:before="160" w:beforeAutospacing="0" w:after="160" w:afterAutospacing="0"/>
        <w:rPr>
          <w:rFonts w:ascii="Segoe UI" w:eastAsia="Calibri" w:hAnsi="Segoe UI" w:cs="Segoe UI"/>
          <w:color w:val="666666"/>
          <w:sz w:val="20"/>
          <w:szCs w:val="20"/>
        </w:rPr>
      </w:pPr>
      <w:r w:rsidRPr="00F12E55">
        <w:rPr>
          <w:rFonts w:ascii="Segoe UI" w:eastAsia="Calibri" w:hAnsi="Segoe UI" w:cs="Segoe UI"/>
          <w:color w:val="666666"/>
          <w:sz w:val="20"/>
          <w:szCs w:val="20"/>
        </w:rPr>
        <w:t xml:space="preserve">We sold </w:t>
      </w:r>
      <w:r w:rsidRPr="002B67D9">
        <w:rPr>
          <w:rFonts w:ascii="Segoe UI" w:eastAsia="Calibri" w:hAnsi="Segoe UI" w:cs="Segoe UI"/>
          <w:color w:val="666666"/>
          <w:sz w:val="20"/>
          <w:szCs w:val="20"/>
        </w:rPr>
        <w:t>5.8</w:t>
      </w:r>
      <w:r w:rsidRPr="00F12E55">
        <w:rPr>
          <w:rFonts w:ascii="Segoe UI" w:eastAsia="Calibri" w:hAnsi="Segoe UI" w:cs="Segoe UI"/>
          <w:color w:val="666666"/>
          <w:sz w:val="20"/>
          <w:szCs w:val="20"/>
        </w:rPr>
        <w:t xml:space="preserve"> million </w:t>
      </w:r>
      <w:r>
        <w:rPr>
          <w:rFonts w:ascii="Segoe UI" w:eastAsia="Calibri" w:hAnsi="Segoe UI" w:cs="Segoe UI"/>
          <w:color w:val="666666"/>
          <w:sz w:val="20"/>
          <w:szCs w:val="20"/>
        </w:rPr>
        <w:t xml:space="preserve">Lumia Smartphones, </w:t>
      </w:r>
      <w:r w:rsidRPr="00F12E55">
        <w:rPr>
          <w:rFonts w:ascii="Segoe UI" w:eastAsia="Calibri" w:hAnsi="Segoe UI" w:cs="Segoe UI"/>
          <w:color w:val="666666"/>
          <w:sz w:val="20"/>
          <w:szCs w:val="20"/>
        </w:rPr>
        <w:t xml:space="preserve">and </w:t>
      </w:r>
      <w:r w:rsidRPr="0098126A">
        <w:rPr>
          <w:rFonts w:ascii="Segoe UI" w:eastAsia="Calibri" w:hAnsi="Segoe UI" w:cs="Segoe UI"/>
          <w:color w:val="666666"/>
          <w:sz w:val="20"/>
          <w:szCs w:val="20"/>
        </w:rPr>
        <w:t>30.3</w:t>
      </w:r>
      <w:r>
        <w:rPr>
          <w:rFonts w:ascii="Segoe UI" w:eastAsia="Calibri" w:hAnsi="Segoe UI" w:cs="Segoe UI"/>
          <w:color w:val="666666"/>
          <w:sz w:val="20"/>
          <w:szCs w:val="20"/>
        </w:rPr>
        <w:t xml:space="preserve"> million non-Lumia phones </w:t>
      </w:r>
      <w:r w:rsidRPr="00F12E55">
        <w:rPr>
          <w:rFonts w:ascii="Segoe UI" w:eastAsia="Calibri" w:hAnsi="Segoe UI" w:cs="Segoe UI"/>
          <w:color w:val="666666"/>
          <w:sz w:val="20"/>
          <w:szCs w:val="20"/>
        </w:rPr>
        <w:t>following</w:t>
      </w:r>
      <w:r>
        <w:rPr>
          <w:rFonts w:ascii="Segoe UI" w:eastAsia="Calibri" w:hAnsi="Segoe UI" w:cs="Segoe UI"/>
          <w:color w:val="666666"/>
          <w:sz w:val="20"/>
          <w:szCs w:val="20"/>
        </w:rPr>
        <w:t xml:space="preserve"> the completion of the</w:t>
      </w:r>
      <w:r w:rsidR="003A19D2">
        <w:rPr>
          <w:rFonts w:ascii="Segoe UI" w:eastAsia="Calibri" w:hAnsi="Segoe UI" w:cs="Segoe UI"/>
          <w:color w:val="666666"/>
          <w:sz w:val="20"/>
          <w:szCs w:val="20"/>
        </w:rPr>
        <w:t xml:space="preserve"> NDS</w:t>
      </w:r>
      <w:r>
        <w:rPr>
          <w:rFonts w:ascii="Segoe UI" w:eastAsia="Calibri" w:hAnsi="Segoe UI" w:cs="Segoe UI"/>
          <w:color w:val="666666"/>
          <w:sz w:val="20"/>
          <w:szCs w:val="20"/>
        </w:rPr>
        <w:t xml:space="preserve"> acquisition</w:t>
      </w:r>
      <w:r w:rsidRPr="00F12E55">
        <w:rPr>
          <w:rFonts w:ascii="Segoe UI" w:eastAsia="Calibri" w:hAnsi="Segoe UI" w:cs="Segoe UI"/>
          <w:color w:val="666666"/>
          <w:sz w:val="20"/>
          <w:szCs w:val="20"/>
        </w:rPr>
        <w:t>.</w:t>
      </w:r>
      <w:r>
        <w:rPr>
          <w:rFonts w:ascii="Segoe UI" w:eastAsia="Calibri" w:hAnsi="Segoe UI" w:cs="Segoe UI"/>
          <w:color w:val="666666"/>
          <w:sz w:val="20"/>
          <w:szCs w:val="20"/>
        </w:rPr>
        <w:t xml:space="preserve">  Low price point devices drove a </w:t>
      </w:r>
      <w:r w:rsidRPr="008D535C">
        <w:rPr>
          <w:rFonts w:ascii="Segoe UI" w:eastAsia="Calibri" w:hAnsi="Segoe UI" w:cs="Segoe UI"/>
          <w:color w:val="666666"/>
          <w:sz w:val="20"/>
          <w:szCs w:val="20"/>
        </w:rPr>
        <w:t xml:space="preserve">majority of </w:t>
      </w:r>
      <w:r>
        <w:rPr>
          <w:rFonts w:ascii="Segoe UI" w:eastAsia="Calibri" w:hAnsi="Segoe UI" w:cs="Segoe UI"/>
          <w:color w:val="666666"/>
          <w:sz w:val="20"/>
          <w:szCs w:val="20"/>
        </w:rPr>
        <w:t xml:space="preserve">the </w:t>
      </w:r>
      <w:r w:rsidRPr="008D535C">
        <w:rPr>
          <w:rFonts w:ascii="Segoe UI" w:eastAsia="Calibri" w:hAnsi="Segoe UI" w:cs="Segoe UI"/>
          <w:color w:val="666666"/>
          <w:sz w:val="20"/>
          <w:szCs w:val="20"/>
        </w:rPr>
        <w:t xml:space="preserve">Lumia </w:t>
      </w:r>
      <w:r>
        <w:rPr>
          <w:rFonts w:ascii="Segoe UI" w:eastAsia="Calibri" w:hAnsi="Segoe UI" w:cs="Segoe UI"/>
          <w:color w:val="666666"/>
          <w:sz w:val="20"/>
          <w:szCs w:val="20"/>
        </w:rPr>
        <w:t xml:space="preserve">Smartphone </w:t>
      </w:r>
      <w:r w:rsidRPr="008D535C">
        <w:rPr>
          <w:rFonts w:ascii="Segoe UI" w:eastAsia="Calibri" w:hAnsi="Segoe UI" w:cs="Segoe UI"/>
          <w:color w:val="666666"/>
          <w:sz w:val="20"/>
          <w:szCs w:val="20"/>
        </w:rPr>
        <w:t>volume</w:t>
      </w:r>
      <w:r>
        <w:rPr>
          <w:rFonts w:ascii="Segoe UI" w:eastAsia="Calibri" w:hAnsi="Segoe UI" w:cs="Segoe UI"/>
          <w:color w:val="666666"/>
          <w:sz w:val="20"/>
          <w:szCs w:val="20"/>
        </w:rPr>
        <w:t>s</w:t>
      </w:r>
      <w:r w:rsidRPr="008D535C">
        <w:rPr>
          <w:rFonts w:ascii="Segoe UI" w:eastAsia="Calibri" w:hAnsi="Segoe UI" w:cs="Segoe UI"/>
          <w:color w:val="666666"/>
          <w:sz w:val="20"/>
          <w:szCs w:val="20"/>
        </w:rPr>
        <w:t xml:space="preserve">.  </w:t>
      </w:r>
      <w:r>
        <w:rPr>
          <w:rFonts w:ascii="Segoe UI" w:eastAsia="Calibri" w:hAnsi="Segoe UI" w:cs="Segoe UI"/>
          <w:color w:val="666666"/>
          <w:sz w:val="20"/>
          <w:szCs w:val="20"/>
        </w:rPr>
        <w:t>Non-Lumia</w:t>
      </w:r>
      <w:r w:rsidRPr="008D535C">
        <w:rPr>
          <w:rFonts w:ascii="Segoe UI" w:eastAsia="Calibri" w:hAnsi="Segoe UI" w:cs="Segoe UI"/>
          <w:color w:val="666666"/>
          <w:sz w:val="20"/>
          <w:szCs w:val="20"/>
        </w:rPr>
        <w:t xml:space="preserve"> phone </w:t>
      </w:r>
      <w:r>
        <w:rPr>
          <w:rFonts w:ascii="Segoe UI" w:eastAsia="Calibri" w:hAnsi="Segoe UI" w:cs="Segoe UI"/>
          <w:color w:val="666666"/>
          <w:sz w:val="20"/>
          <w:szCs w:val="20"/>
        </w:rPr>
        <w:t xml:space="preserve">volumes performed </w:t>
      </w:r>
      <w:r w:rsidRPr="008D535C">
        <w:rPr>
          <w:rFonts w:ascii="Segoe UI" w:eastAsia="Calibri" w:hAnsi="Segoe UI" w:cs="Segoe UI"/>
          <w:color w:val="666666"/>
          <w:sz w:val="20"/>
          <w:szCs w:val="20"/>
        </w:rPr>
        <w:t>in</w:t>
      </w:r>
      <w:r w:rsidR="008F1150">
        <w:rPr>
          <w:rFonts w:ascii="Segoe UI" w:eastAsia="Calibri" w:hAnsi="Segoe UI" w:cs="Segoe UI"/>
          <w:color w:val="666666"/>
          <w:sz w:val="20"/>
          <w:szCs w:val="20"/>
        </w:rPr>
        <w:t xml:space="preserve"> </w:t>
      </w:r>
      <w:r w:rsidRPr="008D535C">
        <w:rPr>
          <w:rFonts w:ascii="Segoe UI" w:eastAsia="Calibri" w:hAnsi="Segoe UI" w:cs="Segoe UI"/>
          <w:color w:val="666666"/>
          <w:sz w:val="20"/>
          <w:szCs w:val="20"/>
        </w:rPr>
        <w:t xml:space="preserve">line with </w:t>
      </w:r>
      <w:r>
        <w:rPr>
          <w:rFonts w:ascii="Segoe UI" w:eastAsia="Calibri" w:hAnsi="Segoe UI" w:cs="Segoe UI"/>
          <w:color w:val="666666"/>
          <w:sz w:val="20"/>
          <w:szCs w:val="20"/>
        </w:rPr>
        <w:t xml:space="preserve">the </w:t>
      </w:r>
      <w:r w:rsidRPr="008D535C">
        <w:rPr>
          <w:rFonts w:ascii="Segoe UI" w:eastAsia="Calibri" w:hAnsi="Segoe UI" w:cs="Segoe UI"/>
          <w:color w:val="666666"/>
          <w:sz w:val="20"/>
          <w:szCs w:val="20"/>
        </w:rPr>
        <w:t xml:space="preserve">market for </w:t>
      </w:r>
      <w:r>
        <w:rPr>
          <w:rFonts w:ascii="Segoe UI" w:eastAsia="Calibri" w:hAnsi="Segoe UI" w:cs="Segoe UI"/>
          <w:color w:val="666666"/>
          <w:sz w:val="20"/>
          <w:szCs w:val="20"/>
        </w:rPr>
        <w:t>this category of devices</w:t>
      </w:r>
      <w:r w:rsidRPr="008D535C">
        <w:rPr>
          <w:rFonts w:ascii="Segoe UI" w:eastAsia="Calibri" w:hAnsi="Segoe UI" w:cs="Segoe UI"/>
          <w:color w:val="666666"/>
          <w:sz w:val="20"/>
          <w:szCs w:val="20"/>
        </w:rPr>
        <w:t>.</w:t>
      </w:r>
    </w:p>
    <w:p w14:paraId="0E76450B" w14:textId="77777777" w:rsidR="00A60D91" w:rsidRPr="008F5FDB" w:rsidRDefault="00A60D91" w:rsidP="00A60D91">
      <w:pPr>
        <w:spacing w:before="160" w:line="280" w:lineRule="exact"/>
        <w:jc w:val="both"/>
        <w:rPr>
          <w:rFonts w:ascii="Segoe UI" w:hAnsi="Segoe UI" w:cs="Segoe UI"/>
          <w:b/>
          <w:i/>
          <w:color w:val="666666"/>
          <w:sz w:val="20"/>
          <w:szCs w:val="20"/>
        </w:rPr>
      </w:pPr>
      <w:r w:rsidRPr="008F5FDB">
        <w:rPr>
          <w:rFonts w:ascii="Segoe UI" w:hAnsi="Segoe UI" w:cs="Segoe UI"/>
          <w:b/>
          <w:i/>
          <w:color w:val="666666"/>
          <w:sz w:val="20"/>
          <w:szCs w:val="20"/>
        </w:rPr>
        <w:t>D&amp;C Other</w:t>
      </w:r>
    </w:p>
    <w:p w14:paraId="6A4367D9" w14:textId="77777777" w:rsidR="00A60D91" w:rsidRPr="008F5FDB" w:rsidRDefault="00A60D91" w:rsidP="00A60D91">
      <w:pPr>
        <w:pStyle w:val="NormalWeb"/>
        <w:spacing w:before="160" w:beforeAutospacing="0" w:after="160" w:afterAutospacing="0"/>
        <w:rPr>
          <w:rFonts w:ascii="Segoe UI" w:eastAsia="Calibri" w:hAnsi="Segoe UI" w:cs="Segoe UI"/>
          <w:color w:val="666666"/>
          <w:sz w:val="20"/>
          <w:szCs w:val="20"/>
        </w:rPr>
      </w:pPr>
      <w:r w:rsidRPr="008F5FDB">
        <w:rPr>
          <w:rFonts w:ascii="Segoe UI" w:eastAsia="Calibri" w:hAnsi="Segoe UI" w:cs="Segoe UI"/>
          <w:color w:val="666666"/>
          <w:sz w:val="20"/>
          <w:szCs w:val="20"/>
        </w:rPr>
        <w:t xml:space="preserve">D&amp;C Other revenue increased </w:t>
      </w:r>
      <w:r w:rsidRPr="0098126A">
        <w:rPr>
          <w:rFonts w:ascii="Segoe UI" w:eastAsia="Calibri" w:hAnsi="Segoe UI" w:cs="Segoe UI"/>
          <w:color w:val="666666"/>
          <w:sz w:val="20"/>
          <w:szCs w:val="20"/>
        </w:rPr>
        <w:t>$317</w:t>
      </w:r>
      <w:r w:rsidRPr="008F5FDB">
        <w:rPr>
          <w:rFonts w:ascii="Segoe UI" w:eastAsia="Calibri" w:hAnsi="Segoe UI" w:cs="Segoe UI"/>
          <w:color w:val="666666"/>
          <w:sz w:val="20"/>
          <w:szCs w:val="20"/>
        </w:rPr>
        <w:t xml:space="preserve"> million or </w:t>
      </w:r>
      <w:r w:rsidRPr="0098126A">
        <w:rPr>
          <w:rFonts w:ascii="Segoe UI" w:eastAsia="Calibri" w:hAnsi="Segoe UI" w:cs="Segoe UI"/>
          <w:color w:val="666666"/>
          <w:sz w:val="20"/>
          <w:szCs w:val="20"/>
        </w:rPr>
        <w:t>20%</w:t>
      </w:r>
      <w:r w:rsidRPr="008F5FDB">
        <w:rPr>
          <w:rFonts w:ascii="Segoe UI" w:eastAsia="Calibri" w:hAnsi="Segoe UI" w:cs="Segoe UI"/>
          <w:color w:val="666666"/>
          <w:sz w:val="20"/>
          <w:szCs w:val="20"/>
        </w:rPr>
        <w:t>, due mainly to increases in search revenue and Office 365 Consumer</w:t>
      </w:r>
      <w:r>
        <w:rPr>
          <w:rFonts w:ascii="Segoe UI" w:eastAsia="Calibri" w:hAnsi="Segoe UI" w:cs="Segoe UI"/>
          <w:color w:val="666666"/>
          <w:sz w:val="20"/>
          <w:szCs w:val="20"/>
        </w:rPr>
        <w:t xml:space="preserve"> subscriptions</w:t>
      </w:r>
      <w:r w:rsidRPr="008F5FDB">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 G</w:t>
      </w:r>
      <w:r w:rsidRPr="008F5FDB">
        <w:rPr>
          <w:rFonts w:ascii="Segoe UI" w:eastAsia="Calibri" w:hAnsi="Segoe UI" w:cs="Segoe UI"/>
          <w:color w:val="666666"/>
          <w:sz w:val="20"/>
          <w:szCs w:val="20"/>
        </w:rPr>
        <w:t xml:space="preserve">ross margin increased </w:t>
      </w:r>
      <w:r>
        <w:rPr>
          <w:rFonts w:ascii="Segoe UI" w:eastAsia="Calibri" w:hAnsi="Segoe UI" w:cs="Segoe UI"/>
          <w:color w:val="666666"/>
          <w:sz w:val="20"/>
          <w:szCs w:val="20"/>
        </w:rPr>
        <w:t xml:space="preserve">$78 million or </w:t>
      </w:r>
      <w:r w:rsidRPr="0098126A">
        <w:rPr>
          <w:rFonts w:ascii="Segoe UI" w:eastAsia="Calibri" w:hAnsi="Segoe UI" w:cs="Segoe UI"/>
          <w:color w:val="666666"/>
          <w:sz w:val="20"/>
          <w:szCs w:val="20"/>
        </w:rPr>
        <w:t>2</w:t>
      </w:r>
      <w:r>
        <w:rPr>
          <w:rFonts w:ascii="Segoe UI" w:eastAsia="Calibri" w:hAnsi="Segoe UI" w:cs="Segoe UI"/>
          <w:color w:val="666666"/>
          <w:sz w:val="20"/>
          <w:szCs w:val="20"/>
        </w:rPr>
        <w:t>1</w:t>
      </w:r>
      <w:r w:rsidRPr="0098126A">
        <w:rPr>
          <w:rFonts w:ascii="Segoe UI" w:eastAsia="Calibri" w:hAnsi="Segoe UI" w:cs="Segoe UI"/>
          <w:color w:val="666666"/>
          <w:sz w:val="20"/>
          <w:szCs w:val="20"/>
        </w:rPr>
        <w:t>%</w:t>
      </w:r>
      <w:r>
        <w:rPr>
          <w:rFonts w:ascii="Segoe UI" w:eastAsia="Calibri" w:hAnsi="Segoe UI" w:cs="Segoe UI"/>
          <w:color w:val="666666"/>
          <w:sz w:val="20"/>
          <w:szCs w:val="20"/>
        </w:rPr>
        <w:t>.</w:t>
      </w:r>
    </w:p>
    <w:p w14:paraId="36F3DA28" w14:textId="77777777" w:rsidR="00A60D91" w:rsidRPr="00B75914" w:rsidRDefault="00A60D91" w:rsidP="00A60D91">
      <w:pPr>
        <w:pStyle w:val="NormalWeb"/>
        <w:numPr>
          <w:ilvl w:val="0"/>
          <w:numId w:val="5"/>
        </w:numPr>
        <w:spacing w:before="160" w:beforeAutospacing="0" w:after="160" w:afterAutospacing="0"/>
        <w:rPr>
          <w:rFonts w:ascii="Segoe UI" w:eastAsia="Calibri" w:hAnsi="Segoe UI" w:cs="Segoe UI"/>
          <w:color w:val="666666"/>
          <w:sz w:val="20"/>
          <w:szCs w:val="20"/>
        </w:rPr>
      </w:pPr>
      <w:r w:rsidRPr="00496980">
        <w:rPr>
          <w:rFonts w:ascii="Segoe UI" w:eastAsia="Calibri" w:hAnsi="Segoe UI" w:cs="Segoe UI"/>
          <w:color w:val="666666"/>
          <w:sz w:val="20"/>
          <w:szCs w:val="20"/>
        </w:rPr>
        <w:lastRenderedPageBreak/>
        <w:t>We continue to see strong adoption of Office 365</w:t>
      </w:r>
      <w:r>
        <w:rPr>
          <w:rFonts w:ascii="Segoe UI" w:eastAsia="Calibri" w:hAnsi="Segoe UI" w:cs="Segoe UI"/>
          <w:color w:val="666666"/>
          <w:sz w:val="20"/>
          <w:szCs w:val="20"/>
        </w:rPr>
        <w:t xml:space="preserve"> Home and Personal offerings</w:t>
      </w:r>
      <w:r w:rsidRPr="00496980">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which added more </w:t>
      </w:r>
      <w:r w:rsidRPr="00B75914">
        <w:rPr>
          <w:rFonts w:ascii="Segoe UI" w:eastAsia="Calibri" w:hAnsi="Segoe UI" w:cs="Segoe UI"/>
          <w:color w:val="666666"/>
          <w:sz w:val="20"/>
          <w:szCs w:val="20"/>
        </w:rPr>
        <w:t>than 1 million subscribers in the fourth quarter to total more than 5.6 million.</w:t>
      </w:r>
    </w:p>
    <w:p w14:paraId="440500B4" w14:textId="33E14619" w:rsidR="00A60D91" w:rsidRPr="00B75914" w:rsidRDefault="00202880" w:rsidP="00A60D91">
      <w:pPr>
        <w:pStyle w:val="NormalWeb"/>
        <w:numPr>
          <w:ilvl w:val="0"/>
          <w:numId w:val="5"/>
        </w:numPr>
        <w:spacing w:before="160" w:beforeAutospacing="0" w:after="160" w:afterAutospacing="0"/>
        <w:rPr>
          <w:rFonts w:ascii="Segoe UI" w:eastAsia="Calibri" w:hAnsi="Segoe UI" w:cs="Segoe UI"/>
          <w:color w:val="666666"/>
          <w:sz w:val="20"/>
          <w:szCs w:val="20"/>
        </w:rPr>
      </w:pPr>
      <w:r w:rsidRPr="00B75914">
        <w:rPr>
          <w:rFonts w:ascii="Segoe UI" w:eastAsia="Calibri" w:hAnsi="Segoe UI" w:cs="Segoe UI"/>
          <w:color w:val="666666"/>
          <w:sz w:val="20"/>
          <w:szCs w:val="20"/>
        </w:rPr>
        <w:t xml:space="preserve">Search revenue increased 40%, offset by an 11% decline in display revenue.  Growth in search advertising revenue was due to higher </w:t>
      </w:r>
      <w:r w:rsidRPr="003A6656">
        <w:rPr>
          <w:rFonts w:ascii="Segoe UI" w:eastAsia="Calibri" w:hAnsi="Segoe UI" w:cs="Segoe UI"/>
          <w:color w:val="666666"/>
          <w:sz w:val="20"/>
          <w:szCs w:val="20"/>
        </w:rPr>
        <w:t>revenue per search</w:t>
      </w:r>
      <w:r w:rsidR="00EB2BC6" w:rsidRPr="003A6656">
        <w:rPr>
          <w:rFonts w:ascii="Segoe UI" w:eastAsia="Calibri" w:hAnsi="Segoe UI" w:cs="Segoe UI"/>
          <w:color w:val="666666"/>
          <w:sz w:val="20"/>
          <w:szCs w:val="20"/>
        </w:rPr>
        <w:t xml:space="preserve"> (“RPS”)</w:t>
      </w:r>
      <w:r w:rsidR="00245F78" w:rsidRPr="003A6656">
        <w:rPr>
          <w:rFonts w:ascii="Segoe UI" w:eastAsia="Calibri" w:hAnsi="Segoe UI" w:cs="Segoe UI"/>
          <w:color w:val="666666"/>
          <w:sz w:val="20"/>
          <w:szCs w:val="20"/>
        </w:rPr>
        <w:t>, increased</w:t>
      </w:r>
      <w:r w:rsidR="00245F78" w:rsidRPr="00B75914">
        <w:rPr>
          <w:rFonts w:ascii="Segoe UI" w:eastAsia="Calibri" w:hAnsi="Segoe UI" w:cs="Segoe UI"/>
          <w:color w:val="666666"/>
          <w:sz w:val="20"/>
          <w:szCs w:val="20"/>
        </w:rPr>
        <w:t xml:space="preserve"> </w:t>
      </w:r>
      <w:r w:rsidRPr="00B75914">
        <w:rPr>
          <w:rFonts w:ascii="Segoe UI" w:eastAsia="Calibri" w:hAnsi="Segoe UI" w:cs="Segoe UI"/>
          <w:color w:val="666666"/>
          <w:sz w:val="20"/>
          <w:szCs w:val="20"/>
        </w:rPr>
        <w:t>search volume</w:t>
      </w:r>
      <w:r w:rsidR="00245F78" w:rsidRPr="00B75914">
        <w:rPr>
          <w:rFonts w:ascii="Segoe UI" w:eastAsia="Calibri" w:hAnsi="Segoe UI" w:cs="Segoe UI"/>
          <w:color w:val="666666"/>
          <w:sz w:val="20"/>
          <w:szCs w:val="20"/>
        </w:rPr>
        <w:t>,</w:t>
      </w:r>
      <w:r w:rsidRPr="00B75914">
        <w:rPr>
          <w:rFonts w:ascii="Segoe UI" w:eastAsia="Calibri" w:hAnsi="Segoe UI" w:cs="Segoe UI"/>
          <w:color w:val="666666"/>
          <w:sz w:val="20"/>
          <w:szCs w:val="20"/>
        </w:rPr>
        <w:t xml:space="preserve"> and </w:t>
      </w:r>
      <w:r w:rsidR="00245F78" w:rsidRPr="00B75914">
        <w:rPr>
          <w:rFonts w:ascii="Segoe UI" w:eastAsia="Calibri" w:hAnsi="Segoe UI" w:cs="Segoe UI"/>
          <w:color w:val="666666"/>
          <w:sz w:val="20"/>
          <w:szCs w:val="20"/>
        </w:rPr>
        <w:t xml:space="preserve">the </w:t>
      </w:r>
      <w:r w:rsidRPr="00B75914">
        <w:rPr>
          <w:rFonts w:ascii="Segoe UI" w:eastAsia="Calibri" w:hAnsi="Segoe UI" w:cs="Segoe UI"/>
          <w:color w:val="666666"/>
          <w:sz w:val="20"/>
          <w:szCs w:val="20"/>
        </w:rPr>
        <w:t>expiration of North America</w:t>
      </w:r>
      <w:r w:rsidR="00245F78" w:rsidRPr="00B75914">
        <w:rPr>
          <w:rFonts w:ascii="Segoe UI" w:eastAsia="Calibri" w:hAnsi="Segoe UI" w:cs="Segoe UI"/>
          <w:color w:val="666666"/>
          <w:sz w:val="20"/>
          <w:szCs w:val="20"/>
        </w:rPr>
        <w:t>n</w:t>
      </w:r>
      <w:r w:rsidRPr="00B75914">
        <w:rPr>
          <w:rFonts w:ascii="Segoe UI" w:eastAsia="Calibri" w:hAnsi="Segoe UI" w:cs="Segoe UI"/>
          <w:color w:val="666666"/>
          <w:sz w:val="20"/>
          <w:szCs w:val="20"/>
        </w:rPr>
        <w:t xml:space="preserve"> RPS guarantee payments to Yahoo!</w:t>
      </w:r>
      <w:r w:rsidR="00016709">
        <w:rPr>
          <w:rFonts w:ascii="Segoe UI" w:eastAsia="Calibri" w:hAnsi="Segoe UI" w:cs="Segoe UI"/>
          <w:color w:val="666666"/>
          <w:sz w:val="20"/>
          <w:szCs w:val="20"/>
        </w:rPr>
        <w:t xml:space="preserve"> in the prior year</w:t>
      </w:r>
      <w:r w:rsidR="00245F78" w:rsidRPr="00B75914">
        <w:rPr>
          <w:rFonts w:ascii="Segoe UI" w:eastAsia="Calibri" w:hAnsi="Segoe UI" w:cs="Segoe UI"/>
          <w:color w:val="666666"/>
          <w:sz w:val="20"/>
          <w:szCs w:val="20"/>
        </w:rPr>
        <w:t>.</w:t>
      </w:r>
      <w:r w:rsidRPr="00B75914">
        <w:rPr>
          <w:rFonts w:ascii="Segoe UI" w:eastAsia="Calibri" w:hAnsi="Segoe UI" w:cs="Segoe UI"/>
          <w:color w:val="666666"/>
          <w:sz w:val="20"/>
          <w:szCs w:val="20"/>
        </w:rPr>
        <w:t>  U.S.</w:t>
      </w:r>
      <w:r w:rsidR="00EB2BC6">
        <w:rPr>
          <w:rFonts w:ascii="Segoe UI" w:eastAsia="Calibri" w:hAnsi="Segoe UI" w:cs="Segoe UI"/>
          <w:color w:val="666666"/>
          <w:sz w:val="20"/>
          <w:szCs w:val="20"/>
        </w:rPr>
        <w:t xml:space="preserve"> search share grew again to 19.2</w:t>
      </w:r>
      <w:r w:rsidRPr="00B75914">
        <w:rPr>
          <w:rFonts w:ascii="Segoe UI" w:eastAsia="Calibri" w:hAnsi="Segoe UI" w:cs="Segoe UI"/>
          <w:color w:val="666666"/>
          <w:sz w:val="20"/>
          <w:szCs w:val="20"/>
        </w:rPr>
        <w:t>%.</w:t>
      </w:r>
    </w:p>
    <w:p w14:paraId="0EF8E0DF" w14:textId="3F767791" w:rsidR="00A60D91" w:rsidRDefault="00A60D91" w:rsidP="00A60D91">
      <w:pPr>
        <w:pStyle w:val="NormalWeb"/>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Our Bing platform continues to accrue value across our portfolio of products and services.  The Bing search index is helping power several of our offerings, including the Cortana digital assistant, Xbox, and Power BI.  Bing was also chosen as the default search provider for the upcoming release of Apple’s new OS X, providing additional opportunities to monetize the service.</w:t>
      </w:r>
    </w:p>
    <w:p w14:paraId="7CD77891" w14:textId="4BA131F4" w:rsidR="00A60D91" w:rsidRPr="009F2E81" w:rsidRDefault="00A60D91" w:rsidP="00A60D91">
      <w:pPr>
        <w:pStyle w:val="NormalWeb"/>
        <w:spacing w:before="160" w:beforeAutospacing="0" w:after="160" w:afterAutospacing="0"/>
        <w:rPr>
          <w:rFonts w:ascii="Segoe UI" w:hAnsi="Segoe UI" w:cs="Segoe UI"/>
          <w:b/>
          <w:bCs/>
          <w:color w:val="666666"/>
          <w:sz w:val="20"/>
          <w:szCs w:val="20"/>
          <w:u w:val="single"/>
        </w:rPr>
      </w:pPr>
      <w:r w:rsidRPr="009F2E81">
        <w:rPr>
          <w:rFonts w:ascii="Segoe UI" w:hAnsi="Segoe UI" w:cs="Segoe UI"/>
          <w:b/>
          <w:bCs/>
          <w:color w:val="666666"/>
          <w:sz w:val="20"/>
          <w:szCs w:val="20"/>
          <w:u w:val="single"/>
        </w:rPr>
        <w:t>Commercial</w:t>
      </w:r>
    </w:p>
    <w:p w14:paraId="71393D4C" w14:textId="77777777" w:rsidR="00A60D91" w:rsidRDefault="00A60D91" w:rsidP="00A60D91">
      <w:pPr>
        <w:pStyle w:val="NormalWeb"/>
        <w:spacing w:before="160" w:beforeAutospacing="0" w:after="160" w:afterAutospacing="0"/>
        <w:rPr>
          <w:rFonts w:ascii="Segoe UI" w:eastAsia="Calibri" w:hAnsi="Segoe UI" w:cs="Segoe UI"/>
          <w:color w:val="666666"/>
          <w:sz w:val="20"/>
          <w:szCs w:val="20"/>
        </w:rPr>
      </w:pPr>
      <w:r w:rsidRPr="009F2E81">
        <w:rPr>
          <w:rFonts w:ascii="Segoe UI" w:eastAsia="Calibri" w:hAnsi="Segoe UI" w:cs="Segoe UI"/>
          <w:color w:val="666666"/>
          <w:sz w:val="20"/>
          <w:szCs w:val="20"/>
        </w:rPr>
        <w:t xml:space="preserve">Commercial revenue increased </w:t>
      </w:r>
      <w:r w:rsidRPr="006C2C94">
        <w:rPr>
          <w:rFonts w:ascii="Segoe UI" w:eastAsia="Calibri" w:hAnsi="Segoe UI" w:cs="Segoe UI"/>
          <w:color w:val="666666"/>
          <w:sz w:val="20"/>
          <w:szCs w:val="20"/>
        </w:rPr>
        <w:t>$1.</w:t>
      </w:r>
      <w:r>
        <w:rPr>
          <w:rFonts w:ascii="Segoe UI" w:eastAsia="Calibri" w:hAnsi="Segoe UI" w:cs="Segoe UI"/>
          <w:color w:val="666666"/>
          <w:sz w:val="20"/>
          <w:szCs w:val="20"/>
        </w:rPr>
        <w:t>28</w:t>
      </w:r>
      <w:r w:rsidRPr="009F2E81">
        <w:rPr>
          <w:rFonts w:ascii="Segoe UI" w:eastAsia="Calibri" w:hAnsi="Segoe UI" w:cs="Segoe UI"/>
          <w:color w:val="666666"/>
          <w:sz w:val="20"/>
          <w:szCs w:val="20"/>
        </w:rPr>
        <w:t xml:space="preserve"> billion or </w:t>
      </w:r>
      <w:r w:rsidRPr="006C2C94">
        <w:rPr>
          <w:rFonts w:ascii="Segoe UI" w:eastAsia="Calibri" w:hAnsi="Segoe UI" w:cs="Segoe UI"/>
          <w:color w:val="666666"/>
          <w:sz w:val="20"/>
          <w:szCs w:val="20"/>
        </w:rPr>
        <w:t>11%</w:t>
      </w:r>
      <w:r w:rsidRPr="009F2E81">
        <w:rPr>
          <w:rFonts w:ascii="Segoe UI" w:eastAsia="Calibri" w:hAnsi="Segoe UI" w:cs="Segoe UI"/>
          <w:color w:val="666666"/>
          <w:sz w:val="20"/>
          <w:szCs w:val="20"/>
        </w:rPr>
        <w:t xml:space="preserve">, driven by growth in both our </w:t>
      </w:r>
      <w:r>
        <w:rPr>
          <w:rFonts w:ascii="Segoe UI" w:eastAsia="Calibri" w:hAnsi="Segoe UI" w:cs="Segoe UI"/>
          <w:color w:val="666666"/>
          <w:sz w:val="20"/>
          <w:szCs w:val="20"/>
        </w:rPr>
        <w:t xml:space="preserve">Commercial Licensing businesses </w:t>
      </w:r>
      <w:r w:rsidRPr="009F2E81">
        <w:rPr>
          <w:rFonts w:ascii="Segoe UI" w:eastAsia="Calibri" w:hAnsi="Segoe UI" w:cs="Segoe UI"/>
          <w:color w:val="666666"/>
          <w:sz w:val="20"/>
          <w:szCs w:val="20"/>
        </w:rPr>
        <w:t xml:space="preserve">and </w:t>
      </w:r>
      <w:r>
        <w:rPr>
          <w:rFonts w:ascii="Segoe UI" w:eastAsia="Calibri" w:hAnsi="Segoe UI" w:cs="Segoe UI"/>
          <w:color w:val="666666"/>
          <w:sz w:val="20"/>
          <w:szCs w:val="20"/>
        </w:rPr>
        <w:t>Commercial c</w:t>
      </w:r>
      <w:r w:rsidRPr="009F2E81">
        <w:rPr>
          <w:rFonts w:ascii="Segoe UI" w:eastAsia="Calibri" w:hAnsi="Segoe UI" w:cs="Segoe UI"/>
          <w:color w:val="666666"/>
          <w:sz w:val="20"/>
          <w:szCs w:val="20"/>
        </w:rPr>
        <w:t xml:space="preserve">loud </w:t>
      </w:r>
      <w:r>
        <w:rPr>
          <w:rFonts w:ascii="Segoe UI" w:eastAsia="Calibri" w:hAnsi="Segoe UI" w:cs="Segoe UI"/>
          <w:color w:val="666666"/>
          <w:sz w:val="20"/>
          <w:szCs w:val="20"/>
        </w:rPr>
        <w:t>s</w:t>
      </w:r>
      <w:r w:rsidRPr="009F2E81">
        <w:rPr>
          <w:rFonts w:ascii="Segoe UI" w:eastAsia="Calibri" w:hAnsi="Segoe UI" w:cs="Segoe UI"/>
          <w:color w:val="666666"/>
          <w:sz w:val="20"/>
          <w:szCs w:val="20"/>
        </w:rPr>
        <w:t xml:space="preserve">ervices. </w:t>
      </w:r>
      <w:r>
        <w:rPr>
          <w:rFonts w:ascii="Segoe UI" w:eastAsia="Calibri" w:hAnsi="Segoe UI" w:cs="Segoe UI"/>
          <w:color w:val="666666"/>
          <w:sz w:val="20"/>
          <w:szCs w:val="20"/>
        </w:rPr>
        <w:t xml:space="preserve"> S</w:t>
      </w:r>
      <w:r w:rsidRPr="009F2E81">
        <w:rPr>
          <w:rFonts w:ascii="Segoe UI" w:eastAsia="Calibri" w:hAnsi="Segoe UI" w:cs="Segoe UI"/>
          <w:color w:val="666666"/>
          <w:sz w:val="20"/>
          <w:szCs w:val="20"/>
        </w:rPr>
        <w:t>erver product</w:t>
      </w:r>
      <w:r>
        <w:rPr>
          <w:rFonts w:ascii="Segoe UI" w:eastAsia="Calibri" w:hAnsi="Segoe UI" w:cs="Segoe UI"/>
          <w:color w:val="666666"/>
          <w:sz w:val="20"/>
          <w:szCs w:val="20"/>
        </w:rPr>
        <w:t>s</w:t>
      </w:r>
      <w:r w:rsidRPr="009F2E81">
        <w:rPr>
          <w:rFonts w:ascii="Segoe UI" w:eastAsia="Calibri" w:hAnsi="Segoe UI" w:cs="Segoe UI"/>
          <w:color w:val="666666"/>
          <w:sz w:val="20"/>
          <w:szCs w:val="20"/>
        </w:rPr>
        <w:t xml:space="preserve"> revenue, including </w:t>
      </w:r>
      <w:r>
        <w:rPr>
          <w:rFonts w:ascii="Segoe UI" w:eastAsia="Calibri" w:hAnsi="Segoe UI" w:cs="Segoe UI"/>
          <w:color w:val="666666"/>
          <w:sz w:val="20"/>
          <w:szCs w:val="20"/>
        </w:rPr>
        <w:t xml:space="preserve">Microsoft </w:t>
      </w:r>
      <w:r w:rsidRPr="009F2E81">
        <w:rPr>
          <w:rFonts w:ascii="Segoe UI" w:eastAsia="Calibri" w:hAnsi="Segoe UI" w:cs="Segoe UI"/>
          <w:color w:val="666666"/>
          <w:sz w:val="20"/>
          <w:szCs w:val="20"/>
        </w:rPr>
        <w:t xml:space="preserve">Azure, grew </w:t>
      </w:r>
      <w:r w:rsidRPr="006C2C94">
        <w:rPr>
          <w:rFonts w:ascii="Segoe UI" w:eastAsia="Calibri" w:hAnsi="Segoe UI" w:cs="Segoe UI"/>
          <w:color w:val="666666"/>
          <w:sz w:val="20"/>
          <w:szCs w:val="20"/>
        </w:rPr>
        <w:t>16%</w:t>
      </w:r>
      <w:r w:rsidRPr="00B511CD">
        <w:rPr>
          <w:rFonts w:ascii="Segoe UI" w:eastAsia="Calibri" w:hAnsi="Segoe UI" w:cs="Segoe UI"/>
          <w:color w:val="666666"/>
          <w:sz w:val="20"/>
          <w:szCs w:val="20"/>
        </w:rPr>
        <w:t xml:space="preserve">, and </w:t>
      </w:r>
      <w:r>
        <w:rPr>
          <w:rFonts w:ascii="Segoe UI" w:eastAsia="Calibri" w:hAnsi="Segoe UI" w:cs="Segoe UI"/>
          <w:color w:val="666666"/>
          <w:sz w:val="20"/>
          <w:szCs w:val="20"/>
        </w:rPr>
        <w:t xml:space="preserve">Office Commercial revenue, including Office 365, </w:t>
      </w:r>
      <w:r w:rsidRPr="009F2E81">
        <w:rPr>
          <w:rFonts w:ascii="Segoe UI" w:eastAsia="Calibri" w:hAnsi="Segoe UI" w:cs="Segoe UI"/>
          <w:color w:val="666666"/>
          <w:sz w:val="20"/>
          <w:szCs w:val="20"/>
        </w:rPr>
        <w:t xml:space="preserve">grew </w:t>
      </w:r>
      <w:r w:rsidRPr="006C2C94">
        <w:rPr>
          <w:rFonts w:ascii="Segoe UI" w:eastAsia="Calibri" w:hAnsi="Segoe UI" w:cs="Segoe UI"/>
          <w:color w:val="666666"/>
          <w:sz w:val="20"/>
          <w:szCs w:val="20"/>
        </w:rPr>
        <w:t>4%</w:t>
      </w:r>
      <w:r w:rsidRPr="009F2E81">
        <w:rPr>
          <w:rFonts w:ascii="Segoe UI" w:eastAsia="Calibri" w:hAnsi="Segoe UI" w:cs="Segoe UI"/>
          <w:color w:val="666666"/>
          <w:sz w:val="20"/>
          <w:szCs w:val="20"/>
        </w:rPr>
        <w:t xml:space="preserve">.  Commercial gross margin increased </w:t>
      </w:r>
      <w:r w:rsidRPr="006C2C94">
        <w:rPr>
          <w:rFonts w:ascii="Segoe UI" w:eastAsia="Calibri" w:hAnsi="Segoe UI" w:cs="Segoe UI"/>
          <w:color w:val="666666"/>
          <w:sz w:val="20"/>
          <w:szCs w:val="20"/>
        </w:rPr>
        <w:t>$984</w:t>
      </w:r>
      <w:r w:rsidRPr="009F2E81">
        <w:rPr>
          <w:rFonts w:ascii="Segoe UI" w:eastAsia="Calibri" w:hAnsi="Segoe UI" w:cs="Segoe UI"/>
          <w:color w:val="666666"/>
          <w:sz w:val="20"/>
          <w:szCs w:val="20"/>
        </w:rPr>
        <w:t xml:space="preserve"> million or </w:t>
      </w:r>
      <w:r w:rsidRPr="006C2C94">
        <w:rPr>
          <w:rFonts w:ascii="Segoe UI" w:eastAsia="Calibri" w:hAnsi="Segoe UI" w:cs="Segoe UI"/>
          <w:color w:val="666666"/>
          <w:sz w:val="20"/>
          <w:szCs w:val="20"/>
        </w:rPr>
        <w:t>10%</w:t>
      </w:r>
      <w:r>
        <w:rPr>
          <w:rFonts w:ascii="Segoe UI" w:eastAsia="Calibri" w:hAnsi="Segoe UI" w:cs="Segoe UI"/>
          <w:color w:val="666666"/>
          <w:sz w:val="20"/>
          <w:szCs w:val="20"/>
        </w:rPr>
        <w:t>.</w:t>
      </w:r>
    </w:p>
    <w:p w14:paraId="3BF178BB" w14:textId="77777777" w:rsidR="00A60D91" w:rsidRPr="006A0B3D" w:rsidRDefault="00A60D91" w:rsidP="00A60D91">
      <w:pPr>
        <w:pStyle w:val="NormalWeb"/>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During the quarter, we made several key product and partnership announcements that further enhance the value of our public and private cloud offerings.  The product enhancements we announced focused on hybrid cloud scenarios, protection of cloud data, and the experience for app developers.  We also announced strategic partnerships with SAP and salesforce.com that help improve customer productivity by expanding the interoperability of our cloud services with solutions from other providers.</w:t>
      </w:r>
    </w:p>
    <w:p w14:paraId="39B17BF8" w14:textId="77777777" w:rsidR="00A60D91" w:rsidRPr="006A0B3D" w:rsidRDefault="00A60D91" w:rsidP="00A60D91">
      <w:pPr>
        <w:spacing w:before="160" w:line="280" w:lineRule="exact"/>
        <w:jc w:val="both"/>
        <w:rPr>
          <w:rFonts w:ascii="Segoe UI" w:hAnsi="Segoe UI" w:cs="Segoe UI"/>
          <w:b/>
          <w:i/>
          <w:color w:val="666666"/>
          <w:sz w:val="20"/>
          <w:szCs w:val="20"/>
        </w:rPr>
      </w:pPr>
      <w:r w:rsidRPr="006A0B3D">
        <w:rPr>
          <w:rFonts w:ascii="Segoe UI" w:hAnsi="Segoe UI" w:cs="Segoe UI"/>
          <w:b/>
          <w:i/>
          <w:color w:val="666666"/>
          <w:sz w:val="20"/>
          <w:szCs w:val="20"/>
        </w:rPr>
        <w:t>Commercial Licensing</w:t>
      </w:r>
    </w:p>
    <w:p w14:paraId="68EDB15B" w14:textId="77777777" w:rsidR="00A60D91" w:rsidRPr="006A0B3D" w:rsidRDefault="00A60D91" w:rsidP="00A60D91">
      <w:pPr>
        <w:pStyle w:val="NormalWeb"/>
        <w:spacing w:before="160" w:beforeAutospacing="0" w:after="160" w:afterAutospacing="0"/>
        <w:rPr>
          <w:rFonts w:ascii="Segoe UI" w:eastAsia="Calibri" w:hAnsi="Segoe UI" w:cs="Segoe UI"/>
          <w:color w:val="666666"/>
          <w:sz w:val="20"/>
          <w:szCs w:val="20"/>
        </w:rPr>
      </w:pPr>
      <w:r w:rsidRPr="006A0B3D">
        <w:rPr>
          <w:rFonts w:ascii="Segoe UI" w:eastAsia="Calibri" w:hAnsi="Segoe UI" w:cs="Segoe UI"/>
          <w:color w:val="666666"/>
          <w:sz w:val="20"/>
          <w:szCs w:val="20"/>
        </w:rPr>
        <w:t xml:space="preserve">Commercial Licensing revenue increased </w:t>
      </w:r>
      <w:r w:rsidRPr="00BB6FD4">
        <w:rPr>
          <w:rFonts w:ascii="Segoe UI" w:eastAsia="Calibri" w:hAnsi="Segoe UI" w:cs="Segoe UI"/>
          <w:color w:val="666666"/>
          <w:sz w:val="20"/>
          <w:szCs w:val="20"/>
        </w:rPr>
        <w:t>$595</w:t>
      </w:r>
      <w:r w:rsidRPr="006A0B3D">
        <w:rPr>
          <w:rFonts w:ascii="Segoe UI" w:eastAsia="Calibri" w:hAnsi="Segoe UI" w:cs="Segoe UI"/>
          <w:color w:val="666666"/>
          <w:sz w:val="20"/>
          <w:szCs w:val="20"/>
        </w:rPr>
        <w:t xml:space="preserve"> million or </w:t>
      </w:r>
      <w:r w:rsidRPr="00BB6FD4">
        <w:rPr>
          <w:rFonts w:ascii="Segoe UI" w:eastAsia="Calibri" w:hAnsi="Segoe UI" w:cs="Segoe UI"/>
          <w:color w:val="666666"/>
          <w:sz w:val="20"/>
          <w:szCs w:val="20"/>
        </w:rPr>
        <w:t>6%</w:t>
      </w:r>
      <w:r w:rsidRPr="006A0B3D">
        <w:rPr>
          <w:rFonts w:ascii="Segoe UI" w:eastAsia="Calibri" w:hAnsi="Segoe UI" w:cs="Segoe UI"/>
          <w:color w:val="666666"/>
          <w:sz w:val="20"/>
          <w:szCs w:val="20"/>
        </w:rPr>
        <w:t xml:space="preserve">, due primarily to </w:t>
      </w:r>
      <w:r>
        <w:rPr>
          <w:rFonts w:ascii="Segoe UI" w:eastAsia="Calibri" w:hAnsi="Segoe UI" w:cs="Segoe UI"/>
          <w:color w:val="666666"/>
          <w:sz w:val="20"/>
          <w:szCs w:val="20"/>
        </w:rPr>
        <w:t>higher</w:t>
      </w:r>
      <w:r w:rsidRPr="006A0B3D">
        <w:rPr>
          <w:rFonts w:ascii="Segoe UI" w:eastAsia="Calibri" w:hAnsi="Segoe UI" w:cs="Segoe UI"/>
          <w:color w:val="666666"/>
          <w:sz w:val="20"/>
          <w:szCs w:val="20"/>
        </w:rPr>
        <w:t xml:space="preserve"> revenue from our server products and Windows Commercial, offset in part by </w:t>
      </w:r>
      <w:r>
        <w:rPr>
          <w:rFonts w:ascii="Segoe UI" w:eastAsia="Calibri" w:hAnsi="Segoe UI" w:cs="Segoe UI"/>
          <w:color w:val="666666"/>
          <w:sz w:val="20"/>
          <w:szCs w:val="20"/>
        </w:rPr>
        <w:t xml:space="preserve">lower revenue from on-premises </w:t>
      </w:r>
      <w:r w:rsidRPr="006A0B3D">
        <w:rPr>
          <w:rFonts w:ascii="Segoe UI" w:eastAsia="Calibri" w:hAnsi="Segoe UI" w:cs="Segoe UI"/>
          <w:color w:val="666666"/>
          <w:sz w:val="20"/>
          <w:szCs w:val="20"/>
        </w:rPr>
        <w:t>Office products</w:t>
      </w:r>
      <w:r>
        <w:rPr>
          <w:rFonts w:ascii="Segoe UI" w:eastAsia="Calibri" w:hAnsi="Segoe UI" w:cs="Segoe UI"/>
          <w:color w:val="666666"/>
          <w:sz w:val="20"/>
          <w:szCs w:val="20"/>
        </w:rPr>
        <w:t xml:space="preserve">, as customers </w:t>
      </w:r>
      <w:r w:rsidRPr="006A0B3D">
        <w:rPr>
          <w:rFonts w:ascii="Segoe UI" w:eastAsia="Calibri" w:hAnsi="Segoe UI" w:cs="Segoe UI"/>
          <w:color w:val="666666"/>
          <w:sz w:val="20"/>
          <w:szCs w:val="20"/>
        </w:rPr>
        <w:t>transition to Office 365</w:t>
      </w:r>
      <w:r>
        <w:rPr>
          <w:rFonts w:ascii="Segoe UI" w:eastAsia="Calibri" w:hAnsi="Segoe UI" w:cs="Segoe UI"/>
          <w:color w:val="666666"/>
          <w:sz w:val="20"/>
          <w:szCs w:val="20"/>
        </w:rPr>
        <w:t xml:space="preserve"> Commercial</w:t>
      </w:r>
      <w:r w:rsidRPr="006A0B3D">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 G</w:t>
      </w:r>
      <w:r w:rsidRPr="006A0B3D">
        <w:rPr>
          <w:rFonts w:ascii="Segoe UI" w:eastAsia="Calibri" w:hAnsi="Segoe UI" w:cs="Segoe UI"/>
          <w:color w:val="666666"/>
          <w:sz w:val="20"/>
          <w:szCs w:val="20"/>
        </w:rPr>
        <w:t xml:space="preserve">ross margin increased </w:t>
      </w:r>
      <w:r w:rsidRPr="00BB6FD4">
        <w:rPr>
          <w:rFonts w:ascii="Segoe UI" w:eastAsia="Calibri" w:hAnsi="Segoe UI" w:cs="Segoe UI"/>
          <w:color w:val="666666"/>
          <w:sz w:val="20"/>
          <w:szCs w:val="20"/>
        </w:rPr>
        <w:t>$629</w:t>
      </w:r>
      <w:r w:rsidRPr="006A0B3D">
        <w:rPr>
          <w:rFonts w:ascii="Segoe UI" w:eastAsia="Calibri" w:hAnsi="Segoe UI" w:cs="Segoe UI"/>
          <w:color w:val="666666"/>
          <w:sz w:val="20"/>
          <w:szCs w:val="20"/>
        </w:rPr>
        <w:t xml:space="preserve"> million or </w:t>
      </w:r>
      <w:r w:rsidRPr="00BB6FD4">
        <w:rPr>
          <w:rFonts w:ascii="Segoe UI" w:eastAsia="Calibri" w:hAnsi="Segoe UI" w:cs="Segoe UI"/>
          <w:color w:val="666666"/>
          <w:sz w:val="20"/>
          <w:szCs w:val="20"/>
        </w:rPr>
        <w:t>7%</w:t>
      </w:r>
      <w:r w:rsidRPr="001D3B0A">
        <w:rPr>
          <w:rFonts w:ascii="Segoe UI" w:eastAsia="Calibri" w:hAnsi="Segoe UI" w:cs="Segoe UI"/>
          <w:color w:val="666666"/>
          <w:sz w:val="20"/>
          <w:szCs w:val="20"/>
        </w:rPr>
        <w:t>, in line with revenue growth</w:t>
      </w:r>
      <w:r>
        <w:rPr>
          <w:rFonts w:ascii="Segoe UI" w:eastAsia="Calibri" w:hAnsi="Segoe UI" w:cs="Segoe UI"/>
          <w:color w:val="666666"/>
          <w:sz w:val="20"/>
          <w:szCs w:val="20"/>
        </w:rPr>
        <w:t>.</w:t>
      </w:r>
      <w:r w:rsidRPr="006A0B3D">
        <w:rPr>
          <w:rFonts w:ascii="Segoe UI" w:eastAsia="Calibri" w:hAnsi="Segoe UI" w:cs="Segoe UI"/>
          <w:color w:val="666666"/>
          <w:sz w:val="20"/>
          <w:szCs w:val="20"/>
        </w:rPr>
        <w:t xml:space="preserve"> </w:t>
      </w:r>
    </w:p>
    <w:p w14:paraId="01B9EF37" w14:textId="42D400D5" w:rsidR="00A60D91" w:rsidRPr="00B75914" w:rsidRDefault="00A60D91" w:rsidP="00A60D91">
      <w:pPr>
        <w:pStyle w:val="NormalWeb"/>
        <w:numPr>
          <w:ilvl w:val="0"/>
          <w:numId w:val="4"/>
        </w:numPr>
        <w:spacing w:before="160" w:beforeAutospacing="0" w:after="160" w:afterAutospacing="0"/>
        <w:rPr>
          <w:rFonts w:ascii="Segoe UI" w:eastAsia="Calibri" w:hAnsi="Segoe UI" w:cs="Segoe UI"/>
          <w:color w:val="666666"/>
          <w:sz w:val="20"/>
          <w:szCs w:val="20"/>
        </w:rPr>
      </w:pPr>
      <w:r w:rsidRPr="006A0B3D">
        <w:rPr>
          <w:rFonts w:ascii="Segoe UI" w:eastAsia="Calibri" w:hAnsi="Segoe UI" w:cs="Segoe UI"/>
          <w:color w:val="666666"/>
          <w:sz w:val="20"/>
          <w:szCs w:val="20"/>
        </w:rPr>
        <w:t xml:space="preserve">Our server products revenue grew </w:t>
      </w:r>
      <w:r w:rsidRPr="00BB6FD4">
        <w:rPr>
          <w:rFonts w:ascii="Segoe UI" w:eastAsia="Calibri" w:hAnsi="Segoe UI" w:cs="Segoe UI"/>
          <w:color w:val="666666"/>
          <w:sz w:val="20"/>
          <w:szCs w:val="20"/>
        </w:rPr>
        <w:t>$577</w:t>
      </w:r>
      <w:r w:rsidRPr="006A0B3D">
        <w:rPr>
          <w:rFonts w:ascii="Segoe UI" w:eastAsia="Calibri" w:hAnsi="Segoe UI" w:cs="Segoe UI"/>
          <w:color w:val="666666"/>
          <w:sz w:val="20"/>
          <w:szCs w:val="20"/>
        </w:rPr>
        <w:t xml:space="preserve"> million or </w:t>
      </w:r>
      <w:r w:rsidRPr="00BB6FD4">
        <w:rPr>
          <w:rFonts w:ascii="Segoe UI" w:eastAsia="Calibri" w:hAnsi="Segoe UI" w:cs="Segoe UI"/>
          <w:color w:val="666666"/>
          <w:sz w:val="20"/>
          <w:szCs w:val="20"/>
        </w:rPr>
        <w:t>14%</w:t>
      </w:r>
      <w:r w:rsidRPr="006A0B3D">
        <w:rPr>
          <w:rFonts w:ascii="Segoe UI" w:eastAsia="Calibri" w:hAnsi="Segoe UI" w:cs="Segoe UI"/>
          <w:color w:val="666666"/>
          <w:sz w:val="20"/>
          <w:szCs w:val="20"/>
        </w:rPr>
        <w:t xml:space="preserve">, driven by </w:t>
      </w:r>
      <w:r>
        <w:rPr>
          <w:rFonts w:ascii="Segoe UI" w:eastAsia="Calibri" w:hAnsi="Segoe UI" w:cs="Segoe UI"/>
          <w:color w:val="666666"/>
          <w:sz w:val="20"/>
          <w:szCs w:val="20"/>
        </w:rPr>
        <w:t xml:space="preserve">double-digit growth in </w:t>
      </w:r>
      <w:r w:rsidRPr="006A0B3D">
        <w:rPr>
          <w:rFonts w:ascii="Segoe UI" w:eastAsia="Calibri" w:hAnsi="Segoe UI" w:cs="Segoe UI"/>
          <w:color w:val="666666"/>
          <w:sz w:val="20"/>
          <w:szCs w:val="20"/>
        </w:rPr>
        <w:t>SQL Server</w:t>
      </w:r>
      <w:r>
        <w:rPr>
          <w:rFonts w:ascii="Segoe UI" w:eastAsia="Calibri" w:hAnsi="Segoe UI" w:cs="Segoe UI"/>
          <w:color w:val="666666"/>
          <w:sz w:val="20"/>
          <w:szCs w:val="20"/>
        </w:rPr>
        <w:t xml:space="preserve">, </w:t>
      </w:r>
      <w:r w:rsidRPr="00B75914">
        <w:rPr>
          <w:rFonts w:ascii="Segoe UI" w:eastAsia="Calibri" w:hAnsi="Segoe UI" w:cs="Segoe UI"/>
          <w:color w:val="666666"/>
          <w:sz w:val="20"/>
          <w:szCs w:val="20"/>
        </w:rPr>
        <w:t xml:space="preserve">System Center, and </w:t>
      </w:r>
      <w:r w:rsidR="009F49F5">
        <w:rPr>
          <w:rFonts w:ascii="Segoe UI" w:eastAsia="Calibri" w:hAnsi="Segoe UI" w:cs="Segoe UI"/>
          <w:color w:val="666666"/>
          <w:sz w:val="20"/>
          <w:szCs w:val="20"/>
        </w:rPr>
        <w:t>the premium version</w:t>
      </w:r>
      <w:r w:rsidRPr="00B75914">
        <w:rPr>
          <w:rFonts w:ascii="Segoe UI" w:eastAsia="Calibri" w:hAnsi="Segoe UI" w:cs="Segoe UI"/>
          <w:color w:val="666666"/>
          <w:sz w:val="20"/>
          <w:szCs w:val="20"/>
        </w:rPr>
        <w:t xml:space="preserve"> of Windows Server.</w:t>
      </w:r>
    </w:p>
    <w:p w14:paraId="551ACDD2" w14:textId="21BDF595" w:rsidR="00A60D91" w:rsidRPr="00B75914" w:rsidRDefault="00A60D91" w:rsidP="00A60D91">
      <w:pPr>
        <w:pStyle w:val="NormalWeb"/>
        <w:numPr>
          <w:ilvl w:val="0"/>
          <w:numId w:val="4"/>
        </w:numPr>
        <w:spacing w:before="160" w:beforeAutospacing="0" w:after="160" w:afterAutospacing="0"/>
        <w:rPr>
          <w:rFonts w:ascii="Segoe UI" w:eastAsia="Calibri" w:hAnsi="Segoe UI" w:cs="Segoe UI"/>
          <w:color w:val="666666"/>
          <w:sz w:val="20"/>
          <w:szCs w:val="20"/>
        </w:rPr>
      </w:pPr>
      <w:r w:rsidRPr="00B75914">
        <w:rPr>
          <w:rFonts w:ascii="Segoe UI" w:eastAsia="Calibri" w:hAnsi="Segoe UI" w:cs="Segoe UI"/>
          <w:color w:val="666666"/>
          <w:sz w:val="20"/>
          <w:szCs w:val="20"/>
        </w:rPr>
        <w:t xml:space="preserve">Windows Commercial revenue grew $104 million or 11%, </w:t>
      </w:r>
      <w:r w:rsidR="00DF047D" w:rsidRPr="00B75914">
        <w:rPr>
          <w:rFonts w:ascii="Segoe UI" w:eastAsia="Calibri" w:hAnsi="Segoe UI" w:cs="Segoe UI"/>
          <w:color w:val="666666"/>
          <w:sz w:val="20"/>
          <w:szCs w:val="20"/>
        </w:rPr>
        <w:t>driven by growth in annuity and non-annuity revenue</w:t>
      </w:r>
      <w:r w:rsidRPr="00B75914">
        <w:rPr>
          <w:rFonts w:ascii="Segoe UI" w:eastAsia="Calibri" w:hAnsi="Segoe UI" w:cs="Segoe UI"/>
          <w:color w:val="666666"/>
          <w:sz w:val="20"/>
          <w:szCs w:val="20"/>
        </w:rPr>
        <w:t>.</w:t>
      </w:r>
    </w:p>
    <w:p w14:paraId="0056DE04" w14:textId="77777777" w:rsidR="00A60D91" w:rsidRPr="007E42A8" w:rsidRDefault="00A60D91" w:rsidP="00A60D91">
      <w:pPr>
        <w:spacing w:before="160" w:line="280" w:lineRule="exact"/>
        <w:jc w:val="both"/>
        <w:rPr>
          <w:rFonts w:ascii="Segoe UI" w:hAnsi="Segoe UI" w:cs="Segoe UI"/>
          <w:b/>
          <w:i/>
          <w:color w:val="666666"/>
          <w:sz w:val="20"/>
          <w:szCs w:val="20"/>
        </w:rPr>
      </w:pPr>
      <w:r w:rsidRPr="007E42A8">
        <w:rPr>
          <w:rFonts w:ascii="Segoe UI" w:hAnsi="Segoe UI" w:cs="Segoe UI"/>
          <w:b/>
          <w:i/>
          <w:color w:val="666666"/>
          <w:sz w:val="20"/>
          <w:szCs w:val="20"/>
        </w:rPr>
        <w:t>Commercial Other</w:t>
      </w:r>
    </w:p>
    <w:p w14:paraId="1F8FF913" w14:textId="77777777" w:rsidR="00A60D91" w:rsidRPr="007E42A8" w:rsidRDefault="00A60D91" w:rsidP="00A60D91">
      <w:pPr>
        <w:pStyle w:val="NormalWeb"/>
        <w:spacing w:before="160" w:beforeAutospacing="0" w:after="160" w:afterAutospacing="0"/>
        <w:rPr>
          <w:rFonts w:ascii="Segoe UI" w:eastAsia="Calibri" w:hAnsi="Segoe UI" w:cs="Segoe UI"/>
          <w:color w:val="666666"/>
          <w:sz w:val="20"/>
          <w:szCs w:val="20"/>
        </w:rPr>
      </w:pPr>
      <w:r w:rsidRPr="007E42A8">
        <w:rPr>
          <w:rFonts w:ascii="Segoe UI" w:eastAsia="Calibri" w:hAnsi="Segoe UI" w:cs="Segoe UI"/>
          <w:color w:val="666666"/>
          <w:sz w:val="20"/>
          <w:szCs w:val="20"/>
        </w:rPr>
        <w:t xml:space="preserve">Commercial </w:t>
      </w:r>
      <w:proofErr w:type="gramStart"/>
      <w:r w:rsidRPr="007E42A8">
        <w:rPr>
          <w:rFonts w:ascii="Segoe UI" w:eastAsia="Calibri" w:hAnsi="Segoe UI" w:cs="Segoe UI"/>
          <w:color w:val="666666"/>
          <w:sz w:val="20"/>
          <w:szCs w:val="20"/>
        </w:rPr>
        <w:t>Other</w:t>
      </w:r>
      <w:proofErr w:type="gramEnd"/>
      <w:r w:rsidRPr="007E42A8">
        <w:rPr>
          <w:rFonts w:ascii="Segoe UI" w:eastAsia="Calibri" w:hAnsi="Segoe UI" w:cs="Segoe UI"/>
          <w:color w:val="666666"/>
          <w:sz w:val="20"/>
          <w:szCs w:val="20"/>
        </w:rPr>
        <w:t xml:space="preserve"> revenue increased </w:t>
      </w:r>
      <w:r w:rsidRPr="00CC2B2B">
        <w:rPr>
          <w:rFonts w:ascii="Segoe UI" w:eastAsia="Calibri" w:hAnsi="Segoe UI" w:cs="Segoe UI"/>
          <w:color w:val="666666"/>
          <w:sz w:val="20"/>
          <w:szCs w:val="20"/>
        </w:rPr>
        <w:t>$68</w:t>
      </w:r>
      <w:r>
        <w:rPr>
          <w:rFonts w:ascii="Segoe UI" w:eastAsia="Calibri" w:hAnsi="Segoe UI" w:cs="Segoe UI"/>
          <w:color w:val="666666"/>
          <w:sz w:val="20"/>
          <w:szCs w:val="20"/>
        </w:rPr>
        <w:t>8</w:t>
      </w:r>
      <w:r w:rsidRPr="007E42A8">
        <w:rPr>
          <w:rFonts w:ascii="Segoe UI" w:eastAsia="Calibri" w:hAnsi="Segoe UI" w:cs="Segoe UI"/>
          <w:color w:val="666666"/>
          <w:sz w:val="20"/>
          <w:szCs w:val="20"/>
        </w:rPr>
        <w:t xml:space="preserve"> million or </w:t>
      </w:r>
      <w:r w:rsidRPr="00CC2B2B">
        <w:rPr>
          <w:rFonts w:ascii="Segoe UI" w:eastAsia="Calibri" w:hAnsi="Segoe UI" w:cs="Segoe UI"/>
          <w:color w:val="666666"/>
          <w:sz w:val="20"/>
          <w:szCs w:val="20"/>
        </w:rPr>
        <w:t>44%</w:t>
      </w:r>
      <w:r w:rsidRPr="007E42A8">
        <w:rPr>
          <w:rFonts w:ascii="Segoe UI" w:eastAsia="Calibri" w:hAnsi="Segoe UI" w:cs="Segoe UI"/>
          <w:color w:val="666666"/>
          <w:sz w:val="20"/>
          <w:szCs w:val="20"/>
        </w:rPr>
        <w:t xml:space="preserve">, due to higher </w:t>
      </w:r>
      <w:r>
        <w:rPr>
          <w:rFonts w:ascii="Segoe UI" w:eastAsia="Calibri" w:hAnsi="Segoe UI" w:cs="Segoe UI"/>
          <w:color w:val="666666"/>
          <w:sz w:val="20"/>
          <w:szCs w:val="20"/>
        </w:rPr>
        <w:t>Commercial c</w:t>
      </w:r>
      <w:r w:rsidRPr="007E42A8">
        <w:rPr>
          <w:rFonts w:ascii="Segoe UI" w:eastAsia="Calibri" w:hAnsi="Segoe UI" w:cs="Segoe UI"/>
          <w:color w:val="666666"/>
          <w:sz w:val="20"/>
          <w:szCs w:val="20"/>
        </w:rPr>
        <w:t xml:space="preserve">loud </w:t>
      </w:r>
      <w:r>
        <w:rPr>
          <w:rFonts w:ascii="Segoe UI" w:eastAsia="Calibri" w:hAnsi="Segoe UI" w:cs="Segoe UI"/>
          <w:color w:val="666666"/>
          <w:sz w:val="20"/>
          <w:szCs w:val="20"/>
        </w:rPr>
        <w:t>s</w:t>
      </w:r>
      <w:r w:rsidRPr="007E42A8">
        <w:rPr>
          <w:rFonts w:ascii="Segoe UI" w:eastAsia="Calibri" w:hAnsi="Segoe UI" w:cs="Segoe UI"/>
          <w:color w:val="666666"/>
          <w:sz w:val="20"/>
          <w:szCs w:val="20"/>
        </w:rPr>
        <w:t xml:space="preserve">ervices and Enterprise Services revenue. </w:t>
      </w:r>
      <w:r>
        <w:rPr>
          <w:rFonts w:ascii="Segoe UI" w:eastAsia="Calibri" w:hAnsi="Segoe UI" w:cs="Segoe UI"/>
          <w:color w:val="666666"/>
          <w:sz w:val="20"/>
          <w:szCs w:val="20"/>
        </w:rPr>
        <w:t xml:space="preserve"> G</w:t>
      </w:r>
      <w:r w:rsidRPr="007E42A8">
        <w:rPr>
          <w:rFonts w:ascii="Segoe UI" w:eastAsia="Calibri" w:hAnsi="Segoe UI" w:cs="Segoe UI"/>
          <w:color w:val="666666"/>
          <w:sz w:val="20"/>
          <w:szCs w:val="20"/>
        </w:rPr>
        <w:t xml:space="preserve">ross margin increased </w:t>
      </w:r>
      <w:r w:rsidRPr="00CC2B2B">
        <w:rPr>
          <w:rFonts w:ascii="Segoe UI" w:eastAsia="Calibri" w:hAnsi="Segoe UI" w:cs="Segoe UI"/>
          <w:color w:val="666666"/>
          <w:sz w:val="20"/>
          <w:szCs w:val="20"/>
        </w:rPr>
        <w:t>$35</w:t>
      </w:r>
      <w:r>
        <w:rPr>
          <w:rFonts w:ascii="Segoe UI" w:eastAsia="Calibri" w:hAnsi="Segoe UI" w:cs="Segoe UI"/>
          <w:color w:val="666666"/>
          <w:sz w:val="20"/>
          <w:szCs w:val="20"/>
        </w:rPr>
        <w:t>5</w:t>
      </w:r>
      <w:r w:rsidRPr="007E42A8">
        <w:rPr>
          <w:rFonts w:ascii="Segoe UI" w:eastAsia="Calibri" w:hAnsi="Segoe UI" w:cs="Segoe UI"/>
          <w:color w:val="666666"/>
          <w:sz w:val="20"/>
          <w:szCs w:val="20"/>
        </w:rPr>
        <w:t xml:space="preserve"> million or </w:t>
      </w:r>
      <w:r w:rsidRPr="00CC2B2B">
        <w:rPr>
          <w:rFonts w:ascii="Segoe UI" w:eastAsia="Calibri" w:hAnsi="Segoe UI" w:cs="Segoe UI"/>
          <w:color w:val="666666"/>
          <w:sz w:val="20"/>
          <w:szCs w:val="20"/>
        </w:rPr>
        <w:t>10</w:t>
      </w:r>
      <w:r>
        <w:rPr>
          <w:rFonts w:ascii="Segoe UI" w:eastAsia="Calibri" w:hAnsi="Segoe UI" w:cs="Segoe UI"/>
          <w:color w:val="666666"/>
          <w:sz w:val="20"/>
          <w:szCs w:val="20"/>
        </w:rPr>
        <w:t>6</w:t>
      </w:r>
      <w:r w:rsidRPr="00CC2B2B">
        <w:rPr>
          <w:rFonts w:ascii="Segoe UI" w:eastAsia="Calibri" w:hAnsi="Segoe UI" w:cs="Segoe UI"/>
          <w:color w:val="666666"/>
          <w:sz w:val="20"/>
          <w:szCs w:val="20"/>
        </w:rPr>
        <w:t>%</w:t>
      </w:r>
      <w:r>
        <w:rPr>
          <w:rFonts w:ascii="Segoe UI" w:eastAsia="Calibri" w:hAnsi="Segoe UI" w:cs="Segoe UI"/>
          <w:color w:val="666666"/>
          <w:sz w:val="20"/>
          <w:szCs w:val="20"/>
        </w:rPr>
        <w:t xml:space="preserve">.  We delivered another quarter of margin expansion as we continue to realize </w:t>
      </w:r>
      <w:r w:rsidRPr="00B40C92">
        <w:rPr>
          <w:rFonts w:ascii="Segoe UI" w:eastAsia="Calibri" w:hAnsi="Segoe UI" w:cs="Segoe UI"/>
          <w:color w:val="666666"/>
          <w:sz w:val="20"/>
          <w:szCs w:val="20"/>
        </w:rPr>
        <w:t>engineering efficiencies and scale benefits</w:t>
      </w:r>
      <w:r>
        <w:rPr>
          <w:rFonts w:ascii="Segoe UI" w:eastAsia="Calibri" w:hAnsi="Segoe UI" w:cs="Segoe UI"/>
          <w:color w:val="666666"/>
          <w:sz w:val="20"/>
          <w:szCs w:val="20"/>
        </w:rPr>
        <w:t>.</w:t>
      </w:r>
    </w:p>
    <w:p w14:paraId="71531B87" w14:textId="44816480" w:rsidR="00A60D91" w:rsidRPr="007E42A8" w:rsidRDefault="00A60D91" w:rsidP="00A60D91">
      <w:pPr>
        <w:pStyle w:val="NormalWeb"/>
        <w:numPr>
          <w:ilvl w:val="0"/>
          <w:numId w:val="4"/>
        </w:numPr>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Commercial c</w:t>
      </w:r>
      <w:r w:rsidRPr="007E42A8">
        <w:rPr>
          <w:rFonts w:ascii="Segoe UI" w:eastAsia="Calibri" w:hAnsi="Segoe UI" w:cs="Segoe UI"/>
          <w:color w:val="666666"/>
          <w:sz w:val="20"/>
          <w:szCs w:val="20"/>
        </w:rPr>
        <w:t xml:space="preserve">loud </w:t>
      </w:r>
      <w:r>
        <w:rPr>
          <w:rFonts w:ascii="Segoe UI" w:eastAsia="Calibri" w:hAnsi="Segoe UI" w:cs="Segoe UI"/>
          <w:color w:val="666666"/>
          <w:sz w:val="20"/>
          <w:szCs w:val="20"/>
        </w:rPr>
        <w:t>s</w:t>
      </w:r>
      <w:r w:rsidRPr="007E42A8">
        <w:rPr>
          <w:rFonts w:ascii="Segoe UI" w:eastAsia="Calibri" w:hAnsi="Segoe UI" w:cs="Segoe UI"/>
          <w:color w:val="666666"/>
          <w:sz w:val="20"/>
          <w:szCs w:val="20"/>
        </w:rPr>
        <w:t xml:space="preserve">ervices revenue grew </w:t>
      </w:r>
      <w:r w:rsidRPr="00CC2B2B">
        <w:rPr>
          <w:rFonts w:ascii="Segoe UI" w:eastAsia="Calibri" w:hAnsi="Segoe UI" w:cs="Segoe UI"/>
          <w:color w:val="666666"/>
          <w:sz w:val="20"/>
          <w:szCs w:val="20"/>
        </w:rPr>
        <w:t>$564</w:t>
      </w:r>
      <w:r w:rsidRPr="007E42A8">
        <w:rPr>
          <w:rFonts w:ascii="Segoe UI" w:eastAsia="Calibri" w:hAnsi="Segoe UI" w:cs="Segoe UI"/>
          <w:color w:val="666666"/>
          <w:sz w:val="20"/>
          <w:szCs w:val="20"/>
        </w:rPr>
        <w:t xml:space="preserve"> million or </w:t>
      </w:r>
      <w:r w:rsidRPr="00CC2B2B">
        <w:rPr>
          <w:rFonts w:ascii="Segoe UI" w:eastAsia="Calibri" w:hAnsi="Segoe UI" w:cs="Segoe UI"/>
          <w:color w:val="666666"/>
          <w:sz w:val="20"/>
          <w:szCs w:val="20"/>
        </w:rPr>
        <w:t>147%</w:t>
      </w:r>
      <w:r w:rsidR="0032783C">
        <w:rPr>
          <w:rFonts w:ascii="Segoe UI" w:eastAsia="Calibri" w:hAnsi="Segoe UI" w:cs="Segoe UI"/>
          <w:color w:val="666666"/>
          <w:sz w:val="20"/>
          <w:szCs w:val="20"/>
        </w:rPr>
        <w:t>, driven by continued triple-</w:t>
      </w:r>
      <w:r w:rsidRPr="007E42A8">
        <w:rPr>
          <w:rFonts w:ascii="Segoe UI" w:eastAsia="Calibri" w:hAnsi="Segoe UI" w:cs="Segoe UI"/>
          <w:color w:val="666666"/>
          <w:sz w:val="20"/>
          <w:szCs w:val="20"/>
        </w:rPr>
        <w:t>digit growth in Commercial Office 365 and Microsoft Azure</w:t>
      </w:r>
      <w:r>
        <w:rPr>
          <w:rFonts w:ascii="Segoe UI" w:eastAsia="Calibri" w:hAnsi="Segoe UI" w:cs="Segoe UI"/>
          <w:color w:val="666666"/>
          <w:sz w:val="20"/>
          <w:szCs w:val="20"/>
        </w:rPr>
        <w:t>.  The annu</w:t>
      </w:r>
      <w:r w:rsidR="003A19D2">
        <w:rPr>
          <w:rFonts w:ascii="Segoe UI" w:eastAsia="Calibri" w:hAnsi="Segoe UI" w:cs="Segoe UI"/>
          <w:color w:val="666666"/>
          <w:sz w:val="20"/>
          <w:szCs w:val="20"/>
        </w:rPr>
        <w:t>al run rate for our Commercial c</w:t>
      </w:r>
      <w:r>
        <w:rPr>
          <w:rFonts w:ascii="Segoe UI" w:eastAsia="Calibri" w:hAnsi="Segoe UI" w:cs="Segoe UI"/>
          <w:color w:val="666666"/>
          <w:sz w:val="20"/>
          <w:szCs w:val="20"/>
        </w:rPr>
        <w:t xml:space="preserve">loud business now exceeds </w:t>
      </w:r>
      <w:r w:rsidRPr="00CC2B2B">
        <w:rPr>
          <w:rFonts w:ascii="Segoe UI" w:eastAsia="Calibri" w:hAnsi="Segoe UI" w:cs="Segoe UI"/>
          <w:color w:val="666666"/>
          <w:sz w:val="20"/>
          <w:szCs w:val="20"/>
        </w:rPr>
        <w:t>$4.</w:t>
      </w:r>
      <w:r>
        <w:rPr>
          <w:rFonts w:ascii="Segoe UI" w:eastAsia="Calibri" w:hAnsi="Segoe UI" w:cs="Segoe UI"/>
          <w:color w:val="666666"/>
          <w:sz w:val="20"/>
          <w:szCs w:val="20"/>
        </w:rPr>
        <w:t>4</w:t>
      </w:r>
      <w:r w:rsidRPr="00B643E6">
        <w:rPr>
          <w:rFonts w:ascii="Segoe UI" w:eastAsia="Calibri" w:hAnsi="Segoe UI" w:cs="Segoe UI"/>
          <w:color w:val="666666"/>
          <w:sz w:val="20"/>
          <w:szCs w:val="20"/>
        </w:rPr>
        <w:t xml:space="preserve"> billion</w:t>
      </w:r>
      <w:r>
        <w:rPr>
          <w:rFonts w:ascii="Segoe UI" w:eastAsia="Calibri" w:hAnsi="Segoe UI" w:cs="Segoe UI"/>
          <w:color w:val="666666"/>
          <w:sz w:val="20"/>
          <w:szCs w:val="20"/>
        </w:rPr>
        <w:t>.</w:t>
      </w:r>
    </w:p>
    <w:p w14:paraId="1C53F92A" w14:textId="77777777" w:rsidR="00A60D91" w:rsidRPr="007E42A8" w:rsidRDefault="00A60D91" w:rsidP="00A60D91">
      <w:pPr>
        <w:pStyle w:val="NormalWeb"/>
        <w:numPr>
          <w:ilvl w:val="0"/>
          <w:numId w:val="4"/>
        </w:numPr>
        <w:spacing w:before="160" w:beforeAutospacing="0" w:after="160" w:afterAutospacing="0"/>
        <w:rPr>
          <w:rFonts w:ascii="Segoe UI" w:eastAsia="Calibri" w:hAnsi="Segoe UI" w:cs="Segoe UI"/>
          <w:color w:val="666666"/>
          <w:sz w:val="20"/>
          <w:szCs w:val="20"/>
        </w:rPr>
      </w:pPr>
      <w:r w:rsidRPr="007E42A8">
        <w:rPr>
          <w:rFonts w:ascii="Segoe UI" w:eastAsia="Calibri" w:hAnsi="Segoe UI" w:cs="Segoe UI"/>
          <w:color w:val="666666"/>
          <w:sz w:val="20"/>
          <w:szCs w:val="20"/>
        </w:rPr>
        <w:t xml:space="preserve">Enterprise Services revenue grew </w:t>
      </w:r>
      <w:r w:rsidRPr="00CC2B2B">
        <w:rPr>
          <w:rFonts w:ascii="Segoe UI" w:eastAsia="Calibri" w:hAnsi="Segoe UI" w:cs="Segoe UI"/>
          <w:color w:val="666666"/>
          <w:sz w:val="20"/>
          <w:szCs w:val="20"/>
        </w:rPr>
        <w:t>$125</w:t>
      </w:r>
      <w:r w:rsidRPr="007E42A8">
        <w:rPr>
          <w:rFonts w:ascii="Segoe UI" w:eastAsia="Calibri" w:hAnsi="Segoe UI" w:cs="Segoe UI"/>
          <w:color w:val="666666"/>
          <w:sz w:val="20"/>
          <w:szCs w:val="20"/>
        </w:rPr>
        <w:t xml:space="preserve"> million or </w:t>
      </w:r>
      <w:r w:rsidRPr="00CC2B2B">
        <w:rPr>
          <w:rFonts w:ascii="Segoe UI" w:eastAsia="Calibri" w:hAnsi="Segoe UI" w:cs="Segoe UI"/>
          <w:color w:val="666666"/>
          <w:sz w:val="20"/>
          <w:szCs w:val="20"/>
        </w:rPr>
        <w:t>11%</w:t>
      </w:r>
      <w:r>
        <w:rPr>
          <w:rFonts w:ascii="Segoe UI" w:eastAsia="Calibri" w:hAnsi="Segoe UI" w:cs="Segoe UI"/>
          <w:color w:val="666666"/>
          <w:sz w:val="20"/>
          <w:szCs w:val="20"/>
        </w:rPr>
        <w:t>, due primarily to growth in Premier Support Services.</w:t>
      </w:r>
    </w:p>
    <w:p w14:paraId="5C8A821E" w14:textId="0EDF2489" w:rsidR="00A60D91" w:rsidRPr="003B669E" w:rsidRDefault="00A60D91" w:rsidP="00A60D91">
      <w:pPr>
        <w:pStyle w:val="NormalWeb"/>
        <w:keepNext/>
        <w:spacing w:before="160" w:beforeAutospacing="0" w:after="160" w:afterAutospacing="0"/>
        <w:rPr>
          <w:rFonts w:ascii="Segoe UI" w:hAnsi="Segoe UI" w:cs="Segoe UI"/>
          <w:b/>
          <w:bCs/>
          <w:color w:val="666666"/>
          <w:sz w:val="20"/>
          <w:szCs w:val="20"/>
        </w:rPr>
      </w:pPr>
      <w:r w:rsidRPr="003B669E">
        <w:rPr>
          <w:rFonts w:ascii="Segoe UI" w:hAnsi="Segoe UI" w:cs="Segoe UI"/>
          <w:b/>
          <w:bCs/>
          <w:color w:val="666666"/>
          <w:sz w:val="20"/>
          <w:szCs w:val="20"/>
        </w:rPr>
        <w:t>EXPENSES</w:t>
      </w:r>
    </w:p>
    <w:p w14:paraId="74E156DE" w14:textId="7685118A" w:rsidR="007524C4" w:rsidRDefault="007524C4" w:rsidP="00A60D91">
      <w:pPr>
        <w:pStyle w:val="NormalWeb"/>
        <w:numPr>
          <w:ilvl w:val="0"/>
          <w:numId w:val="3"/>
        </w:numPr>
        <w:spacing w:before="160" w:beforeAutospacing="0" w:after="160" w:afterAutospacing="0" w:line="280" w:lineRule="exact"/>
        <w:rPr>
          <w:rFonts w:ascii="Segoe UI" w:eastAsia="Calibri" w:hAnsi="Segoe UI" w:cs="Segoe UI"/>
          <w:color w:val="666666"/>
          <w:sz w:val="20"/>
          <w:szCs w:val="20"/>
        </w:rPr>
      </w:pPr>
      <w:r w:rsidRPr="00CA404F">
        <w:rPr>
          <w:rFonts w:ascii="Segoe UI" w:hAnsi="Segoe UI" w:cs="Segoe UI"/>
          <w:color w:val="666666"/>
          <w:sz w:val="20"/>
          <w:szCs w:val="20"/>
        </w:rPr>
        <w:t xml:space="preserve">Cost of revenue </w:t>
      </w:r>
      <w:r w:rsidR="00CC1955">
        <w:rPr>
          <w:rFonts w:ascii="Segoe UI" w:hAnsi="Segoe UI" w:cs="Segoe UI"/>
          <w:color w:val="666666"/>
          <w:sz w:val="20"/>
          <w:szCs w:val="20"/>
        </w:rPr>
        <w:t xml:space="preserve">increased $1.99 </w:t>
      </w:r>
      <w:r w:rsidRPr="004A55C8">
        <w:rPr>
          <w:rFonts w:ascii="Segoe UI" w:hAnsi="Segoe UI" w:cs="Segoe UI"/>
          <w:color w:val="666666"/>
          <w:sz w:val="20"/>
          <w:szCs w:val="20"/>
        </w:rPr>
        <w:t>billion</w:t>
      </w:r>
      <w:r w:rsidR="00CC1955">
        <w:rPr>
          <w:rFonts w:ascii="Segoe UI" w:hAnsi="Segoe UI" w:cs="Segoe UI"/>
          <w:color w:val="666666"/>
          <w:sz w:val="20"/>
          <w:szCs w:val="20"/>
        </w:rPr>
        <w:t xml:space="preserve"> or </w:t>
      </w:r>
      <w:r w:rsidRPr="00DF655E">
        <w:rPr>
          <w:rFonts w:ascii="Segoe UI" w:hAnsi="Segoe UI" w:cs="Segoe UI"/>
          <w:color w:val="666666"/>
          <w:sz w:val="20"/>
          <w:szCs w:val="20"/>
        </w:rPr>
        <w:t>36%</w:t>
      </w:r>
      <w:r w:rsidR="00CC1955">
        <w:rPr>
          <w:rFonts w:ascii="Segoe UI" w:hAnsi="Segoe UI" w:cs="Segoe UI"/>
          <w:color w:val="666666"/>
          <w:sz w:val="20"/>
          <w:szCs w:val="20"/>
        </w:rPr>
        <w:t xml:space="preserve">.  The results from NDS contributed </w:t>
      </w:r>
      <w:r>
        <w:rPr>
          <w:rFonts w:ascii="Segoe UI" w:hAnsi="Segoe UI" w:cs="Segoe UI"/>
          <w:color w:val="666666"/>
          <w:sz w:val="20"/>
          <w:szCs w:val="20"/>
        </w:rPr>
        <w:t xml:space="preserve">$1.93 </w:t>
      </w:r>
      <w:r w:rsidR="00CC1955">
        <w:rPr>
          <w:rFonts w:ascii="Segoe UI" w:hAnsi="Segoe UI" w:cs="Segoe UI"/>
          <w:color w:val="666666"/>
          <w:sz w:val="20"/>
          <w:szCs w:val="20"/>
        </w:rPr>
        <w:t>billion to this increase.</w:t>
      </w:r>
    </w:p>
    <w:p w14:paraId="700EA27D" w14:textId="77777777" w:rsidR="00A60D91" w:rsidRPr="004A55C8" w:rsidRDefault="00A60D91" w:rsidP="00A60D91">
      <w:pPr>
        <w:pStyle w:val="NormalWeb"/>
        <w:numPr>
          <w:ilvl w:val="0"/>
          <w:numId w:val="3"/>
        </w:numPr>
        <w:spacing w:before="160" w:beforeAutospacing="0" w:after="160" w:afterAutospacing="0" w:line="280" w:lineRule="exact"/>
        <w:rPr>
          <w:rFonts w:ascii="Segoe UI" w:eastAsia="Calibri" w:hAnsi="Segoe UI" w:cs="Segoe UI"/>
          <w:color w:val="666666"/>
          <w:sz w:val="20"/>
          <w:szCs w:val="20"/>
        </w:rPr>
      </w:pPr>
      <w:r w:rsidRPr="007D4D5C">
        <w:rPr>
          <w:rFonts w:ascii="Segoe UI" w:eastAsia="Calibri" w:hAnsi="Segoe UI" w:cs="Segoe UI"/>
          <w:color w:val="666666"/>
          <w:sz w:val="20"/>
          <w:szCs w:val="20"/>
        </w:rPr>
        <w:lastRenderedPageBreak/>
        <w:t xml:space="preserve">Research and development expenses </w:t>
      </w:r>
      <w:r w:rsidRPr="004A55C8">
        <w:rPr>
          <w:rFonts w:ascii="Segoe UI" w:eastAsia="Calibri" w:hAnsi="Segoe UI" w:cs="Segoe UI"/>
          <w:color w:val="666666"/>
          <w:sz w:val="20"/>
          <w:szCs w:val="20"/>
        </w:rPr>
        <w:t xml:space="preserve">increased </w:t>
      </w:r>
      <w:r w:rsidRPr="00C03191">
        <w:rPr>
          <w:rFonts w:ascii="Segoe UI" w:eastAsia="Calibri" w:hAnsi="Segoe UI" w:cs="Segoe UI"/>
          <w:color w:val="666666"/>
          <w:sz w:val="20"/>
          <w:szCs w:val="20"/>
        </w:rPr>
        <w:t>$340</w:t>
      </w:r>
      <w:r w:rsidRPr="004A55C8">
        <w:rPr>
          <w:rFonts w:ascii="Segoe UI" w:eastAsia="Calibri" w:hAnsi="Segoe UI" w:cs="Segoe UI"/>
          <w:color w:val="666666"/>
          <w:sz w:val="20"/>
          <w:szCs w:val="20"/>
        </w:rPr>
        <w:t xml:space="preserve"> million or </w:t>
      </w:r>
      <w:r w:rsidRPr="00C03191">
        <w:rPr>
          <w:rFonts w:ascii="Segoe UI" w:eastAsia="Calibri" w:hAnsi="Segoe UI" w:cs="Segoe UI"/>
          <w:color w:val="666666"/>
          <w:sz w:val="20"/>
          <w:szCs w:val="20"/>
        </w:rPr>
        <w:t xml:space="preserve">12%.  </w:t>
      </w:r>
      <w:r w:rsidRPr="004A55C8">
        <w:rPr>
          <w:rFonts w:ascii="Segoe UI" w:eastAsia="Calibri" w:hAnsi="Segoe UI" w:cs="Segoe UI"/>
          <w:color w:val="666666"/>
          <w:sz w:val="20"/>
          <w:szCs w:val="20"/>
        </w:rPr>
        <w:t xml:space="preserve">The results from </w:t>
      </w:r>
      <w:r>
        <w:rPr>
          <w:rFonts w:ascii="Segoe UI" w:eastAsia="Calibri" w:hAnsi="Segoe UI" w:cs="Segoe UI"/>
          <w:color w:val="666666"/>
          <w:sz w:val="20"/>
          <w:szCs w:val="20"/>
        </w:rPr>
        <w:t>NDS</w:t>
      </w:r>
      <w:r w:rsidRPr="004A55C8">
        <w:rPr>
          <w:rFonts w:ascii="Segoe UI" w:eastAsia="Calibri" w:hAnsi="Segoe UI" w:cs="Segoe UI"/>
          <w:color w:val="666666"/>
          <w:sz w:val="20"/>
          <w:szCs w:val="20"/>
        </w:rPr>
        <w:t xml:space="preserve"> contributed </w:t>
      </w:r>
      <w:r w:rsidRPr="00C03191">
        <w:rPr>
          <w:rFonts w:ascii="Segoe UI" w:eastAsia="Calibri" w:hAnsi="Segoe UI" w:cs="Segoe UI"/>
          <w:color w:val="666666"/>
          <w:sz w:val="20"/>
          <w:szCs w:val="20"/>
        </w:rPr>
        <w:t>$275</w:t>
      </w:r>
      <w:r>
        <w:rPr>
          <w:rFonts w:ascii="Segoe UI" w:eastAsia="Calibri" w:hAnsi="Segoe UI" w:cs="Segoe UI"/>
          <w:color w:val="666666"/>
          <w:sz w:val="20"/>
          <w:szCs w:val="20"/>
        </w:rPr>
        <w:t xml:space="preserve"> million</w:t>
      </w:r>
      <w:r w:rsidRPr="004A55C8">
        <w:rPr>
          <w:rFonts w:ascii="Segoe UI" w:eastAsia="Calibri" w:hAnsi="Segoe UI" w:cs="Segoe UI"/>
          <w:color w:val="666666"/>
          <w:sz w:val="20"/>
          <w:szCs w:val="20"/>
        </w:rPr>
        <w:t xml:space="preserve"> to this increase.</w:t>
      </w:r>
    </w:p>
    <w:p w14:paraId="7C7C8533" w14:textId="77777777" w:rsidR="00A60D91" w:rsidRPr="004A55C8" w:rsidRDefault="00A60D91" w:rsidP="00A60D91">
      <w:pPr>
        <w:pStyle w:val="NormalWeb"/>
        <w:numPr>
          <w:ilvl w:val="0"/>
          <w:numId w:val="3"/>
        </w:numPr>
        <w:spacing w:before="160" w:beforeAutospacing="0" w:after="160" w:afterAutospacing="0" w:line="280" w:lineRule="exact"/>
        <w:rPr>
          <w:rFonts w:ascii="Segoe UI" w:eastAsia="Calibri" w:hAnsi="Segoe UI" w:cs="Segoe UI"/>
          <w:color w:val="666666"/>
          <w:sz w:val="20"/>
          <w:szCs w:val="20"/>
        </w:rPr>
      </w:pPr>
      <w:r w:rsidRPr="004A55C8">
        <w:rPr>
          <w:rFonts w:ascii="Segoe UI" w:eastAsia="Calibri" w:hAnsi="Segoe UI" w:cs="Segoe UI"/>
          <w:color w:val="666666"/>
          <w:sz w:val="20"/>
          <w:szCs w:val="20"/>
        </w:rPr>
        <w:t xml:space="preserve">Sales and marketing expenses increased </w:t>
      </w:r>
      <w:r w:rsidRPr="00C03191">
        <w:rPr>
          <w:rFonts w:ascii="Segoe UI" w:eastAsia="Calibri" w:hAnsi="Segoe UI" w:cs="Segoe UI"/>
          <w:color w:val="666666"/>
          <w:sz w:val="20"/>
          <w:szCs w:val="20"/>
        </w:rPr>
        <w:t>$454</w:t>
      </w:r>
      <w:r w:rsidRPr="004A55C8">
        <w:rPr>
          <w:rFonts w:ascii="Segoe UI" w:eastAsia="Calibri" w:hAnsi="Segoe UI" w:cs="Segoe UI"/>
          <w:color w:val="666666"/>
          <w:sz w:val="20"/>
          <w:szCs w:val="20"/>
        </w:rPr>
        <w:t xml:space="preserve"> million or </w:t>
      </w:r>
      <w:r w:rsidRPr="00C03191">
        <w:rPr>
          <w:rFonts w:ascii="Segoe UI" w:eastAsia="Calibri" w:hAnsi="Segoe UI" w:cs="Segoe UI"/>
          <w:color w:val="666666"/>
          <w:sz w:val="20"/>
          <w:szCs w:val="20"/>
        </w:rPr>
        <w:t xml:space="preserve">11%.  </w:t>
      </w:r>
      <w:r w:rsidRPr="004A55C8">
        <w:rPr>
          <w:rFonts w:ascii="Segoe UI" w:eastAsia="Calibri" w:hAnsi="Segoe UI" w:cs="Segoe UI"/>
          <w:color w:val="666666"/>
          <w:sz w:val="20"/>
          <w:szCs w:val="20"/>
        </w:rPr>
        <w:t xml:space="preserve">The results from </w:t>
      </w:r>
      <w:r>
        <w:rPr>
          <w:rFonts w:ascii="Segoe UI" w:eastAsia="Calibri" w:hAnsi="Segoe UI" w:cs="Segoe UI"/>
          <w:color w:val="666666"/>
          <w:sz w:val="20"/>
          <w:szCs w:val="20"/>
        </w:rPr>
        <w:t>NDS</w:t>
      </w:r>
      <w:r w:rsidRPr="004A55C8">
        <w:rPr>
          <w:rFonts w:ascii="Segoe UI" w:eastAsia="Calibri" w:hAnsi="Segoe UI" w:cs="Segoe UI"/>
          <w:color w:val="666666"/>
          <w:sz w:val="20"/>
          <w:szCs w:val="20"/>
        </w:rPr>
        <w:t xml:space="preserve"> contributed </w:t>
      </w:r>
      <w:r w:rsidRPr="00C03191">
        <w:rPr>
          <w:rFonts w:ascii="Segoe UI" w:eastAsia="Calibri" w:hAnsi="Segoe UI" w:cs="Segoe UI"/>
          <w:color w:val="666666"/>
          <w:sz w:val="20"/>
          <w:szCs w:val="20"/>
        </w:rPr>
        <w:t>$394</w:t>
      </w:r>
      <w:r w:rsidRPr="004A55C8">
        <w:rPr>
          <w:rFonts w:ascii="Segoe UI" w:eastAsia="Calibri" w:hAnsi="Segoe UI" w:cs="Segoe UI"/>
          <w:color w:val="666666"/>
          <w:sz w:val="20"/>
          <w:szCs w:val="20"/>
        </w:rPr>
        <w:t xml:space="preserve"> million to this increase.</w:t>
      </w:r>
    </w:p>
    <w:p w14:paraId="500EF607" w14:textId="77777777" w:rsidR="00A60D91" w:rsidRDefault="00A60D91" w:rsidP="00A60D91">
      <w:pPr>
        <w:pStyle w:val="NormalWeb"/>
        <w:numPr>
          <w:ilvl w:val="0"/>
          <w:numId w:val="3"/>
        </w:numPr>
        <w:spacing w:before="160" w:beforeAutospacing="0" w:after="160" w:afterAutospacing="0" w:line="280" w:lineRule="exact"/>
        <w:rPr>
          <w:rFonts w:ascii="Segoe UI" w:eastAsia="Calibri" w:hAnsi="Segoe UI" w:cs="Segoe UI"/>
          <w:color w:val="666666"/>
          <w:sz w:val="20"/>
          <w:szCs w:val="20"/>
        </w:rPr>
      </w:pPr>
      <w:r w:rsidRPr="004A55C8">
        <w:rPr>
          <w:rFonts w:ascii="Segoe UI" w:eastAsia="Calibri" w:hAnsi="Segoe UI" w:cs="Segoe UI"/>
          <w:color w:val="666666"/>
          <w:sz w:val="20"/>
          <w:szCs w:val="20"/>
        </w:rPr>
        <w:t xml:space="preserve">General and administrative expenses increased </w:t>
      </w:r>
      <w:r w:rsidRPr="00C03191">
        <w:rPr>
          <w:rFonts w:ascii="Segoe UI" w:eastAsia="Calibri" w:hAnsi="Segoe UI" w:cs="Segoe UI"/>
          <w:color w:val="666666"/>
          <w:sz w:val="20"/>
          <w:szCs w:val="20"/>
        </w:rPr>
        <w:t>$163</w:t>
      </w:r>
      <w:r w:rsidRPr="004A55C8">
        <w:rPr>
          <w:rFonts w:ascii="Segoe UI" w:eastAsia="Calibri" w:hAnsi="Segoe UI" w:cs="Segoe UI"/>
          <w:color w:val="666666"/>
          <w:sz w:val="20"/>
          <w:szCs w:val="20"/>
        </w:rPr>
        <w:t xml:space="preserve"> million or </w:t>
      </w:r>
      <w:r w:rsidRPr="00C03191">
        <w:rPr>
          <w:rFonts w:ascii="Segoe UI" w:eastAsia="Calibri" w:hAnsi="Segoe UI" w:cs="Segoe UI"/>
          <w:color w:val="666666"/>
          <w:sz w:val="20"/>
          <w:szCs w:val="20"/>
        </w:rPr>
        <w:t>13%</w:t>
      </w:r>
      <w:r w:rsidRPr="004A55C8">
        <w:rPr>
          <w:rFonts w:ascii="Segoe UI" w:eastAsia="Calibri" w:hAnsi="Segoe UI" w:cs="Segoe UI"/>
          <w:color w:val="666666"/>
          <w:sz w:val="20"/>
          <w:szCs w:val="20"/>
        </w:rPr>
        <w:t xml:space="preserve">. The results from </w:t>
      </w:r>
      <w:r>
        <w:rPr>
          <w:rFonts w:ascii="Segoe UI" w:eastAsia="Calibri" w:hAnsi="Segoe UI" w:cs="Segoe UI"/>
          <w:color w:val="666666"/>
          <w:sz w:val="20"/>
          <w:szCs w:val="20"/>
        </w:rPr>
        <w:t>NDS</w:t>
      </w:r>
      <w:r w:rsidRPr="004A55C8">
        <w:rPr>
          <w:rFonts w:ascii="Segoe UI" w:eastAsia="Calibri" w:hAnsi="Segoe UI" w:cs="Segoe UI"/>
          <w:color w:val="666666"/>
          <w:sz w:val="20"/>
          <w:szCs w:val="20"/>
        </w:rPr>
        <w:t xml:space="preserve"> contributed </w:t>
      </w:r>
      <w:r w:rsidRPr="00C03191">
        <w:rPr>
          <w:rFonts w:ascii="Segoe UI" w:eastAsia="Calibri" w:hAnsi="Segoe UI" w:cs="Segoe UI"/>
          <w:color w:val="666666"/>
          <w:sz w:val="20"/>
          <w:szCs w:val="20"/>
        </w:rPr>
        <w:t>$77</w:t>
      </w:r>
      <w:r w:rsidRPr="004A55C8">
        <w:rPr>
          <w:rFonts w:ascii="Segoe UI" w:eastAsia="Calibri" w:hAnsi="Segoe UI" w:cs="Segoe UI"/>
          <w:color w:val="666666"/>
          <w:sz w:val="20"/>
          <w:szCs w:val="20"/>
        </w:rPr>
        <w:t xml:space="preserve"> million to this increase.</w:t>
      </w:r>
    </w:p>
    <w:p w14:paraId="32799BA2" w14:textId="6B5631F8" w:rsidR="007524C4" w:rsidRPr="004A55C8" w:rsidRDefault="007524C4" w:rsidP="007524C4">
      <w:pPr>
        <w:pStyle w:val="NormalWeb"/>
        <w:numPr>
          <w:ilvl w:val="0"/>
          <w:numId w:val="3"/>
        </w:numPr>
        <w:spacing w:before="160" w:beforeAutospacing="0" w:after="160" w:afterAutospacing="0" w:line="280" w:lineRule="exact"/>
        <w:rPr>
          <w:rFonts w:ascii="Segoe UI" w:eastAsia="Calibri" w:hAnsi="Segoe UI" w:cs="Segoe UI"/>
          <w:color w:val="666666"/>
          <w:sz w:val="20"/>
          <w:szCs w:val="20"/>
        </w:rPr>
      </w:pPr>
      <w:r>
        <w:rPr>
          <w:rFonts w:ascii="Segoe UI" w:eastAsia="Calibri" w:hAnsi="Segoe UI" w:cs="Segoe UI"/>
          <w:color w:val="666666"/>
          <w:sz w:val="20"/>
          <w:szCs w:val="20"/>
        </w:rPr>
        <w:t xml:space="preserve">Integration and restructuring expenses </w:t>
      </w:r>
      <w:r w:rsidRPr="007524C4">
        <w:rPr>
          <w:rFonts w:ascii="Segoe UI" w:eastAsia="Calibri" w:hAnsi="Segoe UI" w:cs="Segoe UI"/>
          <w:color w:val="666666"/>
          <w:sz w:val="20"/>
          <w:szCs w:val="20"/>
        </w:rPr>
        <w:t>associated with the acquisition of NDS</w:t>
      </w:r>
      <w:r>
        <w:rPr>
          <w:rFonts w:ascii="Segoe UI" w:eastAsia="Calibri" w:hAnsi="Segoe UI" w:cs="Segoe UI"/>
          <w:color w:val="666666"/>
          <w:sz w:val="20"/>
          <w:szCs w:val="20"/>
        </w:rPr>
        <w:t xml:space="preserve"> were $</w:t>
      </w:r>
      <w:r w:rsidRPr="007524C4">
        <w:rPr>
          <w:rFonts w:ascii="Segoe UI" w:eastAsia="Calibri" w:hAnsi="Segoe UI" w:cs="Segoe UI"/>
          <w:color w:val="666666"/>
          <w:sz w:val="20"/>
          <w:szCs w:val="20"/>
        </w:rPr>
        <w:t>127 million</w:t>
      </w:r>
      <w:r>
        <w:rPr>
          <w:rFonts w:ascii="Segoe UI" w:eastAsia="Calibri" w:hAnsi="Segoe UI" w:cs="Segoe UI"/>
          <w:color w:val="666666"/>
          <w:sz w:val="20"/>
          <w:szCs w:val="20"/>
        </w:rPr>
        <w:t xml:space="preserve">. </w:t>
      </w:r>
    </w:p>
    <w:p w14:paraId="69015829" w14:textId="77777777" w:rsidR="00A60D91" w:rsidRPr="003B669E" w:rsidRDefault="00A60D91" w:rsidP="00A60D91">
      <w:pPr>
        <w:pStyle w:val="NormalWeb"/>
        <w:spacing w:before="160" w:beforeAutospacing="0" w:after="160" w:afterAutospacing="0" w:line="280" w:lineRule="exact"/>
        <w:rPr>
          <w:rFonts w:ascii="Segoe UI" w:hAnsi="Segoe UI" w:cs="Segoe UI"/>
          <w:b/>
          <w:bCs/>
          <w:color w:val="666666"/>
          <w:sz w:val="20"/>
          <w:szCs w:val="20"/>
        </w:rPr>
      </w:pPr>
      <w:r w:rsidRPr="003B669E">
        <w:rPr>
          <w:rFonts w:ascii="Segoe UI" w:hAnsi="Segoe UI" w:cs="Segoe UI"/>
          <w:b/>
          <w:bCs/>
          <w:color w:val="666666"/>
          <w:sz w:val="20"/>
          <w:szCs w:val="20"/>
        </w:rPr>
        <w:t>INCOME TAXES</w:t>
      </w:r>
    </w:p>
    <w:p w14:paraId="73A01321" w14:textId="5E7B9AD0" w:rsidR="00A60D91" w:rsidRDefault="00A60D91" w:rsidP="00A60D91">
      <w:pPr>
        <w:pStyle w:val="NormalWeb"/>
        <w:keepNext/>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 xml:space="preserve">The </w:t>
      </w:r>
      <w:r w:rsidRPr="00446399">
        <w:rPr>
          <w:rFonts w:ascii="Segoe UI" w:eastAsia="Calibri" w:hAnsi="Segoe UI" w:cs="Segoe UI"/>
          <w:color w:val="666666"/>
          <w:sz w:val="20"/>
          <w:szCs w:val="20"/>
        </w:rPr>
        <w:t xml:space="preserve">effective tax rate was </w:t>
      </w:r>
      <w:r w:rsidRPr="002241FC">
        <w:rPr>
          <w:rFonts w:ascii="Segoe UI" w:eastAsia="Calibri" w:hAnsi="Segoe UI" w:cs="Segoe UI"/>
          <w:color w:val="666666"/>
          <w:sz w:val="20"/>
          <w:szCs w:val="20"/>
        </w:rPr>
        <w:t>30%</w:t>
      </w:r>
      <w:r>
        <w:rPr>
          <w:rFonts w:ascii="Segoe UI" w:eastAsia="Calibri" w:hAnsi="Segoe UI" w:cs="Segoe UI"/>
          <w:color w:val="666666"/>
          <w:sz w:val="20"/>
          <w:szCs w:val="20"/>
        </w:rPr>
        <w:t xml:space="preserve"> for the quarter, </w:t>
      </w:r>
      <w:r w:rsidRPr="00446399">
        <w:rPr>
          <w:rFonts w:ascii="Segoe UI" w:eastAsia="Calibri" w:hAnsi="Segoe UI" w:cs="Segoe UI"/>
          <w:color w:val="666666"/>
          <w:sz w:val="20"/>
          <w:szCs w:val="20"/>
        </w:rPr>
        <w:t xml:space="preserve">compared to 19% </w:t>
      </w:r>
      <w:r>
        <w:rPr>
          <w:rFonts w:ascii="Segoe UI" w:eastAsia="Calibri" w:hAnsi="Segoe UI" w:cs="Segoe UI"/>
          <w:color w:val="666666"/>
          <w:sz w:val="20"/>
          <w:szCs w:val="20"/>
        </w:rPr>
        <w:t xml:space="preserve">in the prior year.  </w:t>
      </w:r>
      <w:r w:rsidRPr="002241FC">
        <w:rPr>
          <w:rFonts w:ascii="Segoe UI" w:eastAsia="Calibri" w:hAnsi="Segoe UI" w:cs="Segoe UI"/>
          <w:color w:val="666666"/>
          <w:sz w:val="20"/>
          <w:szCs w:val="20"/>
        </w:rPr>
        <w:t xml:space="preserve">The </w:t>
      </w:r>
      <w:r>
        <w:rPr>
          <w:rFonts w:ascii="Segoe UI" w:eastAsia="Calibri" w:hAnsi="Segoe UI" w:cs="Segoe UI"/>
          <w:color w:val="666666"/>
          <w:sz w:val="20"/>
          <w:szCs w:val="20"/>
        </w:rPr>
        <w:t xml:space="preserve">year-over-year increase was </w:t>
      </w:r>
      <w:r w:rsidRPr="002241FC">
        <w:rPr>
          <w:rFonts w:ascii="Segoe UI" w:eastAsia="Calibri" w:hAnsi="Segoe UI" w:cs="Segoe UI"/>
          <w:color w:val="666666"/>
          <w:sz w:val="20"/>
          <w:szCs w:val="20"/>
        </w:rPr>
        <w:t xml:space="preserve">due primarily to </w:t>
      </w:r>
      <w:r w:rsidR="00B02D26">
        <w:rPr>
          <w:rFonts w:ascii="Segoe UI" w:eastAsia="Calibri" w:hAnsi="Segoe UI" w:cs="Segoe UI"/>
          <w:color w:val="666666"/>
          <w:sz w:val="20"/>
          <w:szCs w:val="20"/>
        </w:rPr>
        <w:t xml:space="preserve">adjustments </w:t>
      </w:r>
      <w:r>
        <w:rPr>
          <w:rFonts w:ascii="Segoe UI" w:eastAsia="Calibri" w:hAnsi="Segoe UI" w:cs="Segoe UI"/>
          <w:color w:val="666666"/>
          <w:sz w:val="20"/>
          <w:szCs w:val="20"/>
        </w:rPr>
        <w:t xml:space="preserve">to prior years’ liabilities </w:t>
      </w:r>
      <w:r w:rsidRPr="002241FC">
        <w:rPr>
          <w:rFonts w:ascii="Segoe UI" w:eastAsia="Calibri" w:hAnsi="Segoe UI" w:cs="Segoe UI"/>
          <w:color w:val="666666"/>
          <w:sz w:val="20"/>
          <w:szCs w:val="20"/>
        </w:rPr>
        <w:t xml:space="preserve">for intercompany transfer pricing that increased </w:t>
      </w:r>
      <w:r w:rsidR="00B02D26">
        <w:rPr>
          <w:rFonts w:ascii="Segoe UI" w:eastAsia="Calibri" w:hAnsi="Segoe UI" w:cs="Segoe UI"/>
          <w:color w:val="666666"/>
          <w:sz w:val="20"/>
          <w:szCs w:val="20"/>
        </w:rPr>
        <w:t xml:space="preserve">taxable </w:t>
      </w:r>
      <w:r w:rsidRPr="002241FC">
        <w:rPr>
          <w:rFonts w:ascii="Segoe UI" w:eastAsia="Calibri" w:hAnsi="Segoe UI" w:cs="Segoe UI"/>
          <w:color w:val="666666"/>
          <w:sz w:val="20"/>
          <w:szCs w:val="20"/>
        </w:rPr>
        <w:t xml:space="preserve">income in </w:t>
      </w:r>
      <w:r>
        <w:rPr>
          <w:rFonts w:ascii="Segoe UI" w:eastAsia="Calibri" w:hAnsi="Segoe UI" w:cs="Segoe UI"/>
          <w:color w:val="666666"/>
          <w:sz w:val="20"/>
          <w:szCs w:val="20"/>
        </w:rPr>
        <w:t xml:space="preserve">more </w:t>
      </w:r>
      <w:r w:rsidRPr="002241FC">
        <w:rPr>
          <w:rFonts w:ascii="Segoe UI" w:eastAsia="Calibri" w:hAnsi="Segoe UI" w:cs="Segoe UI"/>
          <w:color w:val="666666"/>
          <w:sz w:val="20"/>
          <w:szCs w:val="20"/>
        </w:rPr>
        <w:t>high</w:t>
      </w:r>
      <w:r>
        <w:rPr>
          <w:rFonts w:ascii="Segoe UI" w:eastAsia="Calibri" w:hAnsi="Segoe UI" w:cs="Segoe UI"/>
          <w:color w:val="666666"/>
          <w:sz w:val="20"/>
          <w:szCs w:val="20"/>
        </w:rPr>
        <w:t>ly</w:t>
      </w:r>
      <w:r w:rsidRPr="002241FC">
        <w:rPr>
          <w:rFonts w:ascii="Segoe UI" w:eastAsia="Calibri" w:hAnsi="Segoe UI" w:cs="Segoe UI"/>
          <w:color w:val="666666"/>
          <w:sz w:val="20"/>
          <w:szCs w:val="20"/>
        </w:rPr>
        <w:t xml:space="preserve"> taxed jurisdictions, as well as losses incurred by </w:t>
      </w:r>
      <w:r>
        <w:rPr>
          <w:rFonts w:ascii="Segoe UI" w:eastAsia="Calibri" w:hAnsi="Segoe UI" w:cs="Segoe UI"/>
          <w:color w:val="666666"/>
          <w:sz w:val="20"/>
          <w:szCs w:val="20"/>
        </w:rPr>
        <w:t>NDS and changes in the geographic mix of our business.</w:t>
      </w:r>
    </w:p>
    <w:p w14:paraId="5F0ACAF4" w14:textId="007B2060" w:rsidR="00A60D91" w:rsidRPr="003B669E" w:rsidRDefault="00A60D91" w:rsidP="00A60D91">
      <w:pPr>
        <w:keepNext/>
        <w:spacing w:before="160" w:line="240" w:lineRule="auto"/>
        <w:contextualSpacing/>
        <w:jc w:val="both"/>
        <w:rPr>
          <w:rFonts w:cstheme="minorHAnsi"/>
          <w:b/>
          <w:sz w:val="24"/>
          <w:szCs w:val="24"/>
        </w:rPr>
      </w:pPr>
      <w:r w:rsidRPr="003B669E">
        <w:rPr>
          <w:rFonts w:ascii="Segoe UI" w:eastAsia="Times New Roman" w:hAnsi="Segoe UI" w:cs="Segoe UI"/>
          <w:b/>
          <w:bCs/>
          <w:color w:val="666666"/>
          <w:sz w:val="20"/>
          <w:szCs w:val="20"/>
        </w:rPr>
        <w:t>BALANCE SHEET AND CASH FLOW</w:t>
      </w:r>
      <w:r w:rsidR="003A19D2">
        <w:rPr>
          <w:rFonts w:ascii="Segoe UI" w:eastAsia="Times New Roman" w:hAnsi="Segoe UI" w:cs="Segoe UI"/>
          <w:b/>
          <w:bCs/>
          <w:color w:val="666666"/>
          <w:sz w:val="20"/>
          <w:szCs w:val="20"/>
        </w:rPr>
        <w:t>S</w:t>
      </w:r>
    </w:p>
    <w:p w14:paraId="3C18D71F" w14:textId="14AB3AC5" w:rsidR="00A60D91" w:rsidRDefault="00A60D91" w:rsidP="00A60D91">
      <w:pPr>
        <w:pStyle w:val="NormalWeb"/>
        <w:keepNext/>
        <w:spacing w:before="160" w:beforeAutospacing="0" w:after="160" w:afterAutospacing="0"/>
        <w:rPr>
          <w:rFonts w:ascii="Segoe UI" w:eastAsia="Calibri" w:hAnsi="Segoe UI" w:cs="Segoe UI"/>
          <w:color w:val="666666"/>
          <w:sz w:val="20"/>
          <w:szCs w:val="20"/>
        </w:rPr>
      </w:pPr>
      <w:r w:rsidRPr="007D4D5C">
        <w:rPr>
          <w:rFonts w:ascii="Segoe UI" w:eastAsia="Calibri" w:hAnsi="Segoe UI" w:cs="Segoe UI"/>
          <w:color w:val="666666"/>
          <w:sz w:val="20"/>
          <w:szCs w:val="20"/>
        </w:rPr>
        <w:t>Cash flow</w:t>
      </w:r>
      <w:r w:rsidR="003A19D2">
        <w:rPr>
          <w:rFonts w:ascii="Segoe UI" w:eastAsia="Calibri" w:hAnsi="Segoe UI" w:cs="Segoe UI"/>
          <w:color w:val="666666"/>
          <w:sz w:val="20"/>
          <w:szCs w:val="20"/>
        </w:rPr>
        <w:t>s</w:t>
      </w:r>
      <w:r w:rsidRPr="007D4D5C">
        <w:rPr>
          <w:rFonts w:ascii="Segoe UI" w:eastAsia="Calibri" w:hAnsi="Segoe UI" w:cs="Segoe UI"/>
          <w:color w:val="666666"/>
          <w:sz w:val="20"/>
          <w:szCs w:val="20"/>
        </w:rPr>
        <w:t xml:space="preserve"> from operations w</w:t>
      </w:r>
      <w:r w:rsidR="003A19D2">
        <w:rPr>
          <w:rFonts w:ascii="Segoe UI" w:eastAsia="Calibri" w:hAnsi="Segoe UI" w:cs="Segoe UI"/>
          <w:color w:val="666666"/>
          <w:sz w:val="20"/>
          <w:szCs w:val="20"/>
        </w:rPr>
        <w:t xml:space="preserve">ere </w:t>
      </w:r>
      <w:r w:rsidRPr="00B468A7">
        <w:rPr>
          <w:rFonts w:ascii="Segoe UI" w:eastAsia="Calibri" w:hAnsi="Segoe UI" w:cs="Segoe UI"/>
          <w:color w:val="666666"/>
          <w:sz w:val="20"/>
          <w:szCs w:val="20"/>
        </w:rPr>
        <w:t>$</w:t>
      </w:r>
      <w:r w:rsidR="009C5629">
        <w:rPr>
          <w:rFonts w:ascii="Segoe UI" w:eastAsia="Calibri" w:hAnsi="Segoe UI" w:cs="Segoe UI"/>
          <w:color w:val="666666"/>
          <w:sz w:val="20"/>
          <w:szCs w:val="20"/>
        </w:rPr>
        <w:t>9.51</w:t>
      </w:r>
      <w:r w:rsidRPr="007D4D5C">
        <w:rPr>
          <w:rFonts w:ascii="Segoe UI" w:eastAsia="Calibri" w:hAnsi="Segoe UI" w:cs="Segoe UI"/>
          <w:color w:val="666666"/>
          <w:sz w:val="20"/>
          <w:szCs w:val="20"/>
        </w:rPr>
        <w:t xml:space="preserve"> billion</w:t>
      </w:r>
      <w:r w:rsidR="003A19D2">
        <w:rPr>
          <w:rFonts w:ascii="Segoe UI" w:eastAsia="Calibri" w:hAnsi="Segoe UI" w:cs="Segoe UI"/>
          <w:color w:val="666666"/>
          <w:sz w:val="20"/>
          <w:szCs w:val="20"/>
        </w:rPr>
        <w:t>,</w:t>
      </w:r>
      <w:r>
        <w:rPr>
          <w:rFonts w:ascii="Segoe UI" w:eastAsia="Calibri" w:hAnsi="Segoe UI" w:cs="Segoe UI"/>
          <w:color w:val="666666"/>
          <w:sz w:val="20"/>
          <w:szCs w:val="20"/>
        </w:rPr>
        <w:t xml:space="preserve"> up </w:t>
      </w:r>
      <w:r w:rsidR="009C5629">
        <w:rPr>
          <w:rFonts w:ascii="Segoe UI" w:eastAsia="Calibri" w:hAnsi="Segoe UI" w:cs="Segoe UI"/>
          <w:color w:val="666666"/>
          <w:sz w:val="20"/>
          <w:szCs w:val="20"/>
        </w:rPr>
        <w:t>61</w:t>
      </w:r>
      <w:r w:rsidRPr="00B468A7">
        <w:rPr>
          <w:rFonts w:ascii="Segoe UI" w:eastAsia="Calibri" w:hAnsi="Segoe UI" w:cs="Segoe UI"/>
          <w:color w:val="666666"/>
          <w:sz w:val="20"/>
          <w:szCs w:val="20"/>
        </w:rPr>
        <w:t>%</w:t>
      </w:r>
      <w:r w:rsidRPr="007D4D5C">
        <w:rPr>
          <w:rFonts w:ascii="Segoe UI" w:eastAsia="Calibri" w:hAnsi="Segoe UI" w:cs="Segoe UI"/>
          <w:color w:val="666666"/>
          <w:sz w:val="20"/>
          <w:szCs w:val="20"/>
        </w:rPr>
        <w:t xml:space="preserve">.  Cash returned to shareholders </w:t>
      </w:r>
      <w:r>
        <w:rPr>
          <w:rFonts w:ascii="Segoe UI" w:eastAsia="Calibri" w:hAnsi="Segoe UI" w:cs="Segoe UI"/>
          <w:color w:val="666666"/>
          <w:sz w:val="20"/>
          <w:szCs w:val="20"/>
        </w:rPr>
        <w:t>through buybacks and dividends was $3.43 billion for the quarter</w:t>
      </w:r>
      <w:r w:rsidRPr="007D4D5C">
        <w:rPr>
          <w:rFonts w:ascii="Segoe UI" w:eastAsia="Calibri" w:hAnsi="Segoe UI" w:cs="Segoe UI"/>
          <w:color w:val="666666"/>
          <w:sz w:val="20"/>
          <w:szCs w:val="20"/>
        </w:rPr>
        <w:t xml:space="preserve">.  Capital expenditures were </w:t>
      </w:r>
      <w:r w:rsidRPr="00BF6F38">
        <w:rPr>
          <w:rFonts w:ascii="Segoe UI" w:eastAsia="Calibri" w:hAnsi="Segoe UI" w:cs="Segoe UI"/>
          <w:color w:val="666666"/>
          <w:sz w:val="20"/>
          <w:szCs w:val="20"/>
        </w:rPr>
        <w:t>$1.3</w:t>
      </w:r>
      <w:r w:rsidR="00AF3B78">
        <w:rPr>
          <w:rFonts w:ascii="Segoe UI" w:eastAsia="Calibri" w:hAnsi="Segoe UI" w:cs="Segoe UI"/>
          <w:color w:val="666666"/>
          <w:sz w:val="20"/>
          <w:szCs w:val="20"/>
        </w:rPr>
        <w:t>3</w:t>
      </w:r>
      <w:r w:rsidRPr="007D4D5C">
        <w:rPr>
          <w:rFonts w:ascii="Segoe UI" w:eastAsia="Calibri" w:hAnsi="Segoe UI" w:cs="Segoe UI"/>
          <w:color w:val="666666"/>
          <w:sz w:val="20"/>
          <w:szCs w:val="20"/>
        </w:rPr>
        <w:t xml:space="preserve"> billion, supporting the global expansion of our cloud services.</w:t>
      </w:r>
    </w:p>
    <w:p w14:paraId="200189FE" w14:textId="77777777" w:rsidR="00A60D91" w:rsidRPr="003B669E" w:rsidRDefault="00A60D91" w:rsidP="00A60D91">
      <w:pPr>
        <w:pStyle w:val="NormalWeb"/>
        <w:keepNext/>
        <w:spacing w:before="160" w:beforeAutospacing="0" w:after="160" w:afterAutospacing="0"/>
        <w:rPr>
          <w:rFonts w:ascii="Segoe UI" w:hAnsi="Segoe UI" w:cs="Segoe UI"/>
          <w:b/>
          <w:bCs/>
          <w:color w:val="666666"/>
          <w:sz w:val="20"/>
          <w:szCs w:val="20"/>
        </w:rPr>
      </w:pPr>
      <w:r w:rsidRPr="003B669E">
        <w:rPr>
          <w:rFonts w:ascii="Segoe UI" w:hAnsi="Segoe UI" w:cs="Segoe UI"/>
          <w:b/>
          <w:bCs/>
          <w:color w:val="666666"/>
          <w:sz w:val="20"/>
          <w:szCs w:val="20"/>
        </w:rPr>
        <w:t>UNEARNED REVENUE, CONTRACTED NOT BILLED, AND BOOKINGS</w:t>
      </w:r>
    </w:p>
    <w:p w14:paraId="7617A4EB" w14:textId="77777777" w:rsidR="00A60D91" w:rsidRPr="005C70FF" w:rsidRDefault="00A60D91" w:rsidP="00A60D91">
      <w:pPr>
        <w:pStyle w:val="NormalWeb"/>
        <w:spacing w:before="160" w:beforeAutospacing="0" w:after="160" w:afterAutospacing="0" w:line="280" w:lineRule="exact"/>
        <w:rPr>
          <w:rFonts w:ascii="Segoe UI" w:eastAsia="Calibri" w:hAnsi="Segoe UI" w:cs="Segoe UI"/>
          <w:color w:val="666666"/>
          <w:sz w:val="20"/>
          <w:szCs w:val="20"/>
        </w:rPr>
      </w:pPr>
      <w:r w:rsidRPr="005C70FF">
        <w:rPr>
          <w:rFonts w:ascii="Segoe UI" w:eastAsia="Calibri" w:hAnsi="Segoe UI" w:cs="Segoe UI"/>
          <w:color w:val="666666"/>
          <w:sz w:val="20"/>
          <w:szCs w:val="20"/>
        </w:rPr>
        <w:t>The following table outlines unearned revenue by segment:  </w:t>
      </w:r>
    </w:p>
    <w:tbl>
      <w:tblPr>
        <w:tblW w:w="7655" w:type="dxa"/>
        <w:tblLayout w:type="fixed"/>
        <w:tblCellMar>
          <w:left w:w="0" w:type="dxa"/>
          <w:right w:w="0" w:type="dxa"/>
        </w:tblCellMar>
        <w:tblLook w:val="0000" w:firstRow="0" w:lastRow="0" w:firstColumn="0" w:lastColumn="0" w:noHBand="0" w:noVBand="0"/>
      </w:tblPr>
      <w:tblGrid>
        <w:gridCol w:w="5137"/>
        <w:gridCol w:w="269"/>
        <w:gridCol w:w="181"/>
        <w:gridCol w:w="721"/>
        <w:gridCol w:w="271"/>
        <w:gridCol w:w="90"/>
        <w:gridCol w:w="179"/>
        <w:gridCol w:w="724"/>
        <w:gridCol w:w="83"/>
      </w:tblGrid>
      <w:tr w:rsidR="00A60D91" w:rsidRPr="005C70FF" w14:paraId="1794C978" w14:textId="77777777" w:rsidTr="008A7AB3">
        <w:trPr>
          <w:tblHeader/>
        </w:trPr>
        <w:tc>
          <w:tcPr>
            <w:tcW w:w="3355" w:type="pct"/>
          </w:tcPr>
          <w:p w14:paraId="041ECECD" w14:textId="77777777" w:rsidR="00A60D91" w:rsidRPr="005C70FF" w:rsidRDefault="00A60D91" w:rsidP="008A7AB3">
            <w:pPr>
              <w:pStyle w:val="NormalWeb"/>
              <w:keepNext/>
              <w:spacing w:before="0" w:beforeAutospacing="0" w:after="0" w:afterAutospacing="0"/>
              <w:rPr>
                <w:rFonts w:ascii="Segoe UI" w:hAnsi="Segoe UI" w:cs="Segoe UI"/>
                <w:color w:val="666666"/>
                <w:sz w:val="18"/>
                <w:szCs w:val="18"/>
              </w:rPr>
            </w:pPr>
            <w:r w:rsidRPr="005C70FF">
              <w:rPr>
                <w:rFonts w:ascii="Segoe UI" w:hAnsi="Segoe UI" w:cs="Segoe UI"/>
                <w:b/>
                <w:bCs/>
                <w:color w:val="666666"/>
                <w:sz w:val="18"/>
                <w:szCs w:val="18"/>
              </w:rPr>
              <w:t>(In millions)</w:t>
            </w:r>
          </w:p>
        </w:tc>
        <w:tc>
          <w:tcPr>
            <w:tcW w:w="176" w:type="pct"/>
          </w:tcPr>
          <w:p w14:paraId="2CF032AA" w14:textId="77777777" w:rsidR="00A60D91" w:rsidRPr="005C70FF" w:rsidRDefault="00A60D91" w:rsidP="008A7AB3">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589" w:type="pct"/>
            <w:gridSpan w:val="2"/>
          </w:tcPr>
          <w:p w14:paraId="15D47356" w14:textId="77777777" w:rsidR="00A60D91" w:rsidRPr="005C70FF" w:rsidRDefault="00A60D91" w:rsidP="008A7AB3">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177" w:type="pct"/>
          </w:tcPr>
          <w:p w14:paraId="125959FA" w14:textId="77777777" w:rsidR="00A60D91" w:rsidRPr="005C70FF" w:rsidRDefault="00A60D91" w:rsidP="008A7AB3">
            <w:pPr>
              <w:spacing w:after="0"/>
              <w:rPr>
                <w:rFonts w:ascii="Segoe UI" w:hAnsi="Segoe UI" w:cs="Segoe UI"/>
                <w:color w:val="666666"/>
                <w:sz w:val="18"/>
                <w:szCs w:val="18"/>
              </w:rPr>
            </w:pPr>
            <w:r w:rsidRPr="005C70FF">
              <w:rPr>
                <w:rFonts w:ascii="Segoe UI" w:hAnsi="Segoe UI" w:cs="Segoe UI"/>
                <w:color w:val="666666"/>
                <w:sz w:val="18"/>
                <w:szCs w:val="18"/>
              </w:rPr>
              <w:t> </w:t>
            </w:r>
          </w:p>
        </w:tc>
        <w:tc>
          <w:tcPr>
            <w:tcW w:w="59" w:type="pct"/>
          </w:tcPr>
          <w:p w14:paraId="08DD73FC" w14:textId="77777777" w:rsidR="00A60D91" w:rsidRPr="005C70FF" w:rsidRDefault="00A60D91" w:rsidP="008A7AB3">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590" w:type="pct"/>
            <w:gridSpan w:val="2"/>
          </w:tcPr>
          <w:p w14:paraId="32B74BD0" w14:textId="77777777" w:rsidR="00A60D91" w:rsidRPr="005C70FF" w:rsidRDefault="00A60D91" w:rsidP="008A7AB3">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54" w:type="pct"/>
          </w:tcPr>
          <w:p w14:paraId="3CE4260E" w14:textId="77777777" w:rsidR="00A60D91" w:rsidRPr="005C70FF" w:rsidRDefault="00A60D91" w:rsidP="008A7AB3">
            <w:pPr>
              <w:spacing w:after="0"/>
              <w:rPr>
                <w:rFonts w:ascii="Segoe UI" w:hAnsi="Segoe UI" w:cs="Segoe UI"/>
                <w:color w:val="666666"/>
                <w:sz w:val="20"/>
                <w:szCs w:val="20"/>
              </w:rPr>
            </w:pPr>
            <w:r w:rsidRPr="005C70FF">
              <w:rPr>
                <w:rFonts w:ascii="Segoe UI" w:hAnsi="Segoe UI" w:cs="Segoe UI"/>
                <w:color w:val="666666"/>
                <w:sz w:val="20"/>
                <w:szCs w:val="20"/>
              </w:rPr>
              <w:t> </w:t>
            </w:r>
          </w:p>
        </w:tc>
      </w:tr>
      <w:tr w:rsidR="00A60D91" w:rsidRPr="005C70FF" w14:paraId="1A20DF59" w14:textId="77777777" w:rsidTr="008A7AB3">
        <w:tc>
          <w:tcPr>
            <w:tcW w:w="4946" w:type="pct"/>
            <w:gridSpan w:val="8"/>
          </w:tcPr>
          <w:p w14:paraId="4201C707" w14:textId="77777777" w:rsidR="00A60D91" w:rsidRPr="005C70FF" w:rsidRDefault="00A60D91" w:rsidP="008A7AB3">
            <w:pPr>
              <w:pStyle w:val="rrdsinglerule"/>
              <w:spacing w:before="0"/>
              <w:rPr>
                <w:rFonts w:ascii="Segoe UI" w:hAnsi="Segoe UI" w:cs="Segoe UI"/>
                <w:color w:val="666666"/>
                <w:sz w:val="18"/>
                <w:szCs w:val="18"/>
              </w:rPr>
            </w:pPr>
            <w:r w:rsidRPr="005C70FF">
              <w:rPr>
                <w:rFonts w:ascii="Segoe UI" w:hAnsi="Segoe UI" w:cs="Segoe UI"/>
                <w:color w:val="666666"/>
                <w:sz w:val="18"/>
                <w:szCs w:val="18"/>
              </w:rPr>
              <w:t> </w:t>
            </w:r>
          </w:p>
        </w:tc>
        <w:tc>
          <w:tcPr>
            <w:tcW w:w="54" w:type="pct"/>
          </w:tcPr>
          <w:p w14:paraId="593D277E" w14:textId="77777777" w:rsidR="00A60D91" w:rsidRPr="005C70FF" w:rsidRDefault="00A60D91" w:rsidP="008A7AB3">
            <w:pPr>
              <w:pStyle w:val="la2"/>
              <w:rPr>
                <w:rFonts w:ascii="Segoe UI" w:hAnsi="Segoe UI" w:cs="Segoe UI"/>
                <w:color w:val="666666"/>
                <w:sz w:val="20"/>
                <w:szCs w:val="20"/>
              </w:rPr>
            </w:pPr>
            <w:r w:rsidRPr="005C70FF">
              <w:rPr>
                <w:rFonts w:ascii="Segoe UI" w:hAnsi="Segoe UI" w:cs="Segoe UI"/>
                <w:color w:val="666666"/>
                <w:sz w:val="20"/>
                <w:szCs w:val="20"/>
              </w:rPr>
              <w:t> </w:t>
            </w:r>
          </w:p>
        </w:tc>
      </w:tr>
      <w:tr w:rsidR="00A60D91" w:rsidRPr="005C70FF" w14:paraId="1A530A25" w14:textId="77777777" w:rsidTr="008A7AB3">
        <w:tc>
          <w:tcPr>
            <w:tcW w:w="3355" w:type="pct"/>
          </w:tcPr>
          <w:p w14:paraId="7A251340" w14:textId="77777777" w:rsidR="00A60D91" w:rsidRPr="005C70FF" w:rsidRDefault="00A60D91" w:rsidP="008A7AB3">
            <w:pPr>
              <w:pStyle w:val="NormalWeb"/>
              <w:keepNext/>
              <w:spacing w:before="0" w:beforeAutospacing="0" w:after="0" w:afterAutospacing="0"/>
              <w:rPr>
                <w:rFonts w:ascii="Segoe UI" w:hAnsi="Segoe UI" w:cs="Segoe UI"/>
                <w:color w:val="666666"/>
                <w:sz w:val="18"/>
                <w:szCs w:val="18"/>
              </w:rPr>
            </w:pPr>
            <w:r w:rsidRPr="005C70FF">
              <w:rPr>
                <w:rFonts w:ascii="Segoe UI" w:hAnsi="Segoe UI" w:cs="Segoe UI"/>
                <w:b/>
                <w:bCs/>
                <w:color w:val="666666"/>
                <w:sz w:val="18"/>
                <w:szCs w:val="18"/>
              </w:rPr>
              <w:t>June 30,</w:t>
            </w:r>
          </w:p>
        </w:tc>
        <w:tc>
          <w:tcPr>
            <w:tcW w:w="176" w:type="pct"/>
          </w:tcPr>
          <w:p w14:paraId="7B6067BF" w14:textId="77777777" w:rsidR="00A60D91" w:rsidRPr="005C70FF" w:rsidRDefault="00A60D91" w:rsidP="008A7AB3">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589" w:type="pct"/>
            <w:gridSpan w:val="2"/>
            <w:tcMar>
              <w:top w:w="0" w:type="dxa"/>
              <w:left w:w="14" w:type="dxa"/>
              <w:bottom w:w="0" w:type="dxa"/>
              <w:right w:w="14" w:type="dxa"/>
            </w:tcMar>
          </w:tcPr>
          <w:p w14:paraId="3C790100" w14:textId="77777777" w:rsidR="00A60D91" w:rsidRPr="005C70FF" w:rsidRDefault="00A60D91" w:rsidP="008A7AB3">
            <w:pPr>
              <w:spacing w:after="0" w:line="240" w:lineRule="auto"/>
              <w:jc w:val="right"/>
              <w:rPr>
                <w:rFonts w:ascii="Segoe UI" w:hAnsi="Segoe UI" w:cs="Segoe UI"/>
                <w:b/>
                <w:color w:val="666666"/>
                <w:sz w:val="18"/>
                <w:szCs w:val="18"/>
              </w:rPr>
            </w:pPr>
            <w:r w:rsidRPr="005C70FF">
              <w:rPr>
                <w:rFonts w:ascii="Segoe UI" w:hAnsi="Segoe UI" w:cs="Segoe UI"/>
                <w:b/>
                <w:color w:val="666666"/>
                <w:sz w:val="18"/>
                <w:szCs w:val="18"/>
              </w:rPr>
              <w:t>2014</w:t>
            </w:r>
          </w:p>
        </w:tc>
        <w:tc>
          <w:tcPr>
            <w:tcW w:w="177" w:type="pct"/>
          </w:tcPr>
          <w:p w14:paraId="09282529" w14:textId="77777777" w:rsidR="00A60D91" w:rsidRPr="005C70FF" w:rsidRDefault="00A60D91" w:rsidP="008A7AB3">
            <w:pPr>
              <w:spacing w:after="0" w:line="240" w:lineRule="auto"/>
              <w:rPr>
                <w:rFonts w:ascii="Segoe UI" w:hAnsi="Segoe UI" w:cs="Segoe UI"/>
                <w:b/>
                <w:color w:val="666666"/>
                <w:sz w:val="18"/>
                <w:szCs w:val="18"/>
              </w:rPr>
            </w:pPr>
          </w:p>
        </w:tc>
        <w:tc>
          <w:tcPr>
            <w:tcW w:w="59" w:type="pct"/>
          </w:tcPr>
          <w:p w14:paraId="6426464C" w14:textId="77777777" w:rsidR="00A60D91" w:rsidRPr="005C70FF" w:rsidRDefault="00A60D91" w:rsidP="008A7AB3">
            <w:pPr>
              <w:pStyle w:val="la2"/>
              <w:spacing w:line="240" w:lineRule="auto"/>
              <w:rPr>
                <w:rFonts w:ascii="Segoe UI" w:eastAsia="Calibri" w:hAnsi="Segoe UI" w:cs="Segoe UI"/>
                <w:noProof w:val="0"/>
                <w:color w:val="666666"/>
                <w:sz w:val="18"/>
                <w:szCs w:val="18"/>
              </w:rPr>
            </w:pPr>
            <w:r w:rsidRPr="005C70FF">
              <w:rPr>
                <w:rFonts w:ascii="Segoe UI" w:eastAsia="Calibri" w:hAnsi="Segoe UI" w:cs="Segoe UI"/>
                <w:noProof w:val="0"/>
                <w:color w:val="666666"/>
                <w:sz w:val="18"/>
                <w:szCs w:val="18"/>
              </w:rPr>
              <w:t> </w:t>
            </w:r>
          </w:p>
        </w:tc>
        <w:tc>
          <w:tcPr>
            <w:tcW w:w="590" w:type="pct"/>
            <w:gridSpan w:val="2"/>
            <w:tcMar>
              <w:top w:w="0" w:type="dxa"/>
              <w:left w:w="14" w:type="dxa"/>
              <w:bottom w:w="0" w:type="dxa"/>
              <w:right w:w="14" w:type="dxa"/>
            </w:tcMar>
          </w:tcPr>
          <w:p w14:paraId="2B63B87D" w14:textId="77777777" w:rsidR="00A60D91" w:rsidRPr="005C70FF" w:rsidRDefault="00A60D91" w:rsidP="008A7AB3">
            <w:pPr>
              <w:spacing w:after="0" w:line="240" w:lineRule="auto"/>
              <w:jc w:val="right"/>
              <w:rPr>
                <w:rFonts w:ascii="Segoe UI" w:hAnsi="Segoe UI" w:cs="Segoe UI"/>
                <w:b/>
                <w:color w:val="666666"/>
                <w:sz w:val="18"/>
                <w:szCs w:val="18"/>
              </w:rPr>
            </w:pPr>
            <w:r w:rsidRPr="005C70FF">
              <w:rPr>
                <w:rFonts w:ascii="Segoe UI" w:hAnsi="Segoe UI" w:cs="Segoe UI"/>
                <w:b/>
                <w:color w:val="666666"/>
                <w:sz w:val="18"/>
                <w:szCs w:val="18"/>
              </w:rPr>
              <w:t>2013</w:t>
            </w:r>
          </w:p>
        </w:tc>
        <w:tc>
          <w:tcPr>
            <w:tcW w:w="54" w:type="pct"/>
          </w:tcPr>
          <w:p w14:paraId="2BA955F3" w14:textId="77777777" w:rsidR="00A60D91" w:rsidRPr="005C70FF" w:rsidRDefault="00A60D91" w:rsidP="008A7AB3">
            <w:pPr>
              <w:spacing w:after="0" w:line="240" w:lineRule="auto"/>
              <w:rPr>
                <w:rFonts w:ascii="Segoe UI" w:hAnsi="Segoe UI" w:cs="Segoe UI"/>
                <w:color w:val="666666"/>
                <w:sz w:val="18"/>
                <w:szCs w:val="18"/>
              </w:rPr>
            </w:pPr>
            <w:r w:rsidRPr="005C70FF">
              <w:rPr>
                <w:rFonts w:ascii="Segoe UI" w:hAnsi="Segoe UI" w:cs="Segoe UI"/>
                <w:color w:val="666666"/>
                <w:sz w:val="18"/>
                <w:szCs w:val="18"/>
              </w:rPr>
              <w:t> </w:t>
            </w:r>
          </w:p>
        </w:tc>
      </w:tr>
      <w:tr w:rsidR="00A60D91" w:rsidRPr="005C70FF" w14:paraId="29E9F63F" w14:textId="77777777" w:rsidTr="008A7AB3">
        <w:tc>
          <w:tcPr>
            <w:tcW w:w="3355" w:type="pct"/>
          </w:tcPr>
          <w:p w14:paraId="7EB8F020" w14:textId="77777777" w:rsidR="00A60D91" w:rsidRPr="005C70FF" w:rsidRDefault="00A60D91" w:rsidP="008A7AB3">
            <w:pPr>
              <w:pStyle w:val="NormalWeb"/>
              <w:spacing w:before="0" w:beforeAutospacing="0" w:after="0" w:afterAutospacing="0"/>
              <w:ind w:left="240" w:hanging="240"/>
              <w:rPr>
                <w:rFonts w:ascii="Segoe UI" w:hAnsi="Segoe UI" w:cs="Segoe UI"/>
                <w:color w:val="666666"/>
                <w:sz w:val="18"/>
                <w:szCs w:val="18"/>
              </w:rPr>
            </w:pPr>
          </w:p>
        </w:tc>
        <w:tc>
          <w:tcPr>
            <w:tcW w:w="176" w:type="pct"/>
          </w:tcPr>
          <w:p w14:paraId="17E0EECB" w14:textId="77777777" w:rsidR="00A60D91" w:rsidRPr="005C70FF" w:rsidRDefault="00A60D91" w:rsidP="008A7AB3">
            <w:pPr>
              <w:pStyle w:val="la2"/>
              <w:rPr>
                <w:rFonts w:ascii="Segoe UI" w:hAnsi="Segoe UI" w:cs="Segoe UI"/>
                <w:color w:val="666666"/>
                <w:sz w:val="18"/>
                <w:szCs w:val="18"/>
              </w:rPr>
            </w:pPr>
          </w:p>
        </w:tc>
        <w:tc>
          <w:tcPr>
            <w:tcW w:w="118" w:type="pct"/>
          </w:tcPr>
          <w:p w14:paraId="2B359C44" w14:textId="77777777" w:rsidR="00A60D91" w:rsidRPr="005C70FF" w:rsidRDefault="00A60D91" w:rsidP="008A7AB3">
            <w:pPr>
              <w:spacing w:after="0" w:line="240" w:lineRule="auto"/>
              <w:jc w:val="right"/>
              <w:rPr>
                <w:rFonts w:ascii="Segoe UI" w:hAnsi="Segoe UI" w:cs="Segoe UI"/>
                <w:b/>
                <w:color w:val="666666"/>
                <w:sz w:val="18"/>
                <w:szCs w:val="18"/>
              </w:rPr>
            </w:pPr>
          </w:p>
        </w:tc>
        <w:tc>
          <w:tcPr>
            <w:tcW w:w="471" w:type="pct"/>
          </w:tcPr>
          <w:p w14:paraId="42B8B139" w14:textId="77777777" w:rsidR="00A60D91" w:rsidRPr="005C70FF" w:rsidRDefault="00A60D91" w:rsidP="008A7AB3">
            <w:pPr>
              <w:spacing w:after="0" w:line="240" w:lineRule="auto"/>
              <w:jc w:val="right"/>
              <w:rPr>
                <w:rFonts w:ascii="Segoe UI" w:hAnsi="Segoe UI" w:cs="Segoe UI"/>
                <w:b/>
                <w:color w:val="666666"/>
                <w:sz w:val="18"/>
                <w:szCs w:val="18"/>
              </w:rPr>
            </w:pPr>
          </w:p>
        </w:tc>
        <w:tc>
          <w:tcPr>
            <w:tcW w:w="177" w:type="pct"/>
            <w:noWrap/>
          </w:tcPr>
          <w:p w14:paraId="4273AD5A" w14:textId="77777777" w:rsidR="00A60D91" w:rsidRPr="005C70FF" w:rsidRDefault="00A60D91" w:rsidP="008A7AB3">
            <w:pPr>
              <w:spacing w:after="0" w:line="240" w:lineRule="auto"/>
              <w:jc w:val="right"/>
              <w:rPr>
                <w:rFonts w:ascii="Segoe UI" w:hAnsi="Segoe UI" w:cs="Segoe UI"/>
                <w:b/>
                <w:color w:val="666666"/>
                <w:sz w:val="18"/>
                <w:szCs w:val="18"/>
              </w:rPr>
            </w:pPr>
          </w:p>
        </w:tc>
        <w:tc>
          <w:tcPr>
            <w:tcW w:w="59" w:type="pct"/>
          </w:tcPr>
          <w:p w14:paraId="6ACE20C5" w14:textId="77777777" w:rsidR="00A60D91" w:rsidRPr="005C70FF" w:rsidRDefault="00A60D91" w:rsidP="008A7AB3">
            <w:pPr>
              <w:pStyle w:val="la2"/>
              <w:spacing w:line="240" w:lineRule="auto"/>
              <w:jc w:val="right"/>
              <w:rPr>
                <w:rFonts w:ascii="Segoe UI" w:eastAsia="Calibri" w:hAnsi="Segoe UI" w:cs="Segoe UI"/>
                <w:noProof w:val="0"/>
                <w:color w:val="666666"/>
                <w:sz w:val="18"/>
                <w:szCs w:val="18"/>
              </w:rPr>
            </w:pPr>
          </w:p>
        </w:tc>
        <w:tc>
          <w:tcPr>
            <w:tcW w:w="117" w:type="pct"/>
          </w:tcPr>
          <w:p w14:paraId="00CC25EC" w14:textId="77777777" w:rsidR="00A60D91" w:rsidRPr="005C70FF" w:rsidRDefault="00A60D91" w:rsidP="008A7AB3">
            <w:pPr>
              <w:spacing w:after="0" w:line="240" w:lineRule="auto"/>
              <w:jc w:val="right"/>
              <w:rPr>
                <w:rFonts w:ascii="Segoe UI" w:hAnsi="Segoe UI" w:cs="Segoe UI"/>
                <w:color w:val="666666"/>
                <w:sz w:val="18"/>
                <w:szCs w:val="18"/>
              </w:rPr>
            </w:pPr>
          </w:p>
        </w:tc>
        <w:tc>
          <w:tcPr>
            <w:tcW w:w="473" w:type="pct"/>
          </w:tcPr>
          <w:p w14:paraId="32D7880E" w14:textId="77777777" w:rsidR="00A60D91" w:rsidRPr="005C70FF" w:rsidRDefault="00A60D91" w:rsidP="008A7AB3">
            <w:pPr>
              <w:spacing w:after="0" w:line="240" w:lineRule="auto"/>
              <w:jc w:val="right"/>
              <w:rPr>
                <w:rFonts w:ascii="Segoe UI" w:hAnsi="Segoe UI" w:cs="Segoe UI"/>
                <w:color w:val="666666"/>
                <w:sz w:val="18"/>
                <w:szCs w:val="18"/>
              </w:rPr>
            </w:pPr>
          </w:p>
        </w:tc>
        <w:tc>
          <w:tcPr>
            <w:tcW w:w="54" w:type="pct"/>
            <w:noWrap/>
          </w:tcPr>
          <w:p w14:paraId="118B5935" w14:textId="77777777" w:rsidR="00A60D91" w:rsidRPr="005C70FF" w:rsidRDefault="00A60D91" w:rsidP="008A7AB3">
            <w:pPr>
              <w:spacing w:after="0" w:line="240" w:lineRule="auto"/>
              <w:jc w:val="right"/>
              <w:rPr>
                <w:rFonts w:ascii="Segoe UI" w:hAnsi="Segoe UI" w:cs="Segoe UI"/>
                <w:color w:val="666666"/>
                <w:sz w:val="18"/>
                <w:szCs w:val="18"/>
              </w:rPr>
            </w:pPr>
          </w:p>
        </w:tc>
      </w:tr>
      <w:tr w:rsidR="00A60D91" w:rsidRPr="005C70FF" w14:paraId="14F2C29D" w14:textId="77777777" w:rsidTr="008A7AB3">
        <w:tc>
          <w:tcPr>
            <w:tcW w:w="3355" w:type="pct"/>
          </w:tcPr>
          <w:p w14:paraId="0F98A29F" w14:textId="77777777" w:rsidR="00A60D91" w:rsidRPr="005C70FF" w:rsidRDefault="00A60D91" w:rsidP="008A7AB3">
            <w:pPr>
              <w:pStyle w:val="NormalWeb"/>
              <w:spacing w:before="0" w:beforeAutospacing="0" w:after="0" w:afterAutospacing="0"/>
              <w:ind w:left="240" w:hanging="240"/>
              <w:rPr>
                <w:rFonts w:ascii="Segoe UI" w:hAnsi="Segoe UI" w:cs="Segoe UI"/>
                <w:color w:val="666666"/>
                <w:sz w:val="18"/>
                <w:szCs w:val="18"/>
              </w:rPr>
            </w:pPr>
            <w:r w:rsidRPr="005C70FF">
              <w:rPr>
                <w:rFonts w:ascii="Segoe UI" w:hAnsi="Segoe UI" w:cs="Segoe UI"/>
                <w:color w:val="666666"/>
                <w:sz w:val="18"/>
                <w:szCs w:val="18"/>
              </w:rPr>
              <w:t>Commercial Licensing</w:t>
            </w:r>
          </w:p>
        </w:tc>
        <w:tc>
          <w:tcPr>
            <w:tcW w:w="176" w:type="pct"/>
          </w:tcPr>
          <w:p w14:paraId="6DA373C8" w14:textId="77777777" w:rsidR="00A60D91" w:rsidRPr="005C70FF" w:rsidRDefault="00A60D91" w:rsidP="008A7AB3">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118" w:type="pct"/>
          </w:tcPr>
          <w:p w14:paraId="329DA2D3" w14:textId="77777777" w:rsidR="00A60D91" w:rsidRPr="005C70FF" w:rsidRDefault="00A60D91" w:rsidP="008A7AB3">
            <w:pPr>
              <w:spacing w:after="0" w:line="240" w:lineRule="auto"/>
              <w:jc w:val="right"/>
              <w:rPr>
                <w:rFonts w:ascii="Segoe UI" w:hAnsi="Segoe UI" w:cs="Segoe UI"/>
                <w:b/>
                <w:color w:val="666666"/>
                <w:sz w:val="18"/>
                <w:szCs w:val="18"/>
              </w:rPr>
            </w:pPr>
            <w:r w:rsidRPr="005C70FF">
              <w:rPr>
                <w:rFonts w:ascii="Segoe UI" w:hAnsi="Segoe UI" w:cs="Segoe UI"/>
                <w:b/>
                <w:color w:val="666666"/>
                <w:sz w:val="18"/>
                <w:szCs w:val="18"/>
              </w:rPr>
              <w:t>$</w:t>
            </w:r>
          </w:p>
        </w:tc>
        <w:tc>
          <w:tcPr>
            <w:tcW w:w="471" w:type="pct"/>
          </w:tcPr>
          <w:p w14:paraId="647C4EBE" w14:textId="77777777" w:rsidR="00A60D91" w:rsidRPr="005C70FF" w:rsidRDefault="00A60D91" w:rsidP="008A7AB3">
            <w:pPr>
              <w:spacing w:after="0" w:line="240" w:lineRule="auto"/>
              <w:jc w:val="right"/>
              <w:rPr>
                <w:rFonts w:ascii="Segoe UI" w:hAnsi="Segoe UI" w:cs="Segoe UI"/>
                <w:b/>
                <w:color w:val="666666"/>
                <w:sz w:val="18"/>
                <w:szCs w:val="18"/>
              </w:rPr>
            </w:pPr>
            <w:r>
              <w:rPr>
                <w:rFonts w:ascii="Segoe UI" w:hAnsi="Segoe UI" w:cs="Segoe UI"/>
                <w:b/>
                <w:color w:val="666666"/>
                <w:sz w:val="18"/>
                <w:szCs w:val="18"/>
              </w:rPr>
              <w:t>19,099</w:t>
            </w:r>
          </w:p>
        </w:tc>
        <w:tc>
          <w:tcPr>
            <w:tcW w:w="177" w:type="pct"/>
            <w:noWrap/>
          </w:tcPr>
          <w:p w14:paraId="0FE5C3EA" w14:textId="77777777" w:rsidR="00A60D91" w:rsidRPr="005C70FF" w:rsidRDefault="00A60D91" w:rsidP="008A7AB3">
            <w:pPr>
              <w:spacing w:after="0" w:line="240" w:lineRule="auto"/>
              <w:jc w:val="right"/>
              <w:rPr>
                <w:rFonts w:ascii="Segoe UI" w:hAnsi="Segoe UI" w:cs="Segoe UI"/>
                <w:b/>
                <w:color w:val="666666"/>
                <w:sz w:val="18"/>
                <w:szCs w:val="18"/>
              </w:rPr>
            </w:pPr>
            <w:r w:rsidRPr="005C70FF">
              <w:rPr>
                <w:rFonts w:ascii="Segoe UI" w:hAnsi="Segoe UI" w:cs="Segoe UI"/>
                <w:b/>
                <w:color w:val="666666"/>
                <w:sz w:val="18"/>
                <w:szCs w:val="18"/>
              </w:rPr>
              <w:t> </w:t>
            </w:r>
          </w:p>
        </w:tc>
        <w:tc>
          <w:tcPr>
            <w:tcW w:w="59" w:type="pct"/>
          </w:tcPr>
          <w:p w14:paraId="7C99A944" w14:textId="77777777" w:rsidR="00A60D91" w:rsidRPr="005C70FF" w:rsidRDefault="00A60D91" w:rsidP="008A7AB3">
            <w:pPr>
              <w:pStyle w:val="la2"/>
              <w:spacing w:line="240" w:lineRule="auto"/>
              <w:jc w:val="right"/>
              <w:rPr>
                <w:rFonts w:ascii="Segoe UI" w:eastAsia="Calibri" w:hAnsi="Segoe UI" w:cs="Segoe UI"/>
                <w:noProof w:val="0"/>
                <w:color w:val="666666"/>
                <w:sz w:val="18"/>
                <w:szCs w:val="18"/>
              </w:rPr>
            </w:pPr>
            <w:r w:rsidRPr="005C70FF">
              <w:rPr>
                <w:rFonts w:ascii="Segoe UI" w:eastAsia="Calibri" w:hAnsi="Segoe UI" w:cs="Segoe UI"/>
                <w:noProof w:val="0"/>
                <w:color w:val="666666"/>
                <w:sz w:val="18"/>
                <w:szCs w:val="18"/>
              </w:rPr>
              <w:t> </w:t>
            </w:r>
          </w:p>
        </w:tc>
        <w:tc>
          <w:tcPr>
            <w:tcW w:w="117" w:type="pct"/>
          </w:tcPr>
          <w:p w14:paraId="2DFF9DED" w14:textId="77777777" w:rsidR="00A60D91" w:rsidRPr="005C70FF" w:rsidRDefault="00A60D91" w:rsidP="008A7AB3">
            <w:pPr>
              <w:spacing w:after="0" w:line="240" w:lineRule="auto"/>
              <w:jc w:val="right"/>
              <w:rPr>
                <w:rFonts w:ascii="Segoe UI" w:hAnsi="Segoe UI" w:cs="Segoe UI"/>
                <w:color w:val="666666"/>
                <w:sz w:val="18"/>
                <w:szCs w:val="18"/>
              </w:rPr>
            </w:pPr>
            <w:r w:rsidRPr="005C70FF">
              <w:rPr>
                <w:rFonts w:ascii="Segoe UI" w:hAnsi="Segoe UI" w:cs="Segoe UI"/>
                <w:color w:val="666666"/>
                <w:sz w:val="18"/>
                <w:szCs w:val="18"/>
              </w:rPr>
              <w:t>$</w:t>
            </w:r>
          </w:p>
        </w:tc>
        <w:tc>
          <w:tcPr>
            <w:tcW w:w="473" w:type="pct"/>
          </w:tcPr>
          <w:p w14:paraId="425A4944" w14:textId="77777777" w:rsidR="00A60D91" w:rsidRPr="005C70FF" w:rsidRDefault="00A60D91" w:rsidP="008A7AB3">
            <w:pPr>
              <w:spacing w:after="0" w:line="240" w:lineRule="auto"/>
              <w:jc w:val="right"/>
              <w:rPr>
                <w:rFonts w:ascii="Segoe UI" w:hAnsi="Segoe UI" w:cs="Segoe UI"/>
                <w:color w:val="666666"/>
                <w:sz w:val="18"/>
                <w:szCs w:val="18"/>
              </w:rPr>
            </w:pPr>
            <w:r w:rsidRPr="005C70FF">
              <w:rPr>
                <w:rFonts w:ascii="Segoe UI" w:hAnsi="Segoe UI" w:cs="Segoe UI"/>
                <w:color w:val="666666"/>
                <w:sz w:val="18"/>
                <w:szCs w:val="18"/>
              </w:rPr>
              <w:t>18,460</w:t>
            </w:r>
          </w:p>
        </w:tc>
        <w:tc>
          <w:tcPr>
            <w:tcW w:w="54" w:type="pct"/>
            <w:noWrap/>
          </w:tcPr>
          <w:p w14:paraId="1CB98A13" w14:textId="77777777" w:rsidR="00A60D91" w:rsidRPr="005C70FF" w:rsidRDefault="00A60D91" w:rsidP="008A7AB3">
            <w:pPr>
              <w:spacing w:after="0" w:line="240" w:lineRule="auto"/>
              <w:jc w:val="right"/>
              <w:rPr>
                <w:rFonts w:ascii="Segoe UI" w:hAnsi="Segoe UI" w:cs="Segoe UI"/>
                <w:color w:val="666666"/>
                <w:sz w:val="18"/>
                <w:szCs w:val="18"/>
              </w:rPr>
            </w:pPr>
            <w:r w:rsidRPr="005C70FF">
              <w:rPr>
                <w:rFonts w:ascii="Segoe UI" w:hAnsi="Segoe UI" w:cs="Segoe UI"/>
                <w:color w:val="666666"/>
                <w:sz w:val="18"/>
                <w:szCs w:val="18"/>
              </w:rPr>
              <w:t> </w:t>
            </w:r>
          </w:p>
        </w:tc>
      </w:tr>
      <w:tr w:rsidR="00A60D91" w:rsidRPr="005C70FF" w14:paraId="0BBF1390" w14:textId="77777777" w:rsidTr="008A7AB3">
        <w:tc>
          <w:tcPr>
            <w:tcW w:w="3355" w:type="pct"/>
          </w:tcPr>
          <w:p w14:paraId="4020ADFE" w14:textId="77777777" w:rsidR="00A60D91" w:rsidRPr="005C70FF" w:rsidRDefault="00A60D91" w:rsidP="008A7AB3">
            <w:pPr>
              <w:pStyle w:val="NormalWeb"/>
              <w:spacing w:before="0" w:beforeAutospacing="0" w:after="0" w:afterAutospacing="0"/>
              <w:rPr>
                <w:rFonts w:ascii="Segoe UI" w:hAnsi="Segoe UI" w:cs="Segoe UI"/>
                <w:color w:val="666666"/>
                <w:sz w:val="18"/>
                <w:szCs w:val="18"/>
              </w:rPr>
            </w:pPr>
            <w:r w:rsidRPr="005C70FF">
              <w:rPr>
                <w:rFonts w:ascii="Segoe UI" w:hAnsi="Segoe UI" w:cs="Segoe UI"/>
                <w:color w:val="666666"/>
                <w:sz w:val="18"/>
                <w:szCs w:val="18"/>
              </w:rPr>
              <w:t>Commercial Other</w:t>
            </w:r>
          </w:p>
        </w:tc>
        <w:tc>
          <w:tcPr>
            <w:tcW w:w="176" w:type="pct"/>
          </w:tcPr>
          <w:p w14:paraId="40BFC283" w14:textId="77777777" w:rsidR="00A60D91" w:rsidRPr="005C70FF" w:rsidRDefault="00A60D91" w:rsidP="008A7AB3">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118" w:type="pct"/>
          </w:tcPr>
          <w:p w14:paraId="1796023F" w14:textId="77777777" w:rsidR="00A60D91" w:rsidRPr="005C70FF" w:rsidRDefault="00A60D91" w:rsidP="008A7AB3">
            <w:pPr>
              <w:spacing w:after="0" w:line="240" w:lineRule="auto"/>
              <w:jc w:val="right"/>
              <w:rPr>
                <w:rFonts w:ascii="Segoe UI" w:hAnsi="Segoe UI" w:cs="Segoe UI"/>
                <w:b/>
                <w:color w:val="666666"/>
                <w:sz w:val="18"/>
                <w:szCs w:val="18"/>
              </w:rPr>
            </w:pPr>
            <w:r w:rsidRPr="005C70FF">
              <w:rPr>
                <w:rFonts w:ascii="Segoe UI" w:hAnsi="Segoe UI" w:cs="Segoe UI"/>
                <w:b/>
                <w:color w:val="666666"/>
                <w:sz w:val="18"/>
                <w:szCs w:val="18"/>
              </w:rPr>
              <w:t> </w:t>
            </w:r>
          </w:p>
        </w:tc>
        <w:tc>
          <w:tcPr>
            <w:tcW w:w="471" w:type="pct"/>
          </w:tcPr>
          <w:p w14:paraId="70E0D884" w14:textId="77777777" w:rsidR="00A60D91" w:rsidRPr="005C70FF" w:rsidRDefault="00A60D91" w:rsidP="008A7AB3">
            <w:pPr>
              <w:spacing w:after="0" w:line="240" w:lineRule="auto"/>
              <w:jc w:val="right"/>
              <w:rPr>
                <w:rFonts w:ascii="Segoe UI" w:hAnsi="Segoe UI" w:cs="Segoe UI"/>
                <w:b/>
                <w:color w:val="666666"/>
                <w:sz w:val="18"/>
                <w:szCs w:val="18"/>
              </w:rPr>
            </w:pPr>
            <w:r>
              <w:rPr>
                <w:rFonts w:ascii="Segoe UI" w:hAnsi="Segoe UI" w:cs="Segoe UI"/>
                <w:b/>
                <w:color w:val="666666"/>
                <w:sz w:val="18"/>
                <w:szCs w:val="18"/>
              </w:rPr>
              <w:t>3,934</w:t>
            </w:r>
          </w:p>
        </w:tc>
        <w:tc>
          <w:tcPr>
            <w:tcW w:w="177" w:type="pct"/>
            <w:noWrap/>
          </w:tcPr>
          <w:p w14:paraId="7CDF318B" w14:textId="77777777" w:rsidR="00A60D91" w:rsidRPr="005C70FF" w:rsidRDefault="00A60D91" w:rsidP="008A7AB3">
            <w:pPr>
              <w:spacing w:after="0" w:line="240" w:lineRule="auto"/>
              <w:jc w:val="right"/>
              <w:rPr>
                <w:rFonts w:ascii="Segoe UI" w:hAnsi="Segoe UI" w:cs="Segoe UI"/>
                <w:b/>
                <w:color w:val="666666"/>
                <w:sz w:val="18"/>
                <w:szCs w:val="18"/>
              </w:rPr>
            </w:pPr>
            <w:r w:rsidRPr="005C70FF">
              <w:rPr>
                <w:rFonts w:ascii="Segoe UI" w:hAnsi="Segoe UI" w:cs="Segoe UI"/>
                <w:b/>
                <w:color w:val="666666"/>
                <w:sz w:val="18"/>
                <w:szCs w:val="18"/>
              </w:rPr>
              <w:t> </w:t>
            </w:r>
          </w:p>
        </w:tc>
        <w:tc>
          <w:tcPr>
            <w:tcW w:w="59" w:type="pct"/>
          </w:tcPr>
          <w:p w14:paraId="197C896D" w14:textId="77777777" w:rsidR="00A60D91" w:rsidRPr="005C70FF" w:rsidRDefault="00A60D91" w:rsidP="008A7AB3">
            <w:pPr>
              <w:pStyle w:val="la2"/>
              <w:spacing w:line="240" w:lineRule="auto"/>
              <w:jc w:val="right"/>
              <w:rPr>
                <w:rFonts w:ascii="Segoe UI" w:eastAsia="Calibri" w:hAnsi="Segoe UI" w:cs="Segoe UI"/>
                <w:noProof w:val="0"/>
                <w:color w:val="666666"/>
                <w:sz w:val="18"/>
                <w:szCs w:val="18"/>
              </w:rPr>
            </w:pPr>
            <w:r w:rsidRPr="005C70FF">
              <w:rPr>
                <w:rFonts w:ascii="Segoe UI" w:eastAsia="Calibri" w:hAnsi="Segoe UI" w:cs="Segoe UI"/>
                <w:noProof w:val="0"/>
                <w:color w:val="666666"/>
                <w:sz w:val="18"/>
                <w:szCs w:val="18"/>
              </w:rPr>
              <w:t> </w:t>
            </w:r>
          </w:p>
        </w:tc>
        <w:tc>
          <w:tcPr>
            <w:tcW w:w="117" w:type="pct"/>
          </w:tcPr>
          <w:p w14:paraId="59B0CBAD" w14:textId="77777777" w:rsidR="00A60D91" w:rsidRPr="005C70FF" w:rsidRDefault="00A60D91" w:rsidP="008A7AB3">
            <w:pPr>
              <w:spacing w:after="0" w:line="240" w:lineRule="auto"/>
              <w:jc w:val="right"/>
              <w:rPr>
                <w:rFonts w:ascii="Segoe UI" w:hAnsi="Segoe UI" w:cs="Segoe UI"/>
                <w:color w:val="666666"/>
                <w:sz w:val="18"/>
                <w:szCs w:val="18"/>
              </w:rPr>
            </w:pPr>
            <w:r w:rsidRPr="005C70FF">
              <w:rPr>
                <w:rFonts w:ascii="Segoe UI" w:hAnsi="Segoe UI" w:cs="Segoe UI"/>
                <w:color w:val="666666"/>
                <w:sz w:val="18"/>
                <w:szCs w:val="18"/>
              </w:rPr>
              <w:t> </w:t>
            </w:r>
          </w:p>
        </w:tc>
        <w:tc>
          <w:tcPr>
            <w:tcW w:w="473" w:type="pct"/>
          </w:tcPr>
          <w:p w14:paraId="6E8284B6" w14:textId="77777777" w:rsidR="00A60D91" w:rsidRPr="005C70FF" w:rsidRDefault="00A60D91" w:rsidP="008A7AB3">
            <w:pPr>
              <w:spacing w:after="0" w:line="240" w:lineRule="auto"/>
              <w:jc w:val="right"/>
              <w:rPr>
                <w:rFonts w:ascii="Segoe UI" w:hAnsi="Segoe UI" w:cs="Segoe UI"/>
                <w:color w:val="666666"/>
                <w:sz w:val="18"/>
                <w:szCs w:val="18"/>
              </w:rPr>
            </w:pPr>
            <w:r w:rsidRPr="005C70FF">
              <w:rPr>
                <w:rFonts w:ascii="Segoe UI" w:hAnsi="Segoe UI" w:cs="Segoe UI"/>
                <w:color w:val="666666"/>
                <w:sz w:val="18"/>
                <w:szCs w:val="18"/>
              </w:rPr>
              <w:t>2,272</w:t>
            </w:r>
          </w:p>
        </w:tc>
        <w:tc>
          <w:tcPr>
            <w:tcW w:w="54" w:type="pct"/>
            <w:noWrap/>
          </w:tcPr>
          <w:p w14:paraId="202A244B" w14:textId="77777777" w:rsidR="00A60D91" w:rsidRPr="005C70FF" w:rsidRDefault="00A60D91" w:rsidP="008A7AB3">
            <w:pPr>
              <w:spacing w:after="0" w:line="240" w:lineRule="auto"/>
              <w:jc w:val="right"/>
              <w:rPr>
                <w:rFonts w:ascii="Segoe UI" w:hAnsi="Segoe UI" w:cs="Segoe UI"/>
                <w:color w:val="666666"/>
                <w:sz w:val="18"/>
                <w:szCs w:val="18"/>
              </w:rPr>
            </w:pPr>
            <w:r w:rsidRPr="005C70FF">
              <w:rPr>
                <w:rFonts w:ascii="Segoe UI" w:hAnsi="Segoe UI" w:cs="Segoe UI"/>
                <w:color w:val="666666"/>
                <w:sz w:val="18"/>
                <w:szCs w:val="18"/>
              </w:rPr>
              <w:t> </w:t>
            </w:r>
          </w:p>
        </w:tc>
      </w:tr>
      <w:tr w:rsidR="00A60D91" w:rsidRPr="005C70FF" w14:paraId="3749C094" w14:textId="77777777" w:rsidTr="008A7AB3">
        <w:tc>
          <w:tcPr>
            <w:tcW w:w="3355" w:type="pct"/>
          </w:tcPr>
          <w:p w14:paraId="3C5E2546" w14:textId="77777777" w:rsidR="00A60D91" w:rsidRPr="005C70FF" w:rsidRDefault="00A60D91" w:rsidP="008A7AB3">
            <w:pPr>
              <w:pStyle w:val="NormalWeb"/>
              <w:spacing w:before="0" w:beforeAutospacing="0" w:after="0" w:afterAutospacing="0"/>
              <w:ind w:left="240" w:hanging="240"/>
              <w:rPr>
                <w:rFonts w:ascii="Segoe UI" w:hAnsi="Segoe UI" w:cs="Segoe UI"/>
                <w:color w:val="666666"/>
                <w:sz w:val="18"/>
                <w:szCs w:val="18"/>
              </w:rPr>
            </w:pPr>
            <w:r w:rsidRPr="005C70FF">
              <w:rPr>
                <w:rFonts w:ascii="Segoe UI" w:hAnsi="Segoe UI" w:cs="Segoe UI"/>
                <w:color w:val="666666"/>
                <w:sz w:val="18"/>
                <w:szCs w:val="18"/>
              </w:rPr>
              <w:t>Rest of the segments</w:t>
            </w:r>
          </w:p>
        </w:tc>
        <w:tc>
          <w:tcPr>
            <w:tcW w:w="176" w:type="pct"/>
          </w:tcPr>
          <w:p w14:paraId="02C8BD7C" w14:textId="77777777" w:rsidR="00A60D91" w:rsidRPr="005C70FF" w:rsidRDefault="00A60D91" w:rsidP="008A7AB3">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118" w:type="pct"/>
          </w:tcPr>
          <w:p w14:paraId="6A19E35C" w14:textId="77777777" w:rsidR="00A60D91" w:rsidRPr="005C70FF" w:rsidRDefault="00A60D91" w:rsidP="008A7AB3">
            <w:pPr>
              <w:spacing w:after="0" w:line="240" w:lineRule="auto"/>
              <w:jc w:val="right"/>
              <w:rPr>
                <w:rFonts w:ascii="Segoe UI" w:hAnsi="Segoe UI" w:cs="Segoe UI"/>
                <w:b/>
                <w:color w:val="666666"/>
                <w:sz w:val="18"/>
                <w:szCs w:val="18"/>
              </w:rPr>
            </w:pPr>
            <w:r w:rsidRPr="005C70FF">
              <w:rPr>
                <w:rFonts w:ascii="Segoe UI" w:hAnsi="Segoe UI" w:cs="Segoe UI"/>
                <w:b/>
                <w:color w:val="666666"/>
                <w:sz w:val="18"/>
                <w:szCs w:val="18"/>
              </w:rPr>
              <w:t> </w:t>
            </w:r>
          </w:p>
        </w:tc>
        <w:tc>
          <w:tcPr>
            <w:tcW w:w="471" w:type="pct"/>
          </w:tcPr>
          <w:p w14:paraId="7E342BCB" w14:textId="77777777" w:rsidR="00A60D91" w:rsidRPr="005C70FF" w:rsidRDefault="00A60D91" w:rsidP="008A7AB3">
            <w:pPr>
              <w:spacing w:after="0" w:line="240" w:lineRule="auto"/>
              <w:jc w:val="right"/>
              <w:rPr>
                <w:rFonts w:ascii="Segoe UI" w:hAnsi="Segoe UI" w:cs="Segoe UI"/>
                <w:b/>
                <w:color w:val="666666"/>
                <w:sz w:val="18"/>
                <w:szCs w:val="18"/>
              </w:rPr>
            </w:pPr>
            <w:r>
              <w:rPr>
                <w:rFonts w:ascii="Segoe UI" w:hAnsi="Segoe UI" w:cs="Segoe UI"/>
                <w:b/>
                <w:color w:val="666666"/>
                <w:sz w:val="18"/>
                <w:szCs w:val="18"/>
              </w:rPr>
              <w:t>2,125</w:t>
            </w:r>
          </w:p>
        </w:tc>
        <w:tc>
          <w:tcPr>
            <w:tcW w:w="177" w:type="pct"/>
            <w:noWrap/>
          </w:tcPr>
          <w:p w14:paraId="328106C1" w14:textId="77777777" w:rsidR="00A60D91" w:rsidRPr="005C70FF" w:rsidRDefault="00A60D91" w:rsidP="008A7AB3">
            <w:pPr>
              <w:spacing w:after="0" w:line="240" w:lineRule="auto"/>
              <w:jc w:val="right"/>
              <w:rPr>
                <w:rFonts w:ascii="Segoe UI" w:hAnsi="Segoe UI" w:cs="Segoe UI"/>
                <w:b/>
                <w:color w:val="666666"/>
                <w:sz w:val="18"/>
                <w:szCs w:val="18"/>
              </w:rPr>
            </w:pPr>
            <w:r w:rsidRPr="005C70FF">
              <w:rPr>
                <w:rFonts w:ascii="Segoe UI" w:hAnsi="Segoe UI" w:cs="Segoe UI"/>
                <w:b/>
                <w:color w:val="666666"/>
                <w:sz w:val="18"/>
                <w:szCs w:val="18"/>
              </w:rPr>
              <w:t> </w:t>
            </w:r>
          </w:p>
        </w:tc>
        <w:tc>
          <w:tcPr>
            <w:tcW w:w="59" w:type="pct"/>
          </w:tcPr>
          <w:p w14:paraId="1AECE545" w14:textId="77777777" w:rsidR="00A60D91" w:rsidRPr="005C70FF" w:rsidRDefault="00A60D91" w:rsidP="008A7AB3">
            <w:pPr>
              <w:pStyle w:val="la2"/>
              <w:spacing w:line="240" w:lineRule="auto"/>
              <w:jc w:val="right"/>
              <w:rPr>
                <w:rFonts w:ascii="Segoe UI" w:eastAsia="Calibri" w:hAnsi="Segoe UI" w:cs="Segoe UI"/>
                <w:noProof w:val="0"/>
                <w:color w:val="666666"/>
                <w:sz w:val="18"/>
                <w:szCs w:val="18"/>
              </w:rPr>
            </w:pPr>
            <w:r w:rsidRPr="005C70FF">
              <w:rPr>
                <w:rFonts w:ascii="Segoe UI" w:eastAsia="Calibri" w:hAnsi="Segoe UI" w:cs="Segoe UI"/>
                <w:noProof w:val="0"/>
                <w:color w:val="666666"/>
                <w:sz w:val="18"/>
                <w:szCs w:val="18"/>
              </w:rPr>
              <w:t> </w:t>
            </w:r>
          </w:p>
        </w:tc>
        <w:tc>
          <w:tcPr>
            <w:tcW w:w="117" w:type="pct"/>
          </w:tcPr>
          <w:p w14:paraId="0D2442AA" w14:textId="77777777" w:rsidR="00A60D91" w:rsidRPr="005C70FF" w:rsidRDefault="00A60D91" w:rsidP="008A7AB3">
            <w:pPr>
              <w:spacing w:after="0" w:line="240" w:lineRule="auto"/>
              <w:jc w:val="right"/>
              <w:rPr>
                <w:rFonts w:ascii="Segoe UI" w:hAnsi="Segoe UI" w:cs="Segoe UI"/>
                <w:color w:val="666666"/>
                <w:sz w:val="18"/>
                <w:szCs w:val="18"/>
              </w:rPr>
            </w:pPr>
            <w:r w:rsidRPr="005C70FF">
              <w:rPr>
                <w:rFonts w:ascii="Segoe UI" w:hAnsi="Segoe UI" w:cs="Segoe UI"/>
                <w:color w:val="666666"/>
                <w:sz w:val="18"/>
                <w:szCs w:val="18"/>
              </w:rPr>
              <w:t> </w:t>
            </w:r>
          </w:p>
        </w:tc>
        <w:tc>
          <w:tcPr>
            <w:tcW w:w="473" w:type="pct"/>
          </w:tcPr>
          <w:p w14:paraId="431E28E2" w14:textId="77777777" w:rsidR="00A60D91" w:rsidRPr="005C70FF" w:rsidRDefault="00A60D91" w:rsidP="008A7AB3">
            <w:pPr>
              <w:spacing w:after="0" w:line="240" w:lineRule="auto"/>
              <w:jc w:val="right"/>
              <w:rPr>
                <w:rFonts w:ascii="Segoe UI" w:hAnsi="Segoe UI" w:cs="Segoe UI"/>
                <w:color w:val="666666"/>
                <w:sz w:val="18"/>
                <w:szCs w:val="18"/>
              </w:rPr>
            </w:pPr>
            <w:r w:rsidRPr="005C70FF">
              <w:rPr>
                <w:rFonts w:ascii="Segoe UI" w:hAnsi="Segoe UI" w:cs="Segoe UI"/>
                <w:color w:val="666666"/>
                <w:sz w:val="18"/>
                <w:szCs w:val="18"/>
              </w:rPr>
              <w:t>1,667</w:t>
            </w:r>
          </w:p>
        </w:tc>
        <w:tc>
          <w:tcPr>
            <w:tcW w:w="54" w:type="pct"/>
            <w:noWrap/>
          </w:tcPr>
          <w:p w14:paraId="7713379F" w14:textId="77777777" w:rsidR="00A60D91" w:rsidRPr="005C70FF" w:rsidRDefault="00A60D91" w:rsidP="008A7AB3">
            <w:pPr>
              <w:spacing w:after="0" w:line="240" w:lineRule="auto"/>
              <w:jc w:val="right"/>
              <w:rPr>
                <w:rFonts w:ascii="Segoe UI" w:hAnsi="Segoe UI" w:cs="Segoe UI"/>
                <w:color w:val="666666"/>
                <w:sz w:val="18"/>
                <w:szCs w:val="18"/>
              </w:rPr>
            </w:pPr>
            <w:r w:rsidRPr="005C70FF">
              <w:rPr>
                <w:rFonts w:ascii="Segoe UI" w:hAnsi="Segoe UI" w:cs="Segoe UI"/>
                <w:color w:val="666666"/>
                <w:sz w:val="18"/>
                <w:szCs w:val="18"/>
              </w:rPr>
              <w:t> </w:t>
            </w:r>
          </w:p>
        </w:tc>
      </w:tr>
      <w:tr w:rsidR="00A60D91" w:rsidRPr="005C70FF" w14:paraId="5D5A139E" w14:textId="77777777" w:rsidTr="008A7AB3">
        <w:tc>
          <w:tcPr>
            <w:tcW w:w="4120" w:type="pct"/>
            <w:gridSpan w:val="4"/>
          </w:tcPr>
          <w:p w14:paraId="236DC44F" w14:textId="77777777" w:rsidR="00A60D91" w:rsidRPr="005C70FF" w:rsidRDefault="00A60D91" w:rsidP="008A7AB3">
            <w:pPr>
              <w:pStyle w:val="rrdsinglerule"/>
              <w:spacing w:before="0"/>
              <w:rPr>
                <w:rFonts w:ascii="Segoe UI" w:hAnsi="Segoe UI" w:cs="Segoe UI"/>
                <w:color w:val="666666"/>
                <w:sz w:val="18"/>
                <w:szCs w:val="18"/>
              </w:rPr>
            </w:pPr>
            <w:r w:rsidRPr="005C70FF">
              <w:rPr>
                <w:rFonts w:ascii="Segoe UI" w:hAnsi="Segoe UI" w:cs="Segoe UI"/>
                <w:color w:val="666666"/>
                <w:sz w:val="18"/>
                <w:szCs w:val="18"/>
              </w:rPr>
              <w:t> </w:t>
            </w:r>
          </w:p>
        </w:tc>
        <w:tc>
          <w:tcPr>
            <w:tcW w:w="177" w:type="pct"/>
          </w:tcPr>
          <w:p w14:paraId="4510DCAC" w14:textId="77777777" w:rsidR="00A60D91" w:rsidRPr="005C70FF" w:rsidRDefault="00A60D91" w:rsidP="008A7AB3">
            <w:pPr>
              <w:pStyle w:val="rrdsinglerule"/>
              <w:spacing w:before="0"/>
              <w:rPr>
                <w:rFonts w:ascii="Segoe UI" w:hAnsi="Segoe UI" w:cs="Segoe UI"/>
                <w:color w:val="666666"/>
                <w:sz w:val="18"/>
                <w:szCs w:val="18"/>
              </w:rPr>
            </w:pPr>
            <w:r w:rsidRPr="005C70FF">
              <w:rPr>
                <w:rFonts w:ascii="Segoe UI" w:hAnsi="Segoe UI" w:cs="Segoe UI"/>
                <w:color w:val="666666"/>
                <w:sz w:val="18"/>
                <w:szCs w:val="18"/>
              </w:rPr>
              <w:t> </w:t>
            </w:r>
          </w:p>
        </w:tc>
        <w:tc>
          <w:tcPr>
            <w:tcW w:w="59" w:type="pct"/>
          </w:tcPr>
          <w:p w14:paraId="32EE8163" w14:textId="77777777" w:rsidR="00A60D91" w:rsidRPr="005C70FF" w:rsidRDefault="00A60D91" w:rsidP="008A7AB3">
            <w:pPr>
              <w:pStyle w:val="rrdsinglerule"/>
              <w:spacing w:before="0"/>
              <w:rPr>
                <w:rFonts w:ascii="Segoe UI" w:hAnsi="Segoe UI" w:cs="Segoe UI"/>
                <w:color w:val="666666"/>
                <w:sz w:val="18"/>
                <w:szCs w:val="18"/>
              </w:rPr>
            </w:pPr>
            <w:r w:rsidRPr="005C70FF">
              <w:rPr>
                <w:rFonts w:ascii="Segoe UI" w:hAnsi="Segoe UI" w:cs="Segoe UI"/>
                <w:color w:val="666666"/>
                <w:sz w:val="18"/>
                <w:szCs w:val="18"/>
              </w:rPr>
              <w:t> </w:t>
            </w:r>
          </w:p>
        </w:tc>
        <w:tc>
          <w:tcPr>
            <w:tcW w:w="590" w:type="pct"/>
            <w:gridSpan w:val="2"/>
          </w:tcPr>
          <w:p w14:paraId="02E670B6" w14:textId="77777777" w:rsidR="00A60D91" w:rsidRPr="005C70FF" w:rsidRDefault="00A60D91" w:rsidP="008A7AB3">
            <w:pPr>
              <w:pStyle w:val="rrdsinglerule"/>
              <w:spacing w:before="0"/>
              <w:rPr>
                <w:rFonts w:ascii="Segoe UI" w:hAnsi="Segoe UI" w:cs="Segoe UI"/>
                <w:color w:val="666666"/>
                <w:sz w:val="18"/>
                <w:szCs w:val="18"/>
              </w:rPr>
            </w:pPr>
            <w:r w:rsidRPr="005C70FF">
              <w:rPr>
                <w:rFonts w:ascii="Segoe UI" w:hAnsi="Segoe UI" w:cs="Segoe UI"/>
                <w:color w:val="666666"/>
                <w:sz w:val="18"/>
                <w:szCs w:val="18"/>
              </w:rPr>
              <w:t>  </w:t>
            </w:r>
          </w:p>
        </w:tc>
        <w:tc>
          <w:tcPr>
            <w:tcW w:w="54" w:type="pct"/>
          </w:tcPr>
          <w:p w14:paraId="5D7E9D01" w14:textId="77777777" w:rsidR="00A60D91" w:rsidRPr="005C70FF" w:rsidRDefault="00A60D91" w:rsidP="008A7AB3">
            <w:pPr>
              <w:pStyle w:val="rrdsinglerule"/>
              <w:spacing w:before="0"/>
              <w:rPr>
                <w:rFonts w:ascii="Segoe UI" w:hAnsi="Segoe UI" w:cs="Segoe UI"/>
                <w:color w:val="666666"/>
                <w:sz w:val="18"/>
                <w:szCs w:val="18"/>
              </w:rPr>
            </w:pPr>
            <w:r w:rsidRPr="005C70FF">
              <w:rPr>
                <w:rFonts w:ascii="Segoe UI" w:hAnsi="Segoe UI" w:cs="Segoe UI"/>
                <w:color w:val="666666"/>
                <w:sz w:val="18"/>
                <w:szCs w:val="18"/>
              </w:rPr>
              <w:t> </w:t>
            </w:r>
          </w:p>
        </w:tc>
      </w:tr>
      <w:tr w:rsidR="00A60D91" w:rsidRPr="005C70FF" w14:paraId="09A4F6F9" w14:textId="77777777" w:rsidTr="008A7AB3">
        <w:tc>
          <w:tcPr>
            <w:tcW w:w="3355" w:type="pct"/>
          </w:tcPr>
          <w:p w14:paraId="63AF8696" w14:textId="77777777" w:rsidR="00A60D91" w:rsidRPr="005C70FF" w:rsidRDefault="00A60D91" w:rsidP="008A7AB3">
            <w:pPr>
              <w:pStyle w:val="NormalWeb"/>
              <w:spacing w:before="0" w:beforeAutospacing="0" w:after="0" w:afterAutospacing="0"/>
              <w:ind w:left="480" w:hanging="240"/>
              <w:rPr>
                <w:rFonts w:ascii="Segoe UI" w:hAnsi="Segoe UI" w:cs="Segoe UI"/>
                <w:color w:val="666666"/>
                <w:sz w:val="18"/>
                <w:szCs w:val="18"/>
              </w:rPr>
            </w:pPr>
            <w:r w:rsidRPr="005C70FF">
              <w:rPr>
                <w:rFonts w:ascii="Segoe UI" w:hAnsi="Segoe UI" w:cs="Segoe UI"/>
                <w:color w:val="666666"/>
                <w:sz w:val="18"/>
                <w:szCs w:val="18"/>
              </w:rPr>
              <w:t>Total</w:t>
            </w:r>
          </w:p>
        </w:tc>
        <w:tc>
          <w:tcPr>
            <w:tcW w:w="176" w:type="pct"/>
          </w:tcPr>
          <w:p w14:paraId="5FCB21CD" w14:textId="77777777" w:rsidR="00A60D91" w:rsidRPr="005C70FF" w:rsidRDefault="00A60D91" w:rsidP="008A7AB3">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118" w:type="pct"/>
          </w:tcPr>
          <w:p w14:paraId="0EDC923D" w14:textId="77777777" w:rsidR="00A60D91" w:rsidRPr="005C70FF" w:rsidRDefault="00A60D91" w:rsidP="008A7AB3">
            <w:pPr>
              <w:spacing w:after="0" w:line="240" w:lineRule="auto"/>
              <w:jc w:val="right"/>
              <w:rPr>
                <w:rFonts w:ascii="Segoe UI" w:hAnsi="Segoe UI" w:cs="Segoe UI"/>
                <w:b/>
                <w:color w:val="666666"/>
                <w:sz w:val="18"/>
                <w:szCs w:val="18"/>
              </w:rPr>
            </w:pPr>
            <w:r w:rsidRPr="005C70FF">
              <w:rPr>
                <w:rFonts w:ascii="Segoe UI" w:hAnsi="Segoe UI" w:cs="Segoe UI"/>
                <w:b/>
                <w:color w:val="666666"/>
                <w:sz w:val="18"/>
                <w:szCs w:val="18"/>
              </w:rPr>
              <w:t>$</w:t>
            </w:r>
          </w:p>
        </w:tc>
        <w:tc>
          <w:tcPr>
            <w:tcW w:w="471" w:type="pct"/>
          </w:tcPr>
          <w:p w14:paraId="3EE2DCB1" w14:textId="77777777" w:rsidR="00A60D91" w:rsidRPr="005C70FF" w:rsidRDefault="00A60D91" w:rsidP="008A7AB3">
            <w:pPr>
              <w:spacing w:after="0" w:line="240" w:lineRule="auto"/>
              <w:jc w:val="right"/>
              <w:rPr>
                <w:rFonts w:ascii="Segoe UI" w:hAnsi="Segoe UI" w:cs="Segoe UI"/>
                <w:b/>
                <w:color w:val="666666"/>
                <w:sz w:val="18"/>
                <w:szCs w:val="18"/>
              </w:rPr>
            </w:pPr>
            <w:r>
              <w:rPr>
                <w:rFonts w:ascii="Segoe UI" w:hAnsi="Segoe UI" w:cs="Segoe UI"/>
                <w:b/>
                <w:color w:val="666666"/>
                <w:sz w:val="18"/>
                <w:szCs w:val="18"/>
              </w:rPr>
              <w:t>25,158</w:t>
            </w:r>
          </w:p>
        </w:tc>
        <w:tc>
          <w:tcPr>
            <w:tcW w:w="177" w:type="pct"/>
            <w:noWrap/>
          </w:tcPr>
          <w:p w14:paraId="2039446D" w14:textId="77777777" w:rsidR="00A60D91" w:rsidRPr="005C70FF" w:rsidRDefault="00A60D91" w:rsidP="008A7AB3">
            <w:pPr>
              <w:spacing w:after="0" w:line="240" w:lineRule="auto"/>
              <w:jc w:val="right"/>
              <w:rPr>
                <w:rFonts w:ascii="Segoe UI" w:hAnsi="Segoe UI" w:cs="Segoe UI"/>
                <w:b/>
                <w:color w:val="666666"/>
                <w:sz w:val="18"/>
                <w:szCs w:val="18"/>
              </w:rPr>
            </w:pPr>
            <w:r w:rsidRPr="005C70FF">
              <w:rPr>
                <w:rFonts w:ascii="Segoe UI" w:hAnsi="Segoe UI" w:cs="Segoe UI"/>
                <w:b/>
                <w:color w:val="666666"/>
                <w:sz w:val="18"/>
                <w:szCs w:val="18"/>
              </w:rPr>
              <w:t> </w:t>
            </w:r>
          </w:p>
        </w:tc>
        <w:tc>
          <w:tcPr>
            <w:tcW w:w="59" w:type="pct"/>
          </w:tcPr>
          <w:p w14:paraId="5002C012" w14:textId="77777777" w:rsidR="00A60D91" w:rsidRPr="005C70FF" w:rsidRDefault="00A60D91" w:rsidP="008A7AB3">
            <w:pPr>
              <w:pStyle w:val="la2"/>
              <w:spacing w:line="240" w:lineRule="auto"/>
              <w:jc w:val="right"/>
              <w:rPr>
                <w:rFonts w:ascii="Segoe UI" w:eastAsia="Calibri" w:hAnsi="Segoe UI" w:cs="Segoe UI"/>
                <w:noProof w:val="0"/>
                <w:color w:val="666666"/>
                <w:sz w:val="18"/>
                <w:szCs w:val="18"/>
              </w:rPr>
            </w:pPr>
            <w:r w:rsidRPr="005C70FF">
              <w:rPr>
                <w:rFonts w:ascii="Segoe UI" w:eastAsia="Calibri" w:hAnsi="Segoe UI" w:cs="Segoe UI"/>
                <w:noProof w:val="0"/>
                <w:color w:val="666666"/>
                <w:sz w:val="18"/>
                <w:szCs w:val="18"/>
              </w:rPr>
              <w:t> </w:t>
            </w:r>
          </w:p>
        </w:tc>
        <w:tc>
          <w:tcPr>
            <w:tcW w:w="117" w:type="pct"/>
          </w:tcPr>
          <w:p w14:paraId="148F4E67" w14:textId="77777777" w:rsidR="00A60D91" w:rsidRPr="005C70FF" w:rsidRDefault="00A60D91" w:rsidP="008A7AB3">
            <w:pPr>
              <w:spacing w:after="0" w:line="240" w:lineRule="auto"/>
              <w:jc w:val="right"/>
              <w:rPr>
                <w:rFonts w:ascii="Segoe UI" w:hAnsi="Segoe UI" w:cs="Segoe UI"/>
                <w:color w:val="666666"/>
                <w:sz w:val="18"/>
                <w:szCs w:val="18"/>
              </w:rPr>
            </w:pPr>
            <w:r w:rsidRPr="005C70FF">
              <w:rPr>
                <w:rFonts w:ascii="Segoe UI" w:hAnsi="Segoe UI" w:cs="Segoe UI"/>
                <w:color w:val="666666"/>
                <w:sz w:val="18"/>
                <w:szCs w:val="18"/>
              </w:rPr>
              <w:t>$</w:t>
            </w:r>
          </w:p>
        </w:tc>
        <w:tc>
          <w:tcPr>
            <w:tcW w:w="473" w:type="pct"/>
          </w:tcPr>
          <w:p w14:paraId="58BF936B" w14:textId="77777777" w:rsidR="00A60D91" w:rsidRPr="005C70FF" w:rsidRDefault="00A60D91" w:rsidP="008A7AB3">
            <w:pPr>
              <w:spacing w:after="0" w:line="240" w:lineRule="auto"/>
              <w:jc w:val="right"/>
              <w:rPr>
                <w:rFonts w:ascii="Segoe UI" w:hAnsi="Segoe UI" w:cs="Segoe UI"/>
                <w:color w:val="666666"/>
                <w:sz w:val="18"/>
                <w:szCs w:val="18"/>
              </w:rPr>
            </w:pPr>
            <w:r w:rsidRPr="005C70FF">
              <w:rPr>
                <w:rFonts w:ascii="Segoe UI" w:hAnsi="Segoe UI" w:cs="Segoe UI"/>
                <w:color w:val="666666"/>
                <w:sz w:val="18"/>
                <w:szCs w:val="18"/>
              </w:rPr>
              <w:t>22,399</w:t>
            </w:r>
          </w:p>
        </w:tc>
        <w:tc>
          <w:tcPr>
            <w:tcW w:w="54" w:type="pct"/>
            <w:noWrap/>
          </w:tcPr>
          <w:p w14:paraId="48874D15" w14:textId="77777777" w:rsidR="00A60D91" w:rsidRPr="005C70FF" w:rsidRDefault="00A60D91" w:rsidP="008A7AB3">
            <w:pPr>
              <w:spacing w:after="0" w:line="240" w:lineRule="auto"/>
              <w:jc w:val="right"/>
              <w:rPr>
                <w:rFonts w:ascii="Segoe UI" w:hAnsi="Segoe UI" w:cs="Segoe UI"/>
                <w:color w:val="666666"/>
                <w:sz w:val="18"/>
                <w:szCs w:val="18"/>
              </w:rPr>
            </w:pPr>
            <w:r w:rsidRPr="005C70FF">
              <w:rPr>
                <w:rFonts w:ascii="Segoe UI" w:hAnsi="Segoe UI" w:cs="Segoe UI"/>
                <w:color w:val="666666"/>
                <w:sz w:val="18"/>
                <w:szCs w:val="18"/>
              </w:rPr>
              <w:t> </w:t>
            </w:r>
          </w:p>
        </w:tc>
      </w:tr>
    </w:tbl>
    <w:p w14:paraId="18A367DB" w14:textId="77777777" w:rsidR="00A60D91" w:rsidRPr="00684B87" w:rsidRDefault="00A60D91" w:rsidP="00A60D91">
      <w:pPr>
        <w:pStyle w:val="NormalWeb"/>
        <w:keepNext/>
        <w:spacing w:before="160" w:beforeAutospacing="0" w:after="160" w:afterAutospacing="0"/>
      </w:pPr>
      <w:r w:rsidRPr="009714B8">
        <w:rPr>
          <w:rFonts w:ascii="Segoe UI" w:hAnsi="Segoe UI" w:cs="Segoe UI"/>
          <w:color w:val="666666"/>
          <w:sz w:val="20"/>
          <w:szCs w:val="20"/>
        </w:rPr>
        <w:t xml:space="preserve">Our contracted not billed balance exceeded </w:t>
      </w:r>
      <w:r w:rsidRPr="001C729A">
        <w:rPr>
          <w:rFonts w:ascii="Segoe UI" w:hAnsi="Segoe UI" w:cs="Segoe UI"/>
          <w:color w:val="666666"/>
          <w:sz w:val="20"/>
          <w:szCs w:val="20"/>
        </w:rPr>
        <w:t>$24</w:t>
      </w:r>
      <w:r w:rsidRPr="009714B8">
        <w:rPr>
          <w:rFonts w:ascii="Segoe UI" w:hAnsi="Segoe UI" w:cs="Segoe UI"/>
          <w:color w:val="666666"/>
          <w:sz w:val="20"/>
          <w:szCs w:val="20"/>
        </w:rPr>
        <w:t xml:space="preserve"> billion, and total bookings increased </w:t>
      </w:r>
      <w:r w:rsidRPr="001C729A">
        <w:rPr>
          <w:rFonts w:ascii="Segoe UI" w:hAnsi="Segoe UI" w:cs="Segoe UI"/>
          <w:color w:val="666666"/>
          <w:sz w:val="20"/>
          <w:szCs w:val="20"/>
        </w:rPr>
        <w:t>29%</w:t>
      </w:r>
      <w:r w:rsidRPr="009714B8">
        <w:rPr>
          <w:rFonts w:ascii="Segoe UI" w:hAnsi="Segoe UI" w:cs="Segoe UI"/>
          <w:color w:val="666666"/>
          <w:sz w:val="20"/>
          <w:szCs w:val="20"/>
        </w:rPr>
        <w:t xml:space="preserve">.  </w:t>
      </w:r>
      <w:r>
        <w:rPr>
          <w:rFonts w:ascii="Segoe UI" w:hAnsi="Segoe UI" w:cs="Segoe UI"/>
          <w:color w:val="666666"/>
          <w:sz w:val="20"/>
          <w:szCs w:val="20"/>
        </w:rPr>
        <w:t>The results from NDS contributed 9 percentage points to total bookings growth</w:t>
      </w:r>
      <w:r w:rsidRPr="009714B8">
        <w:rPr>
          <w:rFonts w:ascii="Segoe UI" w:hAnsi="Segoe UI" w:cs="Segoe UI"/>
          <w:color w:val="666666"/>
          <w:sz w:val="20"/>
          <w:szCs w:val="20"/>
        </w:rPr>
        <w:t xml:space="preserve">.  We </w:t>
      </w:r>
      <w:r>
        <w:rPr>
          <w:rFonts w:ascii="Segoe UI" w:hAnsi="Segoe UI" w:cs="Segoe UI"/>
          <w:color w:val="666666"/>
          <w:sz w:val="20"/>
          <w:szCs w:val="20"/>
        </w:rPr>
        <w:t xml:space="preserve">continue to see </w:t>
      </w:r>
      <w:r w:rsidRPr="009714B8">
        <w:rPr>
          <w:rFonts w:ascii="Segoe UI" w:hAnsi="Segoe UI" w:cs="Segoe UI"/>
          <w:color w:val="666666"/>
          <w:sz w:val="20"/>
          <w:szCs w:val="20"/>
        </w:rPr>
        <w:t>healthy renewals of expiring multi-year agreements as customers make long-term commitments to our products and services.</w:t>
      </w:r>
    </w:p>
    <w:p w14:paraId="4FD3F547" w14:textId="77777777" w:rsidR="00A60D91" w:rsidRPr="00CA040B" w:rsidRDefault="00A60D91" w:rsidP="00CA040B">
      <w:pPr>
        <w:spacing w:line="280" w:lineRule="exact"/>
        <w:rPr>
          <w:rFonts w:ascii="Segoe UI" w:hAnsi="Segoe UI" w:cs="Segoe UI"/>
          <w:sz w:val="20"/>
          <w:szCs w:val="20"/>
        </w:rPr>
      </w:pPr>
    </w:p>
    <w:sectPr w:rsidR="00A60D91" w:rsidRPr="00CA040B" w:rsidSect="00622A00">
      <w:headerReference w:type="even" r:id="rId12"/>
      <w:headerReference w:type="default" r:id="rId13"/>
      <w:footerReference w:type="even" r:id="rId14"/>
      <w:footerReference w:type="default" r:id="rId15"/>
      <w:headerReference w:type="first" r:id="rId16"/>
      <w:footerReference w:type="first" r:id="rId17"/>
      <w:pgSz w:w="12240" w:h="15840" w:code="1"/>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496ED" w14:textId="77777777" w:rsidR="00DC5B29" w:rsidRDefault="00DC5B29" w:rsidP="002C4383">
      <w:pPr>
        <w:spacing w:after="0" w:line="240" w:lineRule="auto"/>
      </w:pPr>
      <w:r>
        <w:separator/>
      </w:r>
    </w:p>
  </w:endnote>
  <w:endnote w:type="continuationSeparator" w:id="0">
    <w:p w14:paraId="55907B17" w14:textId="77777777" w:rsidR="00DC5B29" w:rsidRDefault="00DC5B29" w:rsidP="002C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40270" w14:textId="77777777" w:rsidR="002C4383" w:rsidRDefault="002C4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F758F" w14:textId="77777777" w:rsidR="002C4383" w:rsidRDefault="002C4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B59CC" w14:textId="77777777" w:rsidR="002C4383" w:rsidRDefault="002C4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AF4B4" w14:textId="77777777" w:rsidR="00DC5B29" w:rsidRDefault="00DC5B29" w:rsidP="002C4383">
      <w:pPr>
        <w:spacing w:after="0" w:line="240" w:lineRule="auto"/>
      </w:pPr>
      <w:r>
        <w:separator/>
      </w:r>
    </w:p>
  </w:footnote>
  <w:footnote w:type="continuationSeparator" w:id="0">
    <w:p w14:paraId="7F74B051" w14:textId="77777777" w:rsidR="00DC5B29" w:rsidRDefault="00DC5B29" w:rsidP="002C4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77F7" w14:textId="77777777" w:rsidR="002C4383" w:rsidRDefault="002C4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B18DE" w14:textId="77777777" w:rsidR="002C4383" w:rsidRDefault="002C4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A504" w14:textId="77777777" w:rsidR="002C4383" w:rsidRDefault="002C4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73BD"/>
    <w:multiLevelType w:val="hybridMultilevel"/>
    <w:tmpl w:val="CE02AF5E"/>
    <w:lvl w:ilvl="0" w:tplc="1ABAA840">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0B"/>
    <w:rsid w:val="0001030A"/>
    <w:rsid w:val="00016709"/>
    <w:rsid w:val="00023361"/>
    <w:rsid w:val="00027614"/>
    <w:rsid w:val="00031A74"/>
    <w:rsid w:val="000461BA"/>
    <w:rsid w:val="00073769"/>
    <w:rsid w:val="00080299"/>
    <w:rsid w:val="00082EC7"/>
    <w:rsid w:val="00085DAF"/>
    <w:rsid w:val="00096EF3"/>
    <w:rsid w:val="00097DA7"/>
    <w:rsid w:val="000A2315"/>
    <w:rsid w:val="000B56A4"/>
    <w:rsid w:val="000B7B26"/>
    <w:rsid w:val="000C75E0"/>
    <w:rsid w:val="000D33AA"/>
    <w:rsid w:val="000D62AA"/>
    <w:rsid w:val="000E36BC"/>
    <w:rsid w:val="000F3FA8"/>
    <w:rsid w:val="00113F25"/>
    <w:rsid w:val="00116FDE"/>
    <w:rsid w:val="00141B46"/>
    <w:rsid w:val="00164784"/>
    <w:rsid w:val="00170A39"/>
    <w:rsid w:val="00173636"/>
    <w:rsid w:val="00185096"/>
    <w:rsid w:val="00196A2F"/>
    <w:rsid w:val="001A1253"/>
    <w:rsid w:val="001A52FD"/>
    <w:rsid w:val="001C15EF"/>
    <w:rsid w:val="001D1102"/>
    <w:rsid w:val="001D69BC"/>
    <w:rsid w:val="001E3443"/>
    <w:rsid w:val="001E4322"/>
    <w:rsid w:val="001F2809"/>
    <w:rsid w:val="00202880"/>
    <w:rsid w:val="002069C6"/>
    <w:rsid w:val="00224EDC"/>
    <w:rsid w:val="002372B7"/>
    <w:rsid w:val="00245F78"/>
    <w:rsid w:val="0025168C"/>
    <w:rsid w:val="002B0732"/>
    <w:rsid w:val="002B766F"/>
    <w:rsid w:val="002C40AF"/>
    <w:rsid w:val="002C4383"/>
    <w:rsid w:val="002D57BB"/>
    <w:rsid w:val="002E0E8E"/>
    <w:rsid w:val="002E65D2"/>
    <w:rsid w:val="002F14BD"/>
    <w:rsid w:val="00302C39"/>
    <w:rsid w:val="00311C28"/>
    <w:rsid w:val="00314B0A"/>
    <w:rsid w:val="0032642E"/>
    <w:rsid w:val="0032783C"/>
    <w:rsid w:val="00345672"/>
    <w:rsid w:val="0034602F"/>
    <w:rsid w:val="00356B20"/>
    <w:rsid w:val="00361510"/>
    <w:rsid w:val="0038552D"/>
    <w:rsid w:val="00391E57"/>
    <w:rsid w:val="00394A8F"/>
    <w:rsid w:val="003A19D2"/>
    <w:rsid w:val="003A6656"/>
    <w:rsid w:val="003B1A4E"/>
    <w:rsid w:val="003C69B0"/>
    <w:rsid w:val="003D38E4"/>
    <w:rsid w:val="003E2BC9"/>
    <w:rsid w:val="00404FAF"/>
    <w:rsid w:val="00416671"/>
    <w:rsid w:val="00417094"/>
    <w:rsid w:val="004237FD"/>
    <w:rsid w:val="00437F11"/>
    <w:rsid w:val="00441C6B"/>
    <w:rsid w:val="0045158B"/>
    <w:rsid w:val="00452DB6"/>
    <w:rsid w:val="00463416"/>
    <w:rsid w:val="0047750B"/>
    <w:rsid w:val="004875A2"/>
    <w:rsid w:val="00491556"/>
    <w:rsid w:val="0049770C"/>
    <w:rsid w:val="004A006F"/>
    <w:rsid w:val="004B1ACF"/>
    <w:rsid w:val="004B3E79"/>
    <w:rsid w:val="00505FBB"/>
    <w:rsid w:val="00510B75"/>
    <w:rsid w:val="00532D90"/>
    <w:rsid w:val="00540544"/>
    <w:rsid w:val="00541021"/>
    <w:rsid w:val="00570236"/>
    <w:rsid w:val="00574C86"/>
    <w:rsid w:val="005757DD"/>
    <w:rsid w:val="00584C00"/>
    <w:rsid w:val="005857A6"/>
    <w:rsid w:val="0059564B"/>
    <w:rsid w:val="005A4E1F"/>
    <w:rsid w:val="005C6CF0"/>
    <w:rsid w:val="005C7017"/>
    <w:rsid w:val="005D7919"/>
    <w:rsid w:val="005E0131"/>
    <w:rsid w:val="005E59D2"/>
    <w:rsid w:val="005F3081"/>
    <w:rsid w:val="00604BA7"/>
    <w:rsid w:val="00614B91"/>
    <w:rsid w:val="006200FB"/>
    <w:rsid w:val="006229F3"/>
    <w:rsid w:val="00622A00"/>
    <w:rsid w:val="006257FA"/>
    <w:rsid w:val="00636C5C"/>
    <w:rsid w:val="00651549"/>
    <w:rsid w:val="0065200B"/>
    <w:rsid w:val="0067224D"/>
    <w:rsid w:val="00674241"/>
    <w:rsid w:val="006908B3"/>
    <w:rsid w:val="00690F5C"/>
    <w:rsid w:val="00692863"/>
    <w:rsid w:val="0069438A"/>
    <w:rsid w:val="00697CD0"/>
    <w:rsid w:val="006A0730"/>
    <w:rsid w:val="006D3BB3"/>
    <w:rsid w:val="006D5396"/>
    <w:rsid w:val="006D7B25"/>
    <w:rsid w:val="006F49A6"/>
    <w:rsid w:val="0072433A"/>
    <w:rsid w:val="007321F4"/>
    <w:rsid w:val="0073645C"/>
    <w:rsid w:val="00744CB2"/>
    <w:rsid w:val="00744F7E"/>
    <w:rsid w:val="007470C1"/>
    <w:rsid w:val="00751FFD"/>
    <w:rsid w:val="007524C4"/>
    <w:rsid w:val="00756669"/>
    <w:rsid w:val="0076015A"/>
    <w:rsid w:val="00766CED"/>
    <w:rsid w:val="007747CE"/>
    <w:rsid w:val="00775452"/>
    <w:rsid w:val="00777C23"/>
    <w:rsid w:val="00782939"/>
    <w:rsid w:val="00786C93"/>
    <w:rsid w:val="007A3D12"/>
    <w:rsid w:val="007A65AE"/>
    <w:rsid w:val="007A77D8"/>
    <w:rsid w:val="007B1949"/>
    <w:rsid w:val="007C1D4D"/>
    <w:rsid w:val="007D12BE"/>
    <w:rsid w:val="007F16DB"/>
    <w:rsid w:val="007F2779"/>
    <w:rsid w:val="007F41B0"/>
    <w:rsid w:val="007F43D7"/>
    <w:rsid w:val="00802C0D"/>
    <w:rsid w:val="00805B71"/>
    <w:rsid w:val="00815A8C"/>
    <w:rsid w:val="00816D85"/>
    <w:rsid w:val="0083396C"/>
    <w:rsid w:val="00841463"/>
    <w:rsid w:val="00854E7A"/>
    <w:rsid w:val="00865B34"/>
    <w:rsid w:val="0087215D"/>
    <w:rsid w:val="0087228C"/>
    <w:rsid w:val="008946AC"/>
    <w:rsid w:val="008A7AB3"/>
    <w:rsid w:val="008B2E06"/>
    <w:rsid w:val="008E124A"/>
    <w:rsid w:val="008E2558"/>
    <w:rsid w:val="008F1150"/>
    <w:rsid w:val="008F4EAD"/>
    <w:rsid w:val="0091358F"/>
    <w:rsid w:val="0091490D"/>
    <w:rsid w:val="009318B9"/>
    <w:rsid w:val="009419AA"/>
    <w:rsid w:val="00942EC7"/>
    <w:rsid w:val="00943299"/>
    <w:rsid w:val="009546A6"/>
    <w:rsid w:val="00961E21"/>
    <w:rsid w:val="009674C9"/>
    <w:rsid w:val="0097627B"/>
    <w:rsid w:val="009854C5"/>
    <w:rsid w:val="00990967"/>
    <w:rsid w:val="00994C75"/>
    <w:rsid w:val="00995C19"/>
    <w:rsid w:val="00996F61"/>
    <w:rsid w:val="009A7042"/>
    <w:rsid w:val="009C5629"/>
    <w:rsid w:val="009C5B81"/>
    <w:rsid w:val="009F0C33"/>
    <w:rsid w:val="009F49F5"/>
    <w:rsid w:val="00A00BEB"/>
    <w:rsid w:val="00A04032"/>
    <w:rsid w:val="00A60D91"/>
    <w:rsid w:val="00A664DF"/>
    <w:rsid w:val="00A674E0"/>
    <w:rsid w:val="00A84C10"/>
    <w:rsid w:val="00AA04B9"/>
    <w:rsid w:val="00AA41FA"/>
    <w:rsid w:val="00AB7AFD"/>
    <w:rsid w:val="00AD24B0"/>
    <w:rsid w:val="00AD4D4A"/>
    <w:rsid w:val="00AF3B78"/>
    <w:rsid w:val="00B006DE"/>
    <w:rsid w:val="00B012CE"/>
    <w:rsid w:val="00B02D26"/>
    <w:rsid w:val="00B12030"/>
    <w:rsid w:val="00B32DE8"/>
    <w:rsid w:val="00B358B3"/>
    <w:rsid w:val="00B75914"/>
    <w:rsid w:val="00B75EF9"/>
    <w:rsid w:val="00BA218B"/>
    <w:rsid w:val="00BA49CF"/>
    <w:rsid w:val="00BA4F17"/>
    <w:rsid w:val="00BA62F5"/>
    <w:rsid w:val="00BC7FE7"/>
    <w:rsid w:val="00BD0004"/>
    <w:rsid w:val="00BF0EC9"/>
    <w:rsid w:val="00C01259"/>
    <w:rsid w:val="00C0268E"/>
    <w:rsid w:val="00C074FB"/>
    <w:rsid w:val="00C24CB5"/>
    <w:rsid w:val="00C26817"/>
    <w:rsid w:val="00C26941"/>
    <w:rsid w:val="00C27914"/>
    <w:rsid w:val="00C3116B"/>
    <w:rsid w:val="00C316A5"/>
    <w:rsid w:val="00C50C92"/>
    <w:rsid w:val="00C54485"/>
    <w:rsid w:val="00C552BA"/>
    <w:rsid w:val="00C5742C"/>
    <w:rsid w:val="00C73104"/>
    <w:rsid w:val="00CA040B"/>
    <w:rsid w:val="00CA0E7C"/>
    <w:rsid w:val="00CA711A"/>
    <w:rsid w:val="00CC1955"/>
    <w:rsid w:val="00CC5A1D"/>
    <w:rsid w:val="00CD0A7E"/>
    <w:rsid w:val="00CD3F86"/>
    <w:rsid w:val="00CD68B1"/>
    <w:rsid w:val="00CD7FF2"/>
    <w:rsid w:val="00CE1620"/>
    <w:rsid w:val="00CE40E5"/>
    <w:rsid w:val="00CF2FC7"/>
    <w:rsid w:val="00CF5800"/>
    <w:rsid w:val="00CF6740"/>
    <w:rsid w:val="00D001EB"/>
    <w:rsid w:val="00D1410C"/>
    <w:rsid w:val="00D16EE1"/>
    <w:rsid w:val="00D222AE"/>
    <w:rsid w:val="00D302DD"/>
    <w:rsid w:val="00D31CD8"/>
    <w:rsid w:val="00D443BB"/>
    <w:rsid w:val="00D44A22"/>
    <w:rsid w:val="00D657D1"/>
    <w:rsid w:val="00D66A56"/>
    <w:rsid w:val="00D70A9F"/>
    <w:rsid w:val="00D728F5"/>
    <w:rsid w:val="00D77A03"/>
    <w:rsid w:val="00D80A41"/>
    <w:rsid w:val="00D82196"/>
    <w:rsid w:val="00DA7EC8"/>
    <w:rsid w:val="00DB4CB8"/>
    <w:rsid w:val="00DC0D93"/>
    <w:rsid w:val="00DC5B29"/>
    <w:rsid w:val="00DC7B15"/>
    <w:rsid w:val="00DF047D"/>
    <w:rsid w:val="00DF7D02"/>
    <w:rsid w:val="00E06C86"/>
    <w:rsid w:val="00E10C68"/>
    <w:rsid w:val="00E12EC6"/>
    <w:rsid w:val="00E22A3D"/>
    <w:rsid w:val="00E2793B"/>
    <w:rsid w:val="00E324D5"/>
    <w:rsid w:val="00E41DC0"/>
    <w:rsid w:val="00E60571"/>
    <w:rsid w:val="00E63904"/>
    <w:rsid w:val="00E735C9"/>
    <w:rsid w:val="00E843BC"/>
    <w:rsid w:val="00E91555"/>
    <w:rsid w:val="00E93497"/>
    <w:rsid w:val="00E95291"/>
    <w:rsid w:val="00EA084D"/>
    <w:rsid w:val="00EB2BC6"/>
    <w:rsid w:val="00EB6DAE"/>
    <w:rsid w:val="00EE3883"/>
    <w:rsid w:val="00EE6867"/>
    <w:rsid w:val="00F01633"/>
    <w:rsid w:val="00F105AF"/>
    <w:rsid w:val="00F1510B"/>
    <w:rsid w:val="00F16D32"/>
    <w:rsid w:val="00F21483"/>
    <w:rsid w:val="00F45571"/>
    <w:rsid w:val="00F45B38"/>
    <w:rsid w:val="00F4718C"/>
    <w:rsid w:val="00F6280E"/>
    <w:rsid w:val="00F76753"/>
    <w:rsid w:val="00F768FB"/>
    <w:rsid w:val="00F820BA"/>
    <w:rsid w:val="00F82431"/>
    <w:rsid w:val="00F82508"/>
    <w:rsid w:val="00F854A0"/>
    <w:rsid w:val="00FB4AA3"/>
    <w:rsid w:val="00FD35F9"/>
    <w:rsid w:val="00FD69BE"/>
    <w:rsid w:val="00FD7255"/>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82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4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0B"/>
    <w:pPr>
      <w:ind w:left="720"/>
      <w:contextualSpacing/>
    </w:pPr>
    <w:rPr>
      <w:rFonts w:ascii="Times New Roman" w:hAnsi="Times New Roman"/>
      <w:sz w:val="24"/>
    </w:rPr>
  </w:style>
  <w:style w:type="character" w:styleId="Hyperlink">
    <w:name w:val="Hyperlink"/>
    <w:uiPriority w:val="99"/>
    <w:unhideWhenUsed/>
    <w:rsid w:val="00CA040B"/>
    <w:rPr>
      <w:rFonts w:ascii="Segoe UI" w:hAnsi="Segoe UI"/>
      <w:color w:val="7FBA00"/>
      <w:sz w:val="20"/>
      <w:u w:val="none"/>
    </w:rPr>
  </w:style>
  <w:style w:type="paragraph" w:styleId="NoSpacing">
    <w:name w:val="No Spacing"/>
    <w:uiPriority w:val="1"/>
    <w:qFormat/>
    <w:rsid w:val="00CA040B"/>
    <w:pPr>
      <w:spacing w:after="0" w:line="240" w:lineRule="auto"/>
    </w:pPr>
    <w:rPr>
      <w:rFonts w:ascii="Calibri" w:eastAsia="Calibri" w:hAnsi="Calibri" w:cs="Times New Roman"/>
    </w:rPr>
  </w:style>
  <w:style w:type="paragraph" w:styleId="NormalWeb">
    <w:name w:val="Normal (Web)"/>
    <w:basedOn w:val="Normal"/>
    <w:link w:val="NormalWebChar"/>
    <w:uiPriority w:val="99"/>
    <w:rsid w:val="00CA040B"/>
    <w:pPr>
      <w:spacing w:before="100" w:beforeAutospacing="1" w:after="100" w:afterAutospacing="1" w:line="240" w:lineRule="auto"/>
      <w:jc w:val="both"/>
    </w:pPr>
    <w:rPr>
      <w:rFonts w:ascii="Arial" w:eastAsia="Times New Roman" w:hAnsi="Arial"/>
      <w:sz w:val="24"/>
      <w:szCs w:val="24"/>
    </w:rPr>
  </w:style>
  <w:style w:type="character" w:styleId="FollowedHyperlink">
    <w:name w:val="FollowedHyperlink"/>
    <w:uiPriority w:val="99"/>
    <w:unhideWhenUsed/>
    <w:rsid w:val="00CA040B"/>
    <w:rPr>
      <w:rFonts w:ascii="Segoe UI" w:hAnsi="Segoe UI"/>
      <w:color w:val="7FBA00"/>
      <w:sz w:val="20"/>
      <w:u w:val="none"/>
    </w:rPr>
  </w:style>
  <w:style w:type="character" w:styleId="CommentReference">
    <w:name w:val="annotation reference"/>
    <w:uiPriority w:val="99"/>
    <w:semiHidden/>
    <w:unhideWhenUsed/>
    <w:rsid w:val="00CA040B"/>
    <w:rPr>
      <w:sz w:val="16"/>
      <w:szCs w:val="16"/>
    </w:rPr>
  </w:style>
  <w:style w:type="paragraph" w:styleId="CommentText">
    <w:name w:val="annotation text"/>
    <w:basedOn w:val="Normal"/>
    <w:link w:val="CommentTextChar"/>
    <w:uiPriority w:val="99"/>
    <w:semiHidden/>
    <w:unhideWhenUsed/>
    <w:rsid w:val="00CA040B"/>
    <w:pPr>
      <w:spacing w:line="240" w:lineRule="auto"/>
    </w:pPr>
    <w:rPr>
      <w:sz w:val="20"/>
      <w:szCs w:val="20"/>
    </w:rPr>
  </w:style>
  <w:style w:type="character" w:customStyle="1" w:styleId="CommentTextChar">
    <w:name w:val="Comment Text Char"/>
    <w:basedOn w:val="DefaultParagraphFont"/>
    <w:link w:val="CommentText"/>
    <w:uiPriority w:val="99"/>
    <w:semiHidden/>
    <w:rsid w:val="00CA040B"/>
    <w:rPr>
      <w:rFonts w:ascii="Calibri" w:eastAsia="Calibri" w:hAnsi="Calibri" w:cs="Times New Roman"/>
      <w:sz w:val="20"/>
      <w:szCs w:val="20"/>
    </w:rPr>
  </w:style>
  <w:style w:type="character" w:customStyle="1" w:styleId="NormalWebChar">
    <w:name w:val="Normal (Web) Char"/>
    <w:link w:val="NormalWeb"/>
    <w:uiPriority w:val="99"/>
    <w:rsid w:val="00CA040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A0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0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D35F9"/>
    <w:rPr>
      <w:b/>
      <w:bCs/>
    </w:rPr>
  </w:style>
  <w:style w:type="character" w:customStyle="1" w:styleId="CommentSubjectChar">
    <w:name w:val="Comment Subject Char"/>
    <w:basedOn w:val="CommentTextChar"/>
    <w:link w:val="CommentSubject"/>
    <w:uiPriority w:val="99"/>
    <w:semiHidden/>
    <w:rsid w:val="00FD35F9"/>
    <w:rPr>
      <w:rFonts w:ascii="Calibri" w:eastAsia="Calibri" w:hAnsi="Calibri" w:cs="Times New Roman"/>
      <w:b/>
      <w:bCs/>
      <w:sz w:val="20"/>
      <w:szCs w:val="20"/>
    </w:rPr>
  </w:style>
  <w:style w:type="paragraph" w:styleId="Revision">
    <w:name w:val="Revision"/>
    <w:hidden/>
    <w:uiPriority w:val="99"/>
    <w:semiHidden/>
    <w:rsid w:val="00BA4F17"/>
    <w:pPr>
      <w:spacing w:after="0" w:line="240" w:lineRule="auto"/>
    </w:pPr>
    <w:rPr>
      <w:rFonts w:ascii="Calibri" w:eastAsia="Calibri" w:hAnsi="Calibri" w:cs="Times New Roman"/>
    </w:rPr>
  </w:style>
  <w:style w:type="paragraph" w:customStyle="1" w:styleId="rrdsinglerule">
    <w:name w:val="rrdsinglerule"/>
    <w:basedOn w:val="Normal"/>
    <w:next w:val="Normal"/>
    <w:rsid w:val="00A60D91"/>
    <w:pPr>
      <w:pBdr>
        <w:top w:val="single" w:sz="6" w:space="0" w:color="000000"/>
      </w:pBdr>
      <w:spacing w:before="20" w:after="0" w:line="20" w:lineRule="exact"/>
      <w:jc w:val="right"/>
    </w:pPr>
    <w:rPr>
      <w:rFonts w:ascii="Arial" w:eastAsia="Times New Roman" w:hAnsi="Arial"/>
      <w:sz w:val="8"/>
      <w:szCs w:val="8"/>
    </w:rPr>
  </w:style>
  <w:style w:type="paragraph" w:customStyle="1" w:styleId="la2">
    <w:name w:val="la2"/>
    <w:basedOn w:val="Normal"/>
    <w:next w:val="Normal"/>
    <w:rsid w:val="00A60D91"/>
    <w:pPr>
      <w:spacing w:after="0" w:line="40" w:lineRule="exact"/>
    </w:pPr>
    <w:rPr>
      <w:rFonts w:ascii="Times New Roman" w:eastAsia="Times New Roman" w:hAnsi="Times New Roman"/>
      <w:noProof/>
      <w:sz w:val="8"/>
      <w:szCs w:val="8"/>
    </w:rPr>
  </w:style>
  <w:style w:type="paragraph" w:styleId="Header">
    <w:name w:val="header"/>
    <w:basedOn w:val="Normal"/>
    <w:link w:val="HeaderChar"/>
    <w:uiPriority w:val="99"/>
    <w:unhideWhenUsed/>
    <w:rsid w:val="002C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383"/>
    <w:rPr>
      <w:rFonts w:ascii="Calibri" w:eastAsia="Calibri" w:hAnsi="Calibri" w:cs="Times New Roman"/>
    </w:rPr>
  </w:style>
  <w:style w:type="paragraph" w:styleId="Footer">
    <w:name w:val="footer"/>
    <w:basedOn w:val="Normal"/>
    <w:link w:val="FooterChar"/>
    <w:uiPriority w:val="99"/>
    <w:unhideWhenUsed/>
    <w:rsid w:val="002C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27552">
      <w:bodyDiv w:val="1"/>
      <w:marLeft w:val="0"/>
      <w:marRight w:val="0"/>
      <w:marTop w:val="0"/>
      <w:marBottom w:val="0"/>
      <w:divBdr>
        <w:top w:val="none" w:sz="0" w:space="0" w:color="auto"/>
        <w:left w:val="none" w:sz="0" w:space="0" w:color="auto"/>
        <w:bottom w:val="none" w:sz="0" w:space="0" w:color="auto"/>
        <w:right w:val="none" w:sz="0" w:space="0" w:color="auto"/>
      </w:divBdr>
    </w:div>
    <w:div w:id="403646010">
      <w:bodyDiv w:val="1"/>
      <w:marLeft w:val="0"/>
      <w:marRight w:val="0"/>
      <w:marTop w:val="0"/>
      <w:marBottom w:val="0"/>
      <w:divBdr>
        <w:top w:val="none" w:sz="0" w:space="0" w:color="auto"/>
        <w:left w:val="none" w:sz="0" w:space="0" w:color="auto"/>
        <w:bottom w:val="none" w:sz="0" w:space="0" w:color="auto"/>
        <w:right w:val="none" w:sz="0" w:space="0" w:color="auto"/>
      </w:divBdr>
    </w:div>
    <w:div w:id="509367673">
      <w:bodyDiv w:val="1"/>
      <w:marLeft w:val="0"/>
      <w:marRight w:val="0"/>
      <w:marTop w:val="0"/>
      <w:marBottom w:val="0"/>
      <w:divBdr>
        <w:top w:val="none" w:sz="0" w:space="0" w:color="auto"/>
        <w:left w:val="none" w:sz="0" w:space="0" w:color="auto"/>
        <w:bottom w:val="none" w:sz="0" w:space="0" w:color="auto"/>
        <w:right w:val="none" w:sz="0" w:space="0" w:color="auto"/>
      </w:divBdr>
    </w:div>
    <w:div w:id="553583192">
      <w:bodyDiv w:val="1"/>
      <w:marLeft w:val="0"/>
      <w:marRight w:val="0"/>
      <w:marTop w:val="0"/>
      <w:marBottom w:val="0"/>
      <w:divBdr>
        <w:top w:val="none" w:sz="0" w:space="0" w:color="auto"/>
        <w:left w:val="none" w:sz="0" w:space="0" w:color="auto"/>
        <w:bottom w:val="none" w:sz="0" w:space="0" w:color="auto"/>
        <w:right w:val="none" w:sz="0" w:space="0" w:color="auto"/>
      </w:divBdr>
    </w:div>
    <w:div w:id="633609234">
      <w:bodyDiv w:val="1"/>
      <w:marLeft w:val="0"/>
      <w:marRight w:val="0"/>
      <w:marTop w:val="0"/>
      <w:marBottom w:val="0"/>
      <w:divBdr>
        <w:top w:val="none" w:sz="0" w:space="0" w:color="auto"/>
        <w:left w:val="none" w:sz="0" w:space="0" w:color="auto"/>
        <w:bottom w:val="none" w:sz="0" w:space="0" w:color="auto"/>
        <w:right w:val="none" w:sz="0" w:space="0" w:color="auto"/>
      </w:divBdr>
    </w:div>
    <w:div w:id="747653593">
      <w:bodyDiv w:val="1"/>
      <w:marLeft w:val="0"/>
      <w:marRight w:val="0"/>
      <w:marTop w:val="0"/>
      <w:marBottom w:val="0"/>
      <w:divBdr>
        <w:top w:val="none" w:sz="0" w:space="0" w:color="auto"/>
        <w:left w:val="none" w:sz="0" w:space="0" w:color="auto"/>
        <w:bottom w:val="none" w:sz="0" w:space="0" w:color="auto"/>
        <w:right w:val="none" w:sz="0" w:space="0" w:color="auto"/>
      </w:divBdr>
    </w:div>
    <w:div w:id="858544951">
      <w:bodyDiv w:val="1"/>
      <w:marLeft w:val="0"/>
      <w:marRight w:val="0"/>
      <w:marTop w:val="0"/>
      <w:marBottom w:val="0"/>
      <w:divBdr>
        <w:top w:val="none" w:sz="0" w:space="0" w:color="auto"/>
        <w:left w:val="none" w:sz="0" w:space="0" w:color="auto"/>
        <w:bottom w:val="none" w:sz="0" w:space="0" w:color="auto"/>
        <w:right w:val="none" w:sz="0" w:space="0" w:color="auto"/>
      </w:divBdr>
    </w:div>
    <w:div w:id="950471644">
      <w:bodyDiv w:val="1"/>
      <w:marLeft w:val="0"/>
      <w:marRight w:val="0"/>
      <w:marTop w:val="0"/>
      <w:marBottom w:val="0"/>
      <w:divBdr>
        <w:top w:val="none" w:sz="0" w:space="0" w:color="auto"/>
        <w:left w:val="none" w:sz="0" w:space="0" w:color="auto"/>
        <w:bottom w:val="none" w:sz="0" w:space="0" w:color="auto"/>
        <w:right w:val="none" w:sz="0" w:space="0" w:color="auto"/>
      </w:divBdr>
    </w:div>
    <w:div w:id="953095514">
      <w:bodyDiv w:val="1"/>
      <w:marLeft w:val="0"/>
      <w:marRight w:val="0"/>
      <w:marTop w:val="0"/>
      <w:marBottom w:val="0"/>
      <w:divBdr>
        <w:top w:val="none" w:sz="0" w:space="0" w:color="auto"/>
        <w:left w:val="none" w:sz="0" w:space="0" w:color="auto"/>
        <w:bottom w:val="none" w:sz="0" w:space="0" w:color="auto"/>
        <w:right w:val="none" w:sz="0" w:space="0" w:color="auto"/>
      </w:divBdr>
    </w:div>
    <w:div w:id="954294319">
      <w:bodyDiv w:val="1"/>
      <w:marLeft w:val="0"/>
      <w:marRight w:val="0"/>
      <w:marTop w:val="0"/>
      <w:marBottom w:val="0"/>
      <w:divBdr>
        <w:top w:val="none" w:sz="0" w:space="0" w:color="auto"/>
        <w:left w:val="none" w:sz="0" w:space="0" w:color="auto"/>
        <w:bottom w:val="none" w:sz="0" w:space="0" w:color="auto"/>
        <w:right w:val="none" w:sz="0" w:space="0" w:color="auto"/>
      </w:divBdr>
    </w:div>
    <w:div w:id="974486686">
      <w:bodyDiv w:val="1"/>
      <w:marLeft w:val="0"/>
      <w:marRight w:val="0"/>
      <w:marTop w:val="0"/>
      <w:marBottom w:val="0"/>
      <w:divBdr>
        <w:top w:val="none" w:sz="0" w:space="0" w:color="auto"/>
        <w:left w:val="none" w:sz="0" w:space="0" w:color="auto"/>
        <w:bottom w:val="none" w:sz="0" w:space="0" w:color="auto"/>
        <w:right w:val="none" w:sz="0" w:space="0" w:color="auto"/>
      </w:divBdr>
    </w:div>
    <w:div w:id="1284848782">
      <w:bodyDiv w:val="1"/>
      <w:marLeft w:val="0"/>
      <w:marRight w:val="0"/>
      <w:marTop w:val="0"/>
      <w:marBottom w:val="0"/>
      <w:divBdr>
        <w:top w:val="none" w:sz="0" w:space="0" w:color="auto"/>
        <w:left w:val="none" w:sz="0" w:space="0" w:color="auto"/>
        <w:bottom w:val="none" w:sz="0" w:space="0" w:color="auto"/>
        <w:right w:val="none" w:sz="0" w:space="0" w:color="auto"/>
      </w:divBdr>
    </w:div>
    <w:div w:id="1285189953">
      <w:bodyDiv w:val="1"/>
      <w:marLeft w:val="0"/>
      <w:marRight w:val="0"/>
      <w:marTop w:val="0"/>
      <w:marBottom w:val="0"/>
      <w:divBdr>
        <w:top w:val="none" w:sz="0" w:space="0" w:color="auto"/>
        <w:left w:val="none" w:sz="0" w:space="0" w:color="auto"/>
        <w:bottom w:val="none" w:sz="0" w:space="0" w:color="auto"/>
        <w:right w:val="none" w:sz="0" w:space="0" w:color="auto"/>
      </w:divBdr>
    </w:div>
    <w:div w:id="1296791843">
      <w:bodyDiv w:val="1"/>
      <w:marLeft w:val="0"/>
      <w:marRight w:val="0"/>
      <w:marTop w:val="0"/>
      <w:marBottom w:val="0"/>
      <w:divBdr>
        <w:top w:val="none" w:sz="0" w:space="0" w:color="auto"/>
        <w:left w:val="none" w:sz="0" w:space="0" w:color="auto"/>
        <w:bottom w:val="none" w:sz="0" w:space="0" w:color="auto"/>
        <w:right w:val="none" w:sz="0" w:space="0" w:color="auto"/>
      </w:divBdr>
    </w:div>
    <w:div w:id="1307903444">
      <w:bodyDiv w:val="1"/>
      <w:marLeft w:val="0"/>
      <w:marRight w:val="0"/>
      <w:marTop w:val="0"/>
      <w:marBottom w:val="0"/>
      <w:divBdr>
        <w:top w:val="none" w:sz="0" w:space="0" w:color="auto"/>
        <w:left w:val="none" w:sz="0" w:space="0" w:color="auto"/>
        <w:bottom w:val="none" w:sz="0" w:space="0" w:color="auto"/>
        <w:right w:val="none" w:sz="0" w:space="0" w:color="auto"/>
      </w:divBdr>
    </w:div>
    <w:div w:id="1350837275">
      <w:bodyDiv w:val="1"/>
      <w:marLeft w:val="0"/>
      <w:marRight w:val="0"/>
      <w:marTop w:val="0"/>
      <w:marBottom w:val="0"/>
      <w:divBdr>
        <w:top w:val="none" w:sz="0" w:space="0" w:color="auto"/>
        <w:left w:val="none" w:sz="0" w:space="0" w:color="auto"/>
        <w:bottom w:val="none" w:sz="0" w:space="0" w:color="auto"/>
        <w:right w:val="none" w:sz="0" w:space="0" w:color="auto"/>
      </w:divBdr>
    </w:div>
    <w:div w:id="1354333813">
      <w:bodyDiv w:val="1"/>
      <w:marLeft w:val="0"/>
      <w:marRight w:val="0"/>
      <w:marTop w:val="0"/>
      <w:marBottom w:val="0"/>
      <w:divBdr>
        <w:top w:val="none" w:sz="0" w:space="0" w:color="auto"/>
        <w:left w:val="none" w:sz="0" w:space="0" w:color="auto"/>
        <w:bottom w:val="none" w:sz="0" w:space="0" w:color="auto"/>
        <w:right w:val="none" w:sz="0" w:space="0" w:color="auto"/>
      </w:divBdr>
    </w:div>
    <w:div w:id="1380324753">
      <w:bodyDiv w:val="1"/>
      <w:marLeft w:val="0"/>
      <w:marRight w:val="0"/>
      <w:marTop w:val="0"/>
      <w:marBottom w:val="0"/>
      <w:divBdr>
        <w:top w:val="none" w:sz="0" w:space="0" w:color="auto"/>
        <w:left w:val="none" w:sz="0" w:space="0" w:color="auto"/>
        <w:bottom w:val="none" w:sz="0" w:space="0" w:color="auto"/>
        <w:right w:val="none" w:sz="0" w:space="0" w:color="auto"/>
      </w:divBdr>
    </w:div>
    <w:div w:id="1411461180">
      <w:bodyDiv w:val="1"/>
      <w:marLeft w:val="0"/>
      <w:marRight w:val="0"/>
      <w:marTop w:val="0"/>
      <w:marBottom w:val="0"/>
      <w:divBdr>
        <w:top w:val="none" w:sz="0" w:space="0" w:color="auto"/>
        <w:left w:val="none" w:sz="0" w:space="0" w:color="auto"/>
        <w:bottom w:val="none" w:sz="0" w:space="0" w:color="auto"/>
        <w:right w:val="none" w:sz="0" w:space="0" w:color="auto"/>
      </w:divBdr>
    </w:div>
    <w:div w:id="1441221848">
      <w:bodyDiv w:val="1"/>
      <w:marLeft w:val="0"/>
      <w:marRight w:val="0"/>
      <w:marTop w:val="0"/>
      <w:marBottom w:val="0"/>
      <w:divBdr>
        <w:top w:val="none" w:sz="0" w:space="0" w:color="auto"/>
        <w:left w:val="none" w:sz="0" w:space="0" w:color="auto"/>
        <w:bottom w:val="none" w:sz="0" w:space="0" w:color="auto"/>
        <w:right w:val="none" w:sz="0" w:space="0" w:color="auto"/>
      </w:divBdr>
    </w:div>
    <w:div w:id="1444154993">
      <w:bodyDiv w:val="1"/>
      <w:marLeft w:val="0"/>
      <w:marRight w:val="0"/>
      <w:marTop w:val="0"/>
      <w:marBottom w:val="0"/>
      <w:divBdr>
        <w:top w:val="none" w:sz="0" w:space="0" w:color="auto"/>
        <w:left w:val="none" w:sz="0" w:space="0" w:color="auto"/>
        <w:bottom w:val="none" w:sz="0" w:space="0" w:color="auto"/>
        <w:right w:val="none" w:sz="0" w:space="0" w:color="auto"/>
      </w:divBdr>
    </w:div>
    <w:div w:id="1468861072">
      <w:bodyDiv w:val="1"/>
      <w:marLeft w:val="0"/>
      <w:marRight w:val="0"/>
      <w:marTop w:val="0"/>
      <w:marBottom w:val="0"/>
      <w:divBdr>
        <w:top w:val="none" w:sz="0" w:space="0" w:color="auto"/>
        <w:left w:val="none" w:sz="0" w:space="0" w:color="auto"/>
        <w:bottom w:val="none" w:sz="0" w:space="0" w:color="auto"/>
        <w:right w:val="none" w:sz="0" w:space="0" w:color="auto"/>
      </w:divBdr>
    </w:div>
    <w:div w:id="1481381873">
      <w:bodyDiv w:val="1"/>
      <w:marLeft w:val="0"/>
      <w:marRight w:val="0"/>
      <w:marTop w:val="0"/>
      <w:marBottom w:val="0"/>
      <w:divBdr>
        <w:top w:val="none" w:sz="0" w:space="0" w:color="auto"/>
        <w:left w:val="none" w:sz="0" w:space="0" w:color="auto"/>
        <w:bottom w:val="none" w:sz="0" w:space="0" w:color="auto"/>
        <w:right w:val="none" w:sz="0" w:space="0" w:color="auto"/>
      </w:divBdr>
    </w:div>
    <w:div w:id="1532260039">
      <w:bodyDiv w:val="1"/>
      <w:marLeft w:val="0"/>
      <w:marRight w:val="0"/>
      <w:marTop w:val="0"/>
      <w:marBottom w:val="0"/>
      <w:divBdr>
        <w:top w:val="none" w:sz="0" w:space="0" w:color="auto"/>
        <w:left w:val="none" w:sz="0" w:space="0" w:color="auto"/>
        <w:bottom w:val="none" w:sz="0" w:space="0" w:color="auto"/>
        <w:right w:val="none" w:sz="0" w:space="0" w:color="auto"/>
      </w:divBdr>
    </w:div>
    <w:div w:id="1541942361">
      <w:bodyDiv w:val="1"/>
      <w:marLeft w:val="0"/>
      <w:marRight w:val="0"/>
      <w:marTop w:val="0"/>
      <w:marBottom w:val="0"/>
      <w:divBdr>
        <w:top w:val="none" w:sz="0" w:space="0" w:color="auto"/>
        <w:left w:val="none" w:sz="0" w:space="0" w:color="auto"/>
        <w:bottom w:val="none" w:sz="0" w:space="0" w:color="auto"/>
        <w:right w:val="none" w:sz="0" w:space="0" w:color="auto"/>
      </w:divBdr>
    </w:div>
    <w:div w:id="1619723420">
      <w:bodyDiv w:val="1"/>
      <w:marLeft w:val="0"/>
      <w:marRight w:val="0"/>
      <w:marTop w:val="0"/>
      <w:marBottom w:val="0"/>
      <w:divBdr>
        <w:top w:val="none" w:sz="0" w:space="0" w:color="auto"/>
        <w:left w:val="none" w:sz="0" w:space="0" w:color="auto"/>
        <w:bottom w:val="none" w:sz="0" w:space="0" w:color="auto"/>
        <w:right w:val="none" w:sz="0" w:space="0" w:color="auto"/>
      </w:divBdr>
    </w:div>
    <w:div w:id="1708212299">
      <w:bodyDiv w:val="1"/>
      <w:marLeft w:val="0"/>
      <w:marRight w:val="0"/>
      <w:marTop w:val="0"/>
      <w:marBottom w:val="0"/>
      <w:divBdr>
        <w:top w:val="none" w:sz="0" w:space="0" w:color="auto"/>
        <w:left w:val="none" w:sz="0" w:space="0" w:color="auto"/>
        <w:bottom w:val="none" w:sz="0" w:space="0" w:color="auto"/>
        <w:right w:val="none" w:sz="0" w:space="0" w:color="auto"/>
      </w:divBdr>
    </w:div>
    <w:div w:id="1754929672">
      <w:bodyDiv w:val="1"/>
      <w:marLeft w:val="0"/>
      <w:marRight w:val="0"/>
      <w:marTop w:val="0"/>
      <w:marBottom w:val="0"/>
      <w:divBdr>
        <w:top w:val="none" w:sz="0" w:space="0" w:color="auto"/>
        <w:left w:val="none" w:sz="0" w:space="0" w:color="auto"/>
        <w:bottom w:val="none" w:sz="0" w:space="0" w:color="auto"/>
        <w:right w:val="none" w:sz="0" w:space="0" w:color="auto"/>
      </w:divBdr>
    </w:div>
    <w:div w:id="1763600044">
      <w:bodyDiv w:val="1"/>
      <w:marLeft w:val="0"/>
      <w:marRight w:val="0"/>
      <w:marTop w:val="0"/>
      <w:marBottom w:val="0"/>
      <w:divBdr>
        <w:top w:val="none" w:sz="0" w:space="0" w:color="auto"/>
        <w:left w:val="none" w:sz="0" w:space="0" w:color="auto"/>
        <w:bottom w:val="none" w:sz="0" w:space="0" w:color="auto"/>
        <w:right w:val="none" w:sz="0" w:space="0" w:color="auto"/>
      </w:divBdr>
    </w:div>
    <w:div w:id="1768308052">
      <w:bodyDiv w:val="1"/>
      <w:marLeft w:val="0"/>
      <w:marRight w:val="0"/>
      <w:marTop w:val="0"/>
      <w:marBottom w:val="0"/>
      <w:divBdr>
        <w:top w:val="none" w:sz="0" w:space="0" w:color="auto"/>
        <w:left w:val="none" w:sz="0" w:space="0" w:color="auto"/>
        <w:bottom w:val="none" w:sz="0" w:space="0" w:color="auto"/>
        <w:right w:val="none" w:sz="0" w:space="0" w:color="auto"/>
      </w:divBdr>
    </w:div>
    <w:div w:id="1811550977">
      <w:bodyDiv w:val="1"/>
      <w:marLeft w:val="0"/>
      <w:marRight w:val="0"/>
      <w:marTop w:val="0"/>
      <w:marBottom w:val="0"/>
      <w:divBdr>
        <w:top w:val="none" w:sz="0" w:space="0" w:color="auto"/>
        <w:left w:val="none" w:sz="0" w:space="0" w:color="auto"/>
        <w:bottom w:val="none" w:sz="0" w:space="0" w:color="auto"/>
        <w:right w:val="none" w:sz="0" w:space="0" w:color="auto"/>
      </w:divBdr>
    </w:div>
    <w:div w:id="1867450692">
      <w:bodyDiv w:val="1"/>
      <w:marLeft w:val="0"/>
      <w:marRight w:val="0"/>
      <w:marTop w:val="0"/>
      <w:marBottom w:val="0"/>
      <w:divBdr>
        <w:top w:val="none" w:sz="0" w:space="0" w:color="auto"/>
        <w:left w:val="none" w:sz="0" w:space="0" w:color="auto"/>
        <w:bottom w:val="none" w:sz="0" w:space="0" w:color="auto"/>
        <w:right w:val="none" w:sz="0" w:space="0" w:color="auto"/>
      </w:divBdr>
    </w:div>
    <w:div w:id="2015764148">
      <w:bodyDiv w:val="1"/>
      <w:marLeft w:val="0"/>
      <w:marRight w:val="0"/>
      <w:marTop w:val="0"/>
      <w:marBottom w:val="0"/>
      <w:divBdr>
        <w:top w:val="none" w:sz="0" w:space="0" w:color="auto"/>
        <w:left w:val="none" w:sz="0" w:space="0" w:color="auto"/>
        <w:bottom w:val="none" w:sz="0" w:space="0" w:color="auto"/>
        <w:right w:val="none" w:sz="0" w:space="0" w:color="auto"/>
      </w:divBdr>
    </w:div>
    <w:div w:id="2033260274">
      <w:bodyDiv w:val="1"/>
      <w:marLeft w:val="0"/>
      <w:marRight w:val="0"/>
      <w:marTop w:val="0"/>
      <w:marBottom w:val="0"/>
      <w:divBdr>
        <w:top w:val="none" w:sz="0" w:space="0" w:color="auto"/>
        <w:left w:val="none" w:sz="0" w:space="0" w:color="auto"/>
        <w:bottom w:val="none" w:sz="0" w:space="0" w:color="auto"/>
        <w:right w:val="none" w:sz="0" w:space="0" w:color="auto"/>
      </w:divBdr>
    </w:div>
    <w:div w:id="2099671187">
      <w:bodyDiv w:val="1"/>
      <w:marLeft w:val="0"/>
      <w:marRight w:val="0"/>
      <w:marTop w:val="0"/>
      <w:marBottom w:val="0"/>
      <w:divBdr>
        <w:top w:val="none" w:sz="0" w:space="0" w:color="auto"/>
        <w:left w:val="none" w:sz="0" w:space="0" w:color="auto"/>
        <w:bottom w:val="none" w:sz="0" w:space="0" w:color="auto"/>
        <w:right w:val="none" w:sz="0" w:space="0" w:color="auto"/>
      </w:divBdr>
    </w:div>
    <w:div w:id="2116320647">
      <w:bodyDiv w:val="1"/>
      <w:marLeft w:val="0"/>
      <w:marRight w:val="0"/>
      <w:marTop w:val="0"/>
      <w:marBottom w:val="0"/>
      <w:divBdr>
        <w:top w:val="none" w:sz="0" w:space="0" w:color="auto"/>
        <w:left w:val="none" w:sz="0" w:space="0" w:color="auto"/>
        <w:bottom w:val="none" w:sz="0" w:space="0" w:color="auto"/>
        <w:right w:val="none" w:sz="0" w:space="0" w:color="auto"/>
      </w:divBdr>
    </w:div>
    <w:div w:id="21465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vest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microsoft.com/investo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investo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icrosoft.com/new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rt@waggeneredstrom.com"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F3BB5D7D-7549-4994-A0C0-B8A02655251E}"/>
</file>

<file path=customXml/itemProps2.xml><?xml version="1.0" encoding="utf-8"?>
<ds:datastoreItem xmlns:ds="http://schemas.openxmlformats.org/officeDocument/2006/customXml" ds:itemID="{B91FC9B2-DBC5-40C1-B05A-5D4ABC15E65E}"/>
</file>

<file path=customXml/itemProps3.xml><?xml version="1.0" encoding="utf-8"?>
<ds:datastoreItem xmlns:ds="http://schemas.openxmlformats.org/officeDocument/2006/customXml" ds:itemID="{3145BA06-23E8-4892-80CF-AD5C10EFD4B4}"/>
</file>

<file path=docProps/app.xml><?xml version="1.0" encoding="utf-8"?>
<Properties xmlns="http://schemas.openxmlformats.org/officeDocument/2006/extended-properties" xmlns:vt="http://schemas.openxmlformats.org/officeDocument/2006/docPropsVTypes">
  <Template>Normal</Template>
  <TotalTime>0</TotalTime>
  <Pages>16</Pages>
  <Words>4928</Words>
  <Characters>28094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2014-07-22T03:28:00Z</dcterms:created>
  <dcterms:modified xsi:type="dcterms:W3CDTF">2014-07-22T03:28:00Z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-1148023779</vt:i4>
  </property>
  <property fmtid="{D5CDD505-2E9C-101B-9397-08002B2CF9AE}" pid="3" name="_dlc_DocIdItemGuid">
    <vt:lpwstr>efa59d86-4e65-4f43-982c-e027cd15472e</vt:lpwstr>
  </property>
  <property fmtid="{D5CDD505-2E9C-101B-9397-08002B2CF9AE}" pid="4" name="_dlc_policyId">
    <vt:lpwstr/>
  </property>
  <property fmtid="{D5CDD505-2E9C-101B-9397-08002B2CF9AE}" pid="5" name="Owner">
    <vt:lpwstr>141;#Debi Kampton</vt:lpwstr>
  </property>
  <property fmtid="{D5CDD505-2E9C-101B-9397-08002B2CF9AE}" pid="6" name="ContentTypeId">
    <vt:lpwstr>0x0101004EEB5A68CE6442648224A0682BF61800004B9775297EFBF642A4F1523B0C630918</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ies>
</file>