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CAE3A" w14:textId="77777777" w:rsidR="00B25AB2" w:rsidRPr="00417C88" w:rsidRDefault="00F00EB9" w:rsidP="001D5067">
      <w:pPr>
        <w:spacing w:after="0" w:line="320" w:lineRule="exact"/>
        <w:rPr>
          <w:rFonts w:ascii="Segoe UI" w:hAnsi="Segoe UI" w:cs="Segoe UI"/>
          <w:sz w:val="26"/>
          <w:szCs w:val="26"/>
        </w:rPr>
      </w:pPr>
      <w:r>
        <w:rPr>
          <w:rFonts w:ascii="Segoe UI" w:hAnsi="Segoe UI" w:cs="Segoe UI"/>
          <w:sz w:val="26"/>
          <w:szCs w:val="26"/>
        </w:rPr>
        <w:t xml:space="preserve">Microsoft Cloud </w:t>
      </w:r>
      <w:r w:rsidR="002D5198">
        <w:rPr>
          <w:rFonts w:ascii="Segoe UI" w:hAnsi="Segoe UI" w:cs="Segoe UI"/>
          <w:sz w:val="26"/>
          <w:szCs w:val="26"/>
        </w:rPr>
        <w:t>and Hardware Results D</w:t>
      </w:r>
      <w:r w:rsidR="00DF5741">
        <w:rPr>
          <w:rFonts w:ascii="Segoe UI" w:hAnsi="Segoe UI" w:cs="Segoe UI"/>
          <w:sz w:val="26"/>
          <w:szCs w:val="26"/>
        </w:rPr>
        <w:t xml:space="preserve">rives Fourth Quarter </w:t>
      </w:r>
      <w:r w:rsidR="002D5198">
        <w:rPr>
          <w:rFonts w:ascii="Segoe UI" w:hAnsi="Segoe UI" w:cs="Segoe UI"/>
          <w:sz w:val="26"/>
          <w:szCs w:val="26"/>
        </w:rPr>
        <w:t>Performance</w:t>
      </w:r>
    </w:p>
    <w:p w14:paraId="5274ADBA" w14:textId="6A61DE3D" w:rsidR="00E97E9E" w:rsidRPr="00E97E9E" w:rsidRDefault="00E97E9E" w:rsidP="00E97E9E">
      <w:pPr>
        <w:spacing w:after="0" w:line="320" w:lineRule="exact"/>
        <w:rPr>
          <w:rFonts w:ascii="Segoe UI" w:eastAsiaTheme="minorHAnsi" w:hAnsi="Segoe UI" w:cs="Segoe UI"/>
          <w:i/>
          <w:color w:val="666666"/>
          <w:sz w:val="18"/>
          <w:szCs w:val="18"/>
        </w:rPr>
      </w:pPr>
      <w:r w:rsidRPr="00E97E9E">
        <w:rPr>
          <w:rFonts w:ascii="Segoe UI" w:eastAsiaTheme="minorHAnsi" w:hAnsi="Segoe UI" w:cs="Segoe UI"/>
          <w:i/>
          <w:color w:val="666666"/>
          <w:sz w:val="18"/>
          <w:szCs w:val="18"/>
        </w:rPr>
        <w:t>Commercial cloud annualized revenue run rate now exceeds $</w:t>
      </w:r>
      <w:r>
        <w:rPr>
          <w:rFonts w:ascii="Segoe UI" w:eastAsiaTheme="minorHAnsi" w:hAnsi="Segoe UI" w:cs="Segoe UI"/>
          <w:i/>
          <w:color w:val="666666"/>
          <w:sz w:val="18"/>
          <w:szCs w:val="18"/>
        </w:rPr>
        <w:t>8 billion</w:t>
      </w:r>
      <w:r w:rsidR="00DF5741">
        <w:rPr>
          <w:rFonts w:ascii="Segoe UI" w:eastAsiaTheme="minorHAnsi" w:hAnsi="Segoe UI" w:cs="Segoe UI"/>
          <w:i/>
          <w:color w:val="666666"/>
          <w:sz w:val="18"/>
          <w:szCs w:val="18"/>
        </w:rPr>
        <w:t xml:space="preserve">; </w:t>
      </w:r>
      <w:r w:rsidR="0039408D">
        <w:rPr>
          <w:rFonts w:ascii="Segoe UI" w:eastAsiaTheme="minorHAnsi" w:hAnsi="Segoe UI" w:cs="Segoe UI"/>
          <w:i/>
          <w:color w:val="666666"/>
          <w:sz w:val="18"/>
          <w:szCs w:val="18"/>
        </w:rPr>
        <w:t xml:space="preserve">Computing and Gaming Hardware, including </w:t>
      </w:r>
      <w:r w:rsidR="00C764F2">
        <w:rPr>
          <w:rFonts w:ascii="Segoe UI" w:eastAsiaTheme="minorHAnsi" w:hAnsi="Segoe UI" w:cs="Segoe UI"/>
          <w:i/>
          <w:color w:val="666666"/>
          <w:sz w:val="18"/>
          <w:szCs w:val="18"/>
        </w:rPr>
        <w:t>Xbox and Surface</w:t>
      </w:r>
      <w:r w:rsidR="0039408D">
        <w:rPr>
          <w:rFonts w:ascii="Segoe UI" w:eastAsiaTheme="minorHAnsi" w:hAnsi="Segoe UI" w:cs="Segoe UI"/>
          <w:i/>
          <w:color w:val="666666"/>
          <w:sz w:val="18"/>
          <w:szCs w:val="18"/>
        </w:rPr>
        <w:t>,</w:t>
      </w:r>
      <w:r w:rsidR="00C764F2">
        <w:rPr>
          <w:rFonts w:ascii="Segoe UI" w:eastAsiaTheme="minorHAnsi" w:hAnsi="Segoe UI" w:cs="Segoe UI"/>
          <w:i/>
          <w:color w:val="666666"/>
          <w:sz w:val="18"/>
          <w:szCs w:val="18"/>
        </w:rPr>
        <w:t xml:space="preserve"> deliver </w:t>
      </w:r>
      <w:r w:rsidR="00896002">
        <w:rPr>
          <w:rFonts w:ascii="Segoe UI" w:eastAsiaTheme="minorHAnsi" w:hAnsi="Segoe UI" w:cs="Segoe UI"/>
          <w:i/>
          <w:color w:val="666666"/>
          <w:sz w:val="18"/>
          <w:szCs w:val="18"/>
        </w:rPr>
        <w:t>nearly $2 billion in revenue</w:t>
      </w:r>
    </w:p>
    <w:p w14:paraId="61399D6C" w14:textId="77777777" w:rsidR="00B25AB2" w:rsidRPr="00635402" w:rsidRDefault="00B25AB2" w:rsidP="00B25AB2">
      <w:pPr>
        <w:spacing w:after="0" w:line="320" w:lineRule="exact"/>
        <w:rPr>
          <w:rFonts w:ascii="Segoe UI" w:hAnsi="Segoe UI" w:cs="Segoe UI"/>
          <w:i/>
          <w:color w:val="666666"/>
          <w:sz w:val="18"/>
          <w:szCs w:val="18"/>
        </w:rPr>
      </w:pPr>
    </w:p>
    <w:p w14:paraId="7A5924CD" w14:textId="77777777" w:rsidR="00B25AB2" w:rsidRDefault="00B25AB2" w:rsidP="00B25AB2">
      <w:pPr>
        <w:spacing w:line="280" w:lineRule="exact"/>
        <w:rPr>
          <w:rFonts w:ascii="Segoe UI" w:hAnsi="Segoe UI" w:cs="Segoe UI"/>
          <w:color w:val="666666"/>
          <w:sz w:val="20"/>
          <w:szCs w:val="20"/>
        </w:rPr>
      </w:pPr>
      <w:bookmarkStart w:id="0" w:name="_GoBack"/>
      <w:r w:rsidRPr="00391E57">
        <w:rPr>
          <w:rFonts w:ascii="Segoe UI" w:hAnsi="Segoe UI" w:cs="Segoe UI"/>
          <w:b/>
          <w:color w:val="666666"/>
          <w:sz w:val="20"/>
          <w:szCs w:val="20"/>
        </w:rPr>
        <w:t xml:space="preserve">REDMOND, Wash. — </w:t>
      </w:r>
      <w:r w:rsidR="002A369E">
        <w:rPr>
          <w:rFonts w:ascii="Segoe UI" w:hAnsi="Segoe UI" w:cs="Segoe UI"/>
          <w:b/>
          <w:color w:val="666666"/>
          <w:sz w:val="20"/>
          <w:szCs w:val="20"/>
        </w:rPr>
        <w:t>July 21</w:t>
      </w:r>
      <w:r w:rsidR="00BD6F0A">
        <w:rPr>
          <w:rFonts w:ascii="Segoe UI" w:hAnsi="Segoe UI" w:cs="Segoe UI"/>
          <w:b/>
          <w:color w:val="666666"/>
          <w:sz w:val="20"/>
          <w:szCs w:val="20"/>
        </w:rPr>
        <w:t xml:space="preserve">, </w:t>
      </w:r>
      <w:r>
        <w:rPr>
          <w:rFonts w:ascii="Segoe UI" w:hAnsi="Segoe UI" w:cs="Segoe UI"/>
          <w:b/>
          <w:color w:val="666666"/>
          <w:sz w:val="20"/>
          <w:szCs w:val="20"/>
        </w:rPr>
        <w:t>2015</w:t>
      </w:r>
      <w:r w:rsidRPr="00391E57">
        <w:rPr>
          <w:rFonts w:ascii="Segoe UI" w:hAnsi="Segoe UI" w:cs="Segoe UI"/>
          <w:b/>
          <w:color w:val="666666"/>
          <w:sz w:val="20"/>
          <w:szCs w:val="20"/>
        </w:rPr>
        <w:t xml:space="preserve"> —</w:t>
      </w:r>
      <w:r w:rsidRPr="00391E57">
        <w:rPr>
          <w:rFonts w:ascii="Segoe UI" w:hAnsi="Segoe UI" w:cs="Segoe UI"/>
          <w:color w:val="666666"/>
          <w:sz w:val="20"/>
          <w:szCs w:val="20"/>
        </w:rPr>
        <w:t xml:space="preserve"> Microso</w:t>
      </w:r>
      <w:r w:rsidR="00BC693F">
        <w:rPr>
          <w:rFonts w:ascii="Segoe UI" w:hAnsi="Segoe UI" w:cs="Segoe UI"/>
          <w:color w:val="666666"/>
          <w:sz w:val="20"/>
          <w:szCs w:val="20"/>
        </w:rPr>
        <w:t xml:space="preserve">ft Corp. today announced that revenues for the quarter </w:t>
      </w:r>
      <w:bookmarkEnd w:id="0"/>
      <w:r w:rsidR="00BC693F">
        <w:rPr>
          <w:rFonts w:ascii="Segoe UI" w:hAnsi="Segoe UI" w:cs="Segoe UI"/>
          <w:color w:val="666666"/>
          <w:sz w:val="20"/>
          <w:szCs w:val="20"/>
        </w:rPr>
        <w:t xml:space="preserve">ended </w:t>
      </w:r>
      <w:r w:rsidR="00AA7096">
        <w:rPr>
          <w:rFonts w:ascii="Segoe UI" w:hAnsi="Segoe UI" w:cs="Segoe UI"/>
          <w:color w:val="666666"/>
          <w:sz w:val="20"/>
          <w:szCs w:val="20"/>
        </w:rPr>
        <w:t>June 30</w:t>
      </w:r>
      <w:r w:rsidR="00BC693F">
        <w:rPr>
          <w:rFonts w:ascii="Segoe UI" w:hAnsi="Segoe UI" w:cs="Segoe UI"/>
          <w:color w:val="666666"/>
          <w:sz w:val="20"/>
          <w:szCs w:val="20"/>
        </w:rPr>
        <w:t xml:space="preserve">, 2015 </w:t>
      </w:r>
      <w:r w:rsidR="00B77785">
        <w:rPr>
          <w:rFonts w:ascii="Segoe UI" w:hAnsi="Segoe UI" w:cs="Segoe UI"/>
          <w:color w:val="666666"/>
          <w:sz w:val="20"/>
          <w:szCs w:val="20"/>
        </w:rPr>
        <w:t>were</w:t>
      </w:r>
      <w:r w:rsidR="00927DD8">
        <w:rPr>
          <w:rFonts w:ascii="Segoe UI" w:hAnsi="Segoe UI" w:cs="Segoe UI"/>
          <w:color w:val="666666"/>
          <w:sz w:val="20"/>
          <w:szCs w:val="20"/>
        </w:rPr>
        <w:t xml:space="preserve"> </w:t>
      </w:r>
      <w:r w:rsidR="00BC693F" w:rsidRPr="00CD2770">
        <w:rPr>
          <w:rFonts w:ascii="Segoe UI" w:hAnsi="Segoe UI" w:cs="Segoe UI"/>
          <w:color w:val="666666"/>
          <w:sz w:val="20"/>
          <w:szCs w:val="20"/>
        </w:rPr>
        <w:t>$</w:t>
      </w:r>
      <w:r w:rsidR="00B77785" w:rsidRPr="00A57215">
        <w:rPr>
          <w:rFonts w:ascii="Segoe UI" w:hAnsi="Segoe UI" w:cs="Segoe UI"/>
          <w:color w:val="666666"/>
          <w:sz w:val="20"/>
          <w:szCs w:val="20"/>
        </w:rPr>
        <w:t>22.2</w:t>
      </w:r>
      <w:r w:rsidR="00BC693F" w:rsidRPr="00A57215">
        <w:rPr>
          <w:rFonts w:ascii="Segoe UI" w:hAnsi="Segoe UI" w:cs="Segoe UI"/>
          <w:color w:val="666666"/>
          <w:sz w:val="20"/>
          <w:szCs w:val="20"/>
        </w:rPr>
        <w:t xml:space="preserve"> </w:t>
      </w:r>
      <w:r w:rsidR="00BC693F">
        <w:rPr>
          <w:rFonts w:ascii="Segoe UI" w:hAnsi="Segoe UI" w:cs="Segoe UI"/>
          <w:color w:val="666666"/>
          <w:sz w:val="20"/>
          <w:szCs w:val="20"/>
        </w:rPr>
        <w:t xml:space="preserve">billion.  </w:t>
      </w:r>
      <w:r w:rsidRPr="00391E57">
        <w:rPr>
          <w:rFonts w:ascii="Segoe UI" w:hAnsi="Segoe UI" w:cs="Segoe UI"/>
          <w:color w:val="666666"/>
          <w:sz w:val="20"/>
          <w:szCs w:val="20"/>
        </w:rPr>
        <w:t>Gross margin, operating</w:t>
      </w:r>
      <w:r w:rsidRPr="00E06C86">
        <w:rPr>
          <w:rFonts w:ascii="Segoe UI" w:hAnsi="Segoe UI" w:cs="Segoe UI"/>
          <w:color w:val="666666"/>
          <w:sz w:val="20"/>
          <w:szCs w:val="20"/>
        </w:rPr>
        <w:t xml:space="preserve"> </w:t>
      </w:r>
      <w:r w:rsidR="002D5198">
        <w:rPr>
          <w:rFonts w:ascii="Segoe UI" w:hAnsi="Segoe UI" w:cs="Segoe UI"/>
          <w:color w:val="666666"/>
          <w:sz w:val="20"/>
          <w:szCs w:val="20"/>
        </w:rPr>
        <w:t>loss</w:t>
      </w:r>
      <w:r w:rsidRPr="00CF6CE0">
        <w:rPr>
          <w:rFonts w:ascii="Segoe UI" w:hAnsi="Segoe UI" w:cs="Segoe UI"/>
          <w:color w:val="666666"/>
          <w:sz w:val="20"/>
          <w:szCs w:val="20"/>
        </w:rPr>
        <w:t xml:space="preserve">, and </w:t>
      </w:r>
      <w:r w:rsidR="00223216">
        <w:rPr>
          <w:rFonts w:ascii="Segoe UI" w:hAnsi="Segoe UI" w:cs="Segoe UI"/>
          <w:color w:val="666666"/>
          <w:sz w:val="20"/>
          <w:szCs w:val="20"/>
        </w:rPr>
        <w:t>loss</w:t>
      </w:r>
      <w:r w:rsidR="002D5198" w:rsidRPr="00CF6CE0">
        <w:rPr>
          <w:rFonts w:ascii="Segoe UI" w:hAnsi="Segoe UI" w:cs="Segoe UI"/>
          <w:color w:val="666666"/>
          <w:sz w:val="20"/>
          <w:szCs w:val="20"/>
        </w:rPr>
        <w:t xml:space="preserve"> </w:t>
      </w:r>
      <w:r w:rsidRPr="00CF6CE0">
        <w:rPr>
          <w:rFonts w:ascii="Segoe UI" w:hAnsi="Segoe UI" w:cs="Segoe UI"/>
          <w:color w:val="666666"/>
          <w:sz w:val="20"/>
          <w:szCs w:val="20"/>
        </w:rPr>
        <w:t>per share for the quarter were $</w:t>
      </w:r>
      <w:r w:rsidR="00002339" w:rsidRPr="00A57215">
        <w:rPr>
          <w:rFonts w:ascii="Segoe UI" w:hAnsi="Segoe UI" w:cs="Segoe UI"/>
          <w:color w:val="666666"/>
          <w:sz w:val="20"/>
          <w:szCs w:val="20"/>
        </w:rPr>
        <w:t>14.</w:t>
      </w:r>
      <w:r w:rsidR="005770A7" w:rsidRPr="00A57215">
        <w:rPr>
          <w:rFonts w:ascii="Segoe UI" w:hAnsi="Segoe UI" w:cs="Segoe UI"/>
          <w:color w:val="666666"/>
          <w:sz w:val="20"/>
          <w:szCs w:val="20"/>
        </w:rPr>
        <w:t xml:space="preserve">7 </w:t>
      </w:r>
      <w:r w:rsidRPr="00CF6CE0">
        <w:rPr>
          <w:rFonts w:ascii="Segoe UI" w:hAnsi="Segoe UI" w:cs="Segoe UI"/>
          <w:color w:val="666666"/>
          <w:sz w:val="20"/>
          <w:szCs w:val="20"/>
        </w:rPr>
        <w:t xml:space="preserve">billion, </w:t>
      </w:r>
      <w:r w:rsidR="0007135A">
        <w:rPr>
          <w:rFonts w:ascii="Segoe UI" w:hAnsi="Segoe UI" w:cs="Segoe UI"/>
          <w:color w:val="666666"/>
          <w:sz w:val="20"/>
          <w:szCs w:val="20"/>
        </w:rPr>
        <w:t>$(</w:t>
      </w:r>
      <w:r w:rsidR="0007135A" w:rsidRPr="00A57215">
        <w:rPr>
          <w:rFonts w:ascii="Segoe UI" w:hAnsi="Segoe UI" w:cs="Segoe UI"/>
          <w:color w:val="666666"/>
          <w:sz w:val="20"/>
          <w:szCs w:val="20"/>
        </w:rPr>
        <w:t>2</w:t>
      </w:r>
      <w:r w:rsidR="00B77785" w:rsidRPr="00A57215">
        <w:rPr>
          <w:rFonts w:ascii="Segoe UI" w:hAnsi="Segoe UI" w:cs="Segoe UI"/>
          <w:color w:val="666666"/>
          <w:sz w:val="20"/>
          <w:szCs w:val="20"/>
        </w:rPr>
        <w:t>.</w:t>
      </w:r>
      <w:r w:rsidR="000462D2" w:rsidRPr="00A57215">
        <w:rPr>
          <w:rFonts w:ascii="Segoe UI" w:hAnsi="Segoe UI" w:cs="Segoe UI"/>
          <w:color w:val="666666"/>
          <w:sz w:val="20"/>
          <w:szCs w:val="20"/>
        </w:rPr>
        <w:t>1</w:t>
      </w:r>
      <w:r w:rsidR="0007135A" w:rsidRPr="00A57215">
        <w:rPr>
          <w:rFonts w:ascii="Segoe UI" w:hAnsi="Segoe UI" w:cs="Segoe UI"/>
          <w:color w:val="666666"/>
          <w:sz w:val="20"/>
          <w:szCs w:val="20"/>
        </w:rPr>
        <w:t>)</w:t>
      </w:r>
      <w:r w:rsidR="00B77785" w:rsidRPr="00A57215">
        <w:rPr>
          <w:rFonts w:ascii="Segoe UI" w:hAnsi="Segoe UI" w:cs="Segoe UI"/>
          <w:color w:val="666666"/>
          <w:sz w:val="20"/>
          <w:szCs w:val="20"/>
        </w:rPr>
        <w:t xml:space="preserve"> </w:t>
      </w:r>
      <w:r w:rsidRPr="00CF6CE0">
        <w:rPr>
          <w:rFonts w:ascii="Segoe UI" w:hAnsi="Segoe UI" w:cs="Segoe UI"/>
          <w:color w:val="666666"/>
          <w:sz w:val="20"/>
          <w:szCs w:val="20"/>
        </w:rPr>
        <w:t xml:space="preserve">billion, and </w:t>
      </w:r>
      <w:r w:rsidR="00BD6F0A" w:rsidRPr="00CF6CE0">
        <w:rPr>
          <w:rFonts w:ascii="Segoe UI" w:hAnsi="Segoe UI" w:cs="Segoe UI"/>
          <w:color w:val="666666"/>
          <w:sz w:val="20"/>
          <w:szCs w:val="20"/>
        </w:rPr>
        <w:t>$</w:t>
      </w:r>
      <w:r w:rsidR="0007135A">
        <w:rPr>
          <w:rFonts w:ascii="Segoe UI" w:hAnsi="Segoe UI" w:cs="Segoe UI"/>
          <w:color w:val="666666"/>
          <w:sz w:val="20"/>
          <w:szCs w:val="20"/>
        </w:rPr>
        <w:t>(</w:t>
      </w:r>
      <w:r w:rsidR="00705424" w:rsidRPr="00A57215">
        <w:rPr>
          <w:rFonts w:ascii="Segoe UI" w:hAnsi="Segoe UI" w:cs="Segoe UI"/>
          <w:color w:val="666666"/>
          <w:sz w:val="20"/>
          <w:szCs w:val="20"/>
        </w:rPr>
        <w:t>0.</w:t>
      </w:r>
      <w:r w:rsidR="007E6055" w:rsidRPr="00A57215">
        <w:rPr>
          <w:rFonts w:ascii="Segoe UI" w:hAnsi="Segoe UI" w:cs="Segoe UI"/>
          <w:color w:val="666666"/>
          <w:sz w:val="20"/>
          <w:szCs w:val="20"/>
        </w:rPr>
        <w:t>4</w:t>
      </w:r>
      <w:r w:rsidR="00537CCB">
        <w:rPr>
          <w:rFonts w:ascii="Segoe UI" w:hAnsi="Segoe UI" w:cs="Segoe UI"/>
          <w:color w:val="666666"/>
          <w:sz w:val="20"/>
          <w:szCs w:val="20"/>
        </w:rPr>
        <w:t>0</w:t>
      </w:r>
      <w:r w:rsidR="0007135A" w:rsidRPr="00A57215">
        <w:rPr>
          <w:rFonts w:ascii="Segoe UI" w:hAnsi="Segoe UI" w:cs="Segoe UI"/>
          <w:color w:val="666666"/>
          <w:sz w:val="20"/>
          <w:szCs w:val="20"/>
        </w:rPr>
        <w:t>)</w:t>
      </w:r>
      <w:r w:rsidRPr="00B77785">
        <w:rPr>
          <w:rFonts w:ascii="Segoe UI" w:hAnsi="Segoe UI" w:cs="Segoe UI"/>
          <w:color w:val="FF0000"/>
          <w:sz w:val="20"/>
          <w:szCs w:val="20"/>
        </w:rPr>
        <w:t xml:space="preserve"> </w:t>
      </w:r>
      <w:r w:rsidRPr="00CF6CE0">
        <w:rPr>
          <w:rFonts w:ascii="Segoe UI" w:hAnsi="Segoe UI" w:cs="Segoe UI"/>
          <w:color w:val="666666"/>
          <w:sz w:val="20"/>
          <w:szCs w:val="20"/>
        </w:rPr>
        <w:t>per share, respectively</w:t>
      </w:r>
      <w:r w:rsidR="00BC693F" w:rsidRPr="00CF6CE0">
        <w:rPr>
          <w:rFonts w:ascii="Segoe UI" w:hAnsi="Segoe UI" w:cs="Segoe UI"/>
          <w:color w:val="666666"/>
          <w:sz w:val="20"/>
          <w:szCs w:val="20"/>
        </w:rPr>
        <w:t>.</w:t>
      </w:r>
    </w:p>
    <w:p w14:paraId="48E5D43E" w14:textId="77ADD9ED" w:rsidR="00B25AB2" w:rsidRDefault="00B25AB2" w:rsidP="00B25AB2">
      <w:pPr>
        <w:spacing w:line="280" w:lineRule="exact"/>
        <w:rPr>
          <w:rFonts w:ascii="Segoe UI" w:hAnsi="Segoe UI" w:cs="Segoe UI"/>
          <w:color w:val="666666"/>
          <w:sz w:val="20"/>
          <w:szCs w:val="20"/>
        </w:rPr>
      </w:pPr>
      <w:r w:rsidRPr="00D63833">
        <w:rPr>
          <w:rFonts w:ascii="Segoe UI" w:hAnsi="Segoe UI" w:cs="Segoe UI"/>
          <w:color w:val="666666"/>
          <w:sz w:val="20"/>
          <w:szCs w:val="20"/>
        </w:rPr>
        <w:t xml:space="preserve">These results </w:t>
      </w:r>
      <w:r w:rsidRPr="00CF6CE0">
        <w:rPr>
          <w:rFonts w:ascii="Segoe UI" w:hAnsi="Segoe UI" w:cs="Segoe UI"/>
          <w:color w:val="666666"/>
          <w:sz w:val="20"/>
          <w:szCs w:val="20"/>
        </w:rPr>
        <w:t xml:space="preserve">include </w:t>
      </w:r>
      <w:r w:rsidR="0004569F">
        <w:rPr>
          <w:rFonts w:ascii="Segoe UI" w:hAnsi="Segoe UI" w:cs="Segoe UI"/>
          <w:color w:val="666666"/>
          <w:sz w:val="20"/>
          <w:szCs w:val="20"/>
        </w:rPr>
        <w:t>the impact of a</w:t>
      </w:r>
      <w:r w:rsidRPr="00CF6CE0">
        <w:rPr>
          <w:rFonts w:ascii="Segoe UI" w:hAnsi="Segoe UI" w:cs="Segoe UI"/>
          <w:color w:val="666666"/>
          <w:sz w:val="20"/>
          <w:szCs w:val="20"/>
        </w:rPr>
        <w:t xml:space="preserve"> </w:t>
      </w:r>
      <w:r w:rsidR="00377A4A">
        <w:rPr>
          <w:rFonts w:ascii="Segoe UI" w:hAnsi="Segoe UI" w:cs="Segoe UI"/>
          <w:color w:val="666666"/>
          <w:sz w:val="20"/>
          <w:szCs w:val="20"/>
        </w:rPr>
        <w:t>$7.5 billion</w:t>
      </w:r>
      <w:r w:rsidRPr="00CF6CE0">
        <w:rPr>
          <w:rFonts w:ascii="Segoe UI" w:hAnsi="Segoe UI" w:cs="Segoe UI"/>
          <w:color w:val="666666"/>
          <w:sz w:val="20"/>
          <w:szCs w:val="20"/>
        </w:rPr>
        <w:t xml:space="preserve"> </w:t>
      </w:r>
      <w:r w:rsidR="00827BF7">
        <w:rPr>
          <w:rFonts w:ascii="Segoe UI" w:hAnsi="Segoe UI" w:cs="Segoe UI"/>
          <w:color w:val="666666"/>
          <w:sz w:val="20"/>
          <w:szCs w:val="20"/>
        </w:rPr>
        <w:t xml:space="preserve">non-cash </w:t>
      </w:r>
      <w:r w:rsidR="00B77785" w:rsidRPr="004464FA">
        <w:rPr>
          <w:rFonts w:ascii="Segoe UI" w:hAnsi="Segoe UI" w:cs="Segoe UI"/>
          <w:color w:val="666666"/>
          <w:sz w:val="20"/>
          <w:szCs w:val="20"/>
        </w:rPr>
        <w:t>impairment</w:t>
      </w:r>
      <w:r w:rsidR="0004569F" w:rsidRPr="0004569F">
        <w:rPr>
          <w:rFonts w:ascii="Segoe UI" w:hAnsi="Segoe UI" w:cs="Segoe UI"/>
          <w:color w:val="666666"/>
          <w:sz w:val="20"/>
          <w:szCs w:val="20"/>
        </w:rPr>
        <w:t xml:space="preserve"> </w:t>
      </w:r>
      <w:r w:rsidR="00850E5B">
        <w:rPr>
          <w:rFonts w:ascii="Segoe UI" w:hAnsi="Segoe UI" w:cs="Segoe UI"/>
          <w:color w:val="666666"/>
          <w:sz w:val="20"/>
          <w:szCs w:val="20"/>
        </w:rPr>
        <w:t xml:space="preserve">charge related to </w:t>
      </w:r>
      <w:r w:rsidR="0004569F">
        <w:rPr>
          <w:rFonts w:ascii="Segoe UI" w:hAnsi="Segoe UI" w:cs="Segoe UI"/>
          <w:color w:val="666666"/>
          <w:sz w:val="20"/>
          <w:szCs w:val="20"/>
        </w:rPr>
        <w:t xml:space="preserve">assets </w:t>
      </w:r>
      <w:r w:rsidR="00850E5B">
        <w:rPr>
          <w:rFonts w:ascii="Segoe UI" w:hAnsi="Segoe UI" w:cs="Segoe UI"/>
          <w:color w:val="666666"/>
          <w:sz w:val="20"/>
          <w:szCs w:val="20"/>
        </w:rPr>
        <w:t xml:space="preserve">associated with </w:t>
      </w:r>
      <w:r w:rsidR="0004569F">
        <w:rPr>
          <w:rFonts w:ascii="Segoe UI" w:hAnsi="Segoe UI" w:cs="Segoe UI"/>
          <w:color w:val="666666"/>
          <w:sz w:val="20"/>
          <w:szCs w:val="20"/>
        </w:rPr>
        <w:t>the acquisition of the Nokia Devices and Services (NDS) business</w:t>
      </w:r>
      <w:r w:rsidR="00B77785" w:rsidRPr="00A57215">
        <w:rPr>
          <w:rFonts w:ascii="Segoe UI" w:hAnsi="Segoe UI" w:cs="Segoe UI"/>
          <w:color w:val="666666"/>
          <w:sz w:val="20"/>
          <w:szCs w:val="20"/>
        </w:rPr>
        <w:t xml:space="preserve">, </w:t>
      </w:r>
      <w:r w:rsidR="0004569F" w:rsidRPr="004464FA">
        <w:rPr>
          <w:rFonts w:ascii="Segoe UI" w:hAnsi="Segoe UI" w:cs="Segoe UI"/>
          <w:color w:val="666666"/>
          <w:sz w:val="20"/>
          <w:szCs w:val="20"/>
        </w:rPr>
        <w:t xml:space="preserve">in </w:t>
      </w:r>
      <w:r w:rsidR="00432C51" w:rsidRPr="00432C51">
        <w:rPr>
          <w:rFonts w:ascii="Segoe UI" w:hAnsi="Segoe UI" w:cs="Segoe UI"/>
          <w:color w:val="666666"/>
          <w:sz w:val="20"/>
          <w:szCs w:val="20"/>
        </w:rPr>
        <w:t>addition</w:t>
      </w:r>
      <w:r w:rsidR="0016479B">
        <w:rPr>
          <w:rFonts w:ascii="Segoe UI" w:hAnsi="Segoe UI" w:cs="Segoe UI"/>
          <w:color w:val="666666"/>
          <w:sz w:val="20"/>
          <w:szCs w:val="20"/>
        </w:rPr>
        <w:t xml:space="preserve"> to</w:t>
      </w:r>
      <w:r w:rsidR="00432C51" w:rsidRPr="00432C51">
        <w:rPr>
          <w:rFonts w:ascii="Segoe UI" w:hAnsi="Segoe UI" w:cs="Segoe UI"/>
          <w:color w:val="666666"/>
          <w:sz w:val="20"/>
          <w:szCs w:val="20"/>
        </w:rPr>
        <w:t xml:space="preserve"> </w:t>
      </w:r>
      <w:r w:rsidR="00432C51">
        <w:rPr>
          <w:rFonts w:ascii="Segoe UI" w:hAnsi="Segoe UI" w:cs="Segoe UI"/>
          <w:color w:val="666666"/>
          <w:sz w:val="20"/>
          <w:szCs w:val="20"/>
        </w:rPr>
        <w:t xml:space="preserve">a </w:t>
      </w:r>
      <w:r w:rsidR="00432C51" w:rsidRPr="00432C51">
        <w:rPr>
          <w:rFonts w:ascii="Segoe UI" w:hAnsi="Segoe UI" w:cs="Segoe UI"/>
          <w:color w:val="666666"/>
          <w:sz w:val="20"/>
          <w:szCs w:val="20"/>
        </w:rPr>
        <w:t>restructuring charge of $7</w:t>
      </w:r>
      <w:r w:rsidR="00432C51">
        <w:rPr>
          <w:rFonts w:ascii="Segoe UI" w:hAnsi="Segoe UI" w:cs="Segoe UI"/>
          <w:color w:val="666666"/>
          <w:sz w:val="20"/>
          <w:szCs w:val="20"/>
        </w:rPr>
        <w:t>80</w:t>
      </w:r>
      <w:r w:rsidR="00432C51" w:rsidRPr="00432C51">
        <w:rPr>
          <w:rFonts w:ascii="Segoe UI" w:hAnsi="Segoe UI" w:cs="Segoe UI"/>
          <w:color w:val="666666"/>
          <w:sz w:val="20"/>
          <w:szCs w:val="20"/>
        </w:rPr>
        <w:t xml:space="preserve"> million</w:t>
      </w:r>
      <w:r w:rsidR="00850E5B">
        <w:rPr>
          <w:rFonts w:ascii="Segoe UI" w:hAnsi="Segoe UI" w:cs="Segoe UI"/>
          <w:color w:val="666666"/>
          <w:sz w:val="20"/>
          <w:szCs w:val="20"/>
        </w:rPr>
        <w:t xml:space="preserve">. </w:t>
      </w:r>
      <w:r w:rsidR="00432C51">
        <w:rPr>
          <w:rFonts w:ascii="Segoe UI" w:hAnsi="Segoe UI" w:cs="Segoe UI"/>
          <w:color w:val="666666"/>
          <w:sz w:val="20"/>
          <w:szCs w:val="20"/>
        </w:rPr>
        <w:t xml:space="preserve"> </w:t>
      </w:r>
      <w:r w:rsidR="00F01152">
        <w:rPr>
          <w:rFonts w:ascii="Segoe UI" w:hAnsi="Segoe UI" w:cs="Segoe UI"/>
          <w:color w:val="666666"/>
          <w:sz w:val="20"/>
          <w:szCs w:val="20"/>
        </w:rPr>
        <w:t>There</w:t>
      </w:r>
      <w:r w:rsidR="0016479B">
        <w:rPr>
          <w:rFonts w:ascii="Segoe UI" w:hAnsi="Segoe UI" w:cs="Segoe UI"/>
          <w:color w:val="666666"/>
          <w:sz w:val="20"/>
          <w:szCs w:val="20"/>
        </w:rPr>
        <w:t xml:space="preserve"> was </w:t>
      </w:r>
      <w:r w:rsidR="00011A32">
        <w:rPr>
          <w:rFonts w:ascii="Segoe UI" w:hAnsi="Segoe UI" w:cs="Segoe UI"/>
          <w:color w:val="666666"/>
          <w:sz w:val="20"/>
          <w:szCs w:val="20"/>
        </w:rPr>
        <w:t>a</w:t>
      </w:r>
      <w:r w:rsidR="00F01152">
        <w:rPr>
          <w:rFonts w:ascii="Segoe UI" w:hAnsi="Segoe UI" w:cs="Segoe UI"/>
          <w:color w:val="666666"/>
          <w:sz w:val="20"/>
          <w:szCs w:val="20"/>
        </w:rPr>
        <w:t>lso a</w:t>
      </w:r>
      <w:r w:rsidR="00011A32">
        <w:rPr>
          <w:rFonts w:ascii="Segoe UI" w:hAnsi="Segoe UI" w:cs="Segoe UI"/>
          <w:color w:val="666666"/>
          <w:sz w:val="20"/>
          <w:szCs w:val="20"/>
        </w:rPr>
        <w:t xml:space="preserve"> </w:t>
      </w:r>
      <w:r w:rsidR="0016479B">
        <w:rPr>
          <w:rFonts w:ascii="Segoe UI" w:hAnsi="Segoe UI" w:cs="Segoe UI"/>
          <w:color w:val="666666"/>
          <w:sz w:val="20"/>
          <w:szCs w:val="20"/>
        </w:rPr>
        <w:t>charge of $160 million related to the previously announced</w:t>
      </w:r>
      <w:r w:rsidR="00011A32">
        <w:rPr>
          <w:rFonts w:ascii="Segoe UI" w:hAnsi="Segoe UI" w:cs="Segoe UI"/>
          <w:color w:val="666666"/>
          <w:sz w:val="20"/>
          <w:szCs w:val="20"/>
        </w:rPr>
        <w:t xml:space="preserve"> integration and restructuring plan</w:t>
      </w:r>
      <w:r w:rsidR="00F01152">
        <w:rPr>
          <w:rFonts w:ascii="Segoe UI" w:hAnsi="Segoe UI" w:cs="Segoe UI"/>
          <w:color w:val="666666"/>
          <w:sz w:val="20"/>
          <w:szCs w:val="20"/>
        </w:rPr>
        <w:t>.</w:t>
      </w:r>
      <w:r w:rsidR="00011A32">
        <w:rPr>
          <w:rFonts w:ascii="Segoe UI" w:hAnsi="Segoe UI" w:cs="Segoe UI"/>
          <w:color w:val="666666"/>
          <w:sz w:val="20"/>
          <w:szCs w:val="20"/>
        </w:rPr>
        <w:t xml:space="preserve"> </w:t>
      </w:r>
      <w:r w:rsidR="00850E5B">
        <w:rPr>
          <w:rFonts w:ascii="Segoe UI" w:hAnsi="Segoe UI" w:cs="Segoe UI"/>
          <w:color w:val="666666"/>
          <w:sz w:val="20"/>
          <w:szCs w:val="20"/>
        </w:rPr>
        <w:t xml:space="preserve"> </w:t>
      </w:r>
      <w:r w:rsidR="00CD5489">
        <w:rPr>
          <w:rFonts w:ascii="Segoe UI" w:hAnsi="Segoe UI" w:cs="Segoe UI"/>
          <w:color w:val="666666"/>
          <w:sz w:val="20"/>
          <w:szCs w:val="20"/>
        </w:rPr>
        <w:t>Combined</w:t>
      </w:r>
      <w:r w:rsidR="00DA042C">
        <w:rPr>
          <w:rFonts w:ascii="Segoe UI" w:hAnsi="Segoe UI" w:cs="Segoe UI"/>
          <w:color w:val="666666"/>
          <w:sz w:val="20"/>
          <w:szCs w:val="20"/>
        </w:rPr>
        <w:t>,</w:t>
      </w:r>
      <w:r w:rsidR="00CD5489">
        <w:rPr>
          <w:rFonts w:ascii="Segoe UI" w:hAnsi="Segoe UI" w:cs="Segoe UI"/>
          <w:color w:val="666666"/>
          <w:sz w:val="20"/>
          <w:szCs w:val="20"/>
        </w:rPr>
        <w:t xml:space="preserve"> </w:t>
      </w:r>
      <w:r w:rsidR="00F01152">
        <w:rPr>
          <w:rFonts w:ascii="Segoe UI" w:hAnsi="Segoe UI" w:cs="Segoe UI"/>
          <w:color w:val="666666"/>
          <w:sz w:val="20"/>
          <w:szCs w:val="20"/>
        </w:rPr>
        <w:t>t</w:t>
      </w:r>
      <w:r w:rsidR="00850E5B">
        <w:rPr>
          <w:rFonts w:ascii="Segoe UI" w:hAnsi="Segoe UI" w:cs="Segoe UI"/>
          <w:color w:val="666666"/>
          <w:sz w:val="20"/>
          <w:szCs w:val="20"/>
        </w:rPr>
        <w:t xml:space="preserve">hese items </w:t>
      </w:r>
      <w:r w:rsidR="0004569F">
        <w:rPr>
          <w:rFonts w:ascii="Segoe UI" w:hAnsi="Segoe UI" w:cs="Segoe UI"/>
          <w:color w:val="666666"/>
          <w:sz w:val="20"/>
          <w:szCs w:val="20"/>
        </w:rPr>
        <w:t>total</w:t>
      </w:r>
      <w:r w:rsidR="00850E5B">
        <w:rPr>
          <w:rFonts w:ascii="Segoe UI" w:hAnsi="Segoe UI" w:cs="Segoe UI"/>
          <w:color w:val="666666"/>
          <w:sz w:val="20"/>
          <w:szCs w:val="20"/>
        </w:rPr>
        <w:t>ed</w:t>
      </w:r>
      <w:r w:rsidR="00043643">
        <w:rPr>
          <w:rFonts w:ascii="Segoe UI" w:hAnsi="Segoe UI" w:cs="Segoe UI"/>
          <w:color w:val="666666"/>
          <w:sz w:val="20"/>
          <w:szCs w:val="20"/>
        </w:rPr>
        <w:t xml:space="preserve"> </w:t>
      </w:r>
      <w:r w:rsidR="0004569F">
        <w:rPr>
          <w:rFonts w:ascii="Segoe UI" w:hAnsi="Segoe UI" w:cs="Segoe UI"/>
          <w:color w:val="666666"/>
          <w:sz w:val="20"/>
          <w:szCs w:val="20"/>
        </w:rPr>
        <w:t>$8.</w:t>
      </w:r>
      <w:r w:rsidR="00043643">
        <w:rPr>
          <w:rFonts w:ascii="Segoe UI" w:hAnsi="Segoe UI" w:cs="Segoe UI"/>
          <w:color w:val="666666"/>
          <w:sz w:val="20"/>
          <w:szCs w:val="20"/>
        </w:rPr>
        <w:t xml:space="preserve">4 </w:t>
      </w:r>
      <w:r w:rsidR="0004569F">
        <w:rPr>
          <w:rFonts w:ascii="Segoe UI" w:hAnsi="Segoe UI" w:cs="Segoe UI"/>
          <w:color w:val="666666"/>
          <w:sz w:val="20"/>
          <w:szCs w:val="20"/>
        </w:rPr>
        <w:t>billion or</w:t>
      </w:r>
      <w:r w:rsidRPr="00CF6CE0">
        <w:rPr>
          <w:rFonts w:ascii="Segoe UI" w:hAnsi="Segoe UI" w:cs="Segoe UI"/>
          <w:color w:val="666666"/>
          <w:sz w:val="20"/>
          <w:szCs w:val="20"/>
        </w:rPr>
        <w:t xml:space="preserve"> a </w:t>
      </w:r>
      <w:r w:rsidR="00705424" w:rsidRPr="00CF6CE0">
        <w:rPr>
          <w:rFonts w:ascii="Segoe UI" w:hAnsi="Segoe UI" w:cs="Segoe UI"/>
          <w:color w:val="666666"/>
          <w:sz w:val="20"/>
          <w:szCs w:val="20"/>
        </w:rPr>
        <w:t>$</w:t>
      </w:r>
      <w:r w:rsidR="00B77785" w:rsidRPr="00A879FA">
        <w:rPr>
          <w:rFonts w:ascii="Segoe UI" w:hAnsi="Segoe UI" w:cs="Segoe UI"/>
          <w:color w:val="666666"/>
          <w:sz w:val="20"/>
          <w:szCs w:val="20"/>
        </w:rPr>
        <w:t>1.</w:t>
      </w:r>
      <w:r w:rsidR="005770A7" w:rsidRPr="00A879FA">
        <w:rPr>
          <w:rFonts w:ascii="Segoe UI" w:hAnsi="Segoe UI" w:cs="Segoe UI"/>
          <w:color w:val="666666"/>
          <w:sz w:val="20"/>
          <w:szCs w:val="20"/>
        </w:rPr>
        <w:t>02</w:t>
      </w:r>
      <w:r w:rsidR="005770A7" w:rsidRPr="00A57215">
        <w:rPr>
          <w:rFonts w:ascii="Segoe UI" w:hAnsi="Segoe UI" w:cs="Segoe UI"/>
          <w:color w:val="666666"/>
          <w:sz w:val="20"/>
          <w:szCs w:val="20"/>
        </w:rPr>
        <w:t xml:space="preserve"> </w:t>
      </w:r>
      <w:r w:rsidR="0004569F">
        <w:rPr>
          <w:rFonts w:ascii="Segoe UI" w:hAnsi="Segoe UI" w:cs="Segoe UI"/>
          <w:color w:val="666666"/>
          <w:sz w:val="20"/>
          <w:szCs w:val="20"/>
        </w:rPr>
        <w:t>per share negative impact</w:t>
      </w:r>
      <w:r w:rsidR="00827BF7">
        <w:rPr>
          <w:rFonts w:ascii="Segoe UI" w:hAnsi="Segoe UI" w:cs="Segoe UI"/>
          <w:color w:val="666666"/>
          <w:sz w:val="20"/>
          <w:szCs w:val="20"/>
        </w:rPr>
        <w:t xml:space="preserve">.  </w:t>
      </w:r>
      <w:r w:rsidR="00DF229E">
        <w:rPr>
          <w:rFonts w:ascii="Segoe UI" w:hAnsi="Segoe UI" w:cs="Segoe UI"/>
          <w:color w:val="666666"/>
          <w:sz w:val="20"/>
          <w:szCs w:val="20"/>
        </w:rPr>
        <w:t>E</w:t>
      </w:r>
      <w:r w:rsidR="0004569F">
        <w:rPr>
          <w:rFonts w:ascii="Segoe UI" w:hAnsi="Segoe UI" w:cs="Segoe UI"/>
          <w:color w:val="666666"/>
          <w:sz w:val="20"/>
          <w:szCs w:val="20"/>
        </w:rPr>
        <w:t>xcluding this impact</w:t>
      </w:r>
      <w:r w:rsidR="00827BF7">
        <w:rPr>
          <w:rFonts w:ascii="Segoe UI" w:hAnsi="Segoe UI" w:cs="Segoe UI"/>
          <w:color w:val="666666"/>
          <w:sz w:val="20"/>
          <w:szCs w:val="20"/>
        </w:rPr>
        <w:t xml:space="preserve">, </w:t>
      </w:r>
      <w:r w:rsidR="007E6055">
        <w:rPr>
          <w:rFonts w:ascii="Segoe UI" w:hAnsi="Segoe UI" w:cs="Segoe UI"/>
          <w:color w:val="666666"/>
          <w:sz w:val="20"/>
          <w:szCs w:val="20"/>
        </w:rPr>
        <w:t>operating income</w:t>
      </w:r>
      <w:r w:rsidR="00DF229E">
        <w:rPr>
          <w:rFonts w:ascii="Segoe UI" w:hAnsi="Segoe UI" w:cs="Segoe UI"/>
          <w:color w:val="666666"/>
          <w:sz w:val="20"/>
          <w:szCs w:val="20"/>
        </w:rPr>
        <w:t xml:space="preserve"> and EPS</w:t>
      </w:r>
      <w:r w:rsidR="007E6055">
        <w:rPr>
          <w:rFonts w:ascii="Segoe UI" w:hAnsi="Segoe UI" w:cs="Segoe UI"/>
          <w:color w:val="666666"/>
          <w:sz w:val="20"/>
          <w:szCs w:val="20"/>
        </w:rPr>
        <w:t xml:space="preserve"> </w:t>
      </w:r>
      <w:r w:rsidR="00DF229E">
        <w:rPr>
          <w:rFonts w:ascii="Segoe UI" w:hAnsi="Segoe UI" w:cs="Segoe UI"/>
          <w:color w:val="666666"/>
          <w:sz w:val="20"/>
          <w:szCs w:val="20"/>
        </w:rPr>
        <w:t>would have been</w:t>
      </w:r>
      <w:r w:rsidR="007E6055">
        <w:rPr>
          <w:rFonts w:ascii="Segoe UI" w:hAnsi="Segoe UI" w:cs="Segoe UI"/>
          <w:color w:val="666666"/>
          <w:sz w:val="20"/>
          <w:szCs w:val="20"/>
        </w:rPr>
        <w:t xml:space="preserve"> $6.4 billion and $0.</w:t>
      </w:r>
      <w:r w:rsidR="008D5103">
        <w:rPr>
          <w:rFonts w:ascii="Segoe UI" w:hAnsi="Segoe UI" w:cs="Segoe UI"/>
          <w:color w:val="666666"/>
          <w:sz w:val="20"/>
          <w:szCs w:val="20"/>
        </w:rPr>
        <w:t>62</w:t>
      </w:r>
      <w:r w:rsidR="00DF229E">
        <w:rPr>
          <w:rFonts w:ascii="Segoe UI" w:hAnsi="Segoe UI" w:cs="Segoe UI"/>
          <w:color w:val="666666"/>
          <w:sz w:val="20"/>
          <w:szCs w:val="20"/>
        </w:rPr>
        <w:t>, respectively</w:t>
      </w:r>
      <w:r w:rsidR="005969EE">
        <w:rPr>
          <w:rFonts w:ascii="Segoe UI" w:hAnsi="Segoe UI" w:cs="Segoe UI"/>
          <w:color w:val="666666"/>
          <w:sz w:val="20"/>
          <w:szCs w:val="20"/>
        </w:rPr>
        <w:t>.</w:t>
      </w:r>
    </w:p>
    <w:p w14:paraId="340C2D75" w14:textId="77777777" w:rsidR="00B25AB2" w:rsidRDefault="00714AE8" w:rsidP="00B25AB2">
      <w:pPr>
        <w:spacing w:line="280" w:lineRule="exact"/>
        <w:rPr>
          <w:rFonts w:ascii="Segoe UI" w:hAnsi="Segoe UI" w:cs="Segoe UI"/>
          <w:color w:val="666666"/>
          <w:sz w:val="20"/>
          <w:szCs w:val="20"/>
        </w:rPr>
      </w:pPr>
      <w:r>
        <w:rPr>
          <w:rFonts w:ascii="Segoe UI" w:hAnsi="Segoe UI" w:cs="Segoe UI"/>
          <w:color w:val="666666"/>
          <w:sz w:val="20"/>
          <w:szCs w:val="20"/>
        </w:rPr>
        <w:t xml:space="preserve">During the quarter, Microsoft </w:t>
      </w:r>
      <w:r w:rsidRPr="00CF6CE0">
        <w:rPr>
          <w:rFonts w:ascii="Segoe UI" w:hAnsi="Segoe UI" w:cs="Segoe UI"/>
          <w:color w:val="666666"/>
          <w:sz w:val="20"/>
          <w:szCs w:val="20"/>
        </w:rPr>
        <w:t xml:space="preserve">returned </w:t>
      </w:r>
      <w:r w:rsidR="00C95CE3" w:rsidRPr="002D1127">
        <w:rPr>
          <w:rFonts w:ascii="Segoe UI" w:hAnsi="Segoe UI" w:cs="Segoe UI"/>
          <w:color w:val="666666"/>
          <w:sz w:val="20"/>
          <w:szCs w:val="20"/>
        </w:rPr>
        <w:t>$</w:t>
      </w:r>
      <w:r w:rsidR="009E6DB9" w:rsidRPr="00A57215">
        <w:rPr>
          <w:rFonts w:ascii="Segoe UI" w:hAnsi="Segoe UI" w:cs="Segoe UI"/>
          <w:color w:val="666666"/>
          <w:sz w:val="20"/>
          <w:szCs w:val="20"/>
        </w:rPr>
        <w:t>6.7</w:t>
      </w:r>
      <w:r w:rsidRPr="00A57215">
        <w:rPr>
          <w:rFonts w:ascii="Segoe UI" w:hAnsi="Segoe UI" w:cs="Segoe UI"/>
          <w:color w:val="666666"/>
          <w:sz w:val="20"/>
          <w:szCs w:val="20"/>
        </w:rPr>
        <w:t xml:space="preserve"> </w:t>
      </w:r>
      <w:r w:rsidRPr="00CF6CE0">
        <w:rPr>
          <w:rFonts w:ascii="Segoe UI" w:hAnsi="Segoe UI" w:cs="Segoe UI"/>
          <w:color w:val="666666"/>
          <w:sz w:val="20"/>
          <w:szCs w:val="20"/>
        </w:rPr>
        <w:t xml:space="preserve">billion </w:t>
      </w:r>
      <w:r>
        <w:rPr>
          <w:rFonts w:ascii="Segoe UI" w:hAnsi="Segoe UI" w:cs="Segoe UI"/>
          <w:color w:val="666666"/>
          <w:sz w:val="20"/>
          <w:szCs w:val="20"/>
        </w:rPr>
        <w:t xml:space="preserve">to shareholders in the form of share repurchases and </w:t>
      </w:r>
      <w:r w:rsidR="00C95CE3">
        <w:rPr>
          <w:rFonts w:ascii="Segoe UI" w:hAnsi="Segoe UI" w:cs="Segoe UI"/>
          <w:color w:val="666666"/>
          <w:sz w:val="20"/>
          <w:szCs w:val="20"/>
        </w:rPr>
        <w:t>d</w:t>
      </w:r>
      <w:r>
        <w:rPr>
          <w:rFonts w:ascii="Segoe UI" w:hAnsi="Segoe UI" w:cs="Segoe UI"/>
          <w:color w:val="666666"/>
          <w:sz w:val="20"/>
          <w:szCs w:val="20"/>
        </w:rPr>
        <w:t xml:space="preserve">ividends.  </w:t>
      </w:r>
      <w:r w:rsidR="00B25AB2">
        <w:rPr>
          <w:rFonts w:ascii="Segoe UI" w:hAnsi="Segoe UI" w:cs="Segoe UI"/>
          <w:color w:val="666666"/>
          <w:sz w:val="20"/>
          <w:szCs w:val="20"/>
        </w:rPr>
        <w:t xml:space="preserve">  </w:t>
      </w:r>
    </w:p>
    <w:p w14:paraId="5238C0A9" w14:textId="77777777" w:rsidR="004E3A1F" w:rsidRDefault="004E3A1F" w:rsidP="004E3A1F">
      <w:pPr>
        <w:spacing w:line="280" w:lineRule="exact"/>
        <w:rPr>
          <w:rFonts w:ascii="Segoe UI" w:eastAsiaTheme="minorHAnsi" w:hAnsi="Segoe UI" w:cs="Segoe UI"/>
          <w:color w:val="666666"/>
          <w:sz w:val="20"/>
          <w:szCs w:val="20"/>
        </w:rPr>
      </w:pPr>
      <w:r>
        <w:rPr>
          <w:rFonts w:ascii="Segoe UI" w:hAnsi="Segoe UI" w:cs="Segoe UI"/>
          <w:color w:val="666666"/>
          <w:sz w:val="20"/>
          <w:szCs w:val="20"/>
        </w:rPr>
        <w:t xml:space="preserve">The following table reconciles these financial results reported in accordance with generally accepted accounting principles (“GAAP”) to Non-GAAP financial results. </w:t>
      </w:r>
      <w:r w:rsidR="00DF229E">
        <w:rPr>
          <w:rFonts w:ascii="Segoe UI" w:hAnsi="Segoe UI" w:cs="Segoe UI"/>
          <w:color w:val="666666"/>
          <w:sz w:val="20"/>
          <w:szCs w:val="20"/>
        </w:rPr>
        <w:t>Microsoft has</w:t>
      </w:r>
      <w:r>
        <w:rPr>
          <w:rFonts w:ascii="Segoe UI" w:hAnsi="Segoe UI" w:cs="Segoe UI"/>
          <w:color w:val="666666"/>
          <w:sz w:val="20"/>
          <w:szCs w:val="20"/>
        </w:rPr>
        <w:t xml:space="preserve"> provided this Non-GAAP financial information to aid investors in better understanding the company’s performance. All growth comparisons relate to the corresponding period in the last fiscal year.</w:t>
      </w:r>
    </w:p>
    <w:tbl>
      <w:tblPr>
        <w:tblW w:w="5000" w:type="pct"/>
        <w:tblLook w:val="04A0" w:firstRow="1" w:lastRow="0" w:firstColumn="1" w:lastColumn="0" w:noHBand="0" w:noVBand="1"/>
      </w:tblPr>
      <w:tblGrid>
        <w:gridCol w:w="4184"/>
        <w:gridCol w:w="195"/>
        <w:gridCol w:w="1245"/>
        <w:gridCol w:w="1245"/>
        <w:gridCol w:w="1245"/>
        <w:gridCol w:w="1051"/>
        <w:gridCol w:w="195"/>
      </w:tblGrid>
      <w:tr w:rsidR="00614463" w:rsidRPr="00CD4005" w14:paraId="3757E2B7" w14:textId="77777777" w:rsidTr="001D5067">
        <w:trPr>
          <w:gridAfter w:val="1"/>
          <w:wAfter w:w="180" w:type="dxa"/>
          <w:trHeight w:val="340"/>
        </w:trPr>
        <w:tc>
          <w:tcPr>
            <w:tcW w:w="3870" w:type="dxa"/>
            <w:tcBorders>
              <w:top w:val="nil"/>
              <w:left w:val="nil"/>
              <w:bottom w:val="single" w:sz="8" w:space="0" w:color="auto"/>
              <w:right w:val="nil"/>
            </w:tcBorders>
            <w:vAlign w:val="center"/>
          </w:tcPr>
          <w:p w14:paraId="66440775" w14:textId="77777777" w:rsidR="00614463" w:rsidRPr="00CD4005" w:rsidRDefault="00614463" w:rsidP="004F610E">
            <w:pPr>
              <w:spacing w:after="0" w:line="240" w:lineRule="auto"/>
              <w:rPr>
                <w:rFonts w:ascii="Segoe UI" w:eastAsia="Times New Roman" w:hAnsi="Segoe UI" w:cs="Segoe UI"/>
                <w:color w:val="666666"/>
                <w:sz w:val="16"/>
                <w:szCs w:val="16"/>
              </w:rPr>
            </w:pPr>
          </w:p>
        </w:tc>
        <w:tc>
          <w:tcPr>
            <w:tcW w:w="4608" w:type="dxa"/>
            <w:gridSpan w:val="5"/>
            <w:tcBorders>
              <w:top w:val="nil"/>
              <w:left w:val="nil"/>
              <w:bottom w:val="single" w:sz="8" w:space="0" w:color="auto"/>
              <w:right w:val="nil"/>
            </w:tcBorders>
          </w:tcPr>
          <w:p w14:paraId="5ADEFB34" w14:textId="77777777" w:rsidR="00614463" w:rsidRPr="00CD4005" w:rsidRDefault="00614463" w:rsidP="008E6106">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 xml:space="preserve">Three Months Ended </w:t>
            </w:r>
            <w:r w:rsidR="008E6106">
              <w:rPr>
                <w:rFonts w:ascii="Segoe UI" w:eastAsia="Times New Roman" w:hAnsi="Segoe UI" w:cs="Segoe UI"/>
                <w:b/>
                <w:bCs/>
                <w:color w:val="666666"/>
                <w:sz w:val="16"/>
                <w:szCs w:val="16"/>
              </w:rPr>
              <w:t>June 30,</w:t>
            </w:r>
          </w:p>
        </w:tc>
      </w:tr>
      <w:tr w:rsidR="000904C7" w:rsidRPr="00CD4005" w14:paraId="1BCBC467" w14:textId="77777777" w:rsidTr="001D5067">
        <w:trPr>
          <w:trHeight w:val="365"/>
        </w:trPr>
        <w:tc>
          <w:tcPr>
            <w:tcW w:w="4050" w:type="dxa"/>
            <w:gridSpan w:val="2"/>
            <w:tcBorders>
              <w:top w:val="nil"/>
              <w:left w:val="nil"/>
              <w:bottom w:val="single" w:sz="8" w:space="0" w:color="auto"/>
              <w:right w:val="nil"/>
            </w:tcBorders>
            <w:vAlign w:val="bottom"/>
            <w:hideMark/>
          </w:tcPr>
          <w:p w14:paraId="41A164BE" w14:textId="77777777" w:rsidR="000904C7" w:rsidRPr="00CD4005" w:rsidRDefault="00E46084" w:rsidP="000904C7">
            <w:pPr>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w:t>
            </w:r>
            <w:r w:rsidR="000904C7" w:rsidRPr="00CD4005">
              <w:rPr>
                <w:rFonts w:ascii="Segoe UI" w:eastAsia="Times New Roman" w:hAnsi="Segoe UI" w:cs="Segoe UI"/>
                <w:color w:val="666666"/>
                <w:sz w:val="16"/>
                <w:szCs w:val="16"/>
              </w:rPr>
              <w:t>($ in millions, except per share amounts)</w:t>
            </w:r>
          </w:p>
        </w:tc>
        <w:tc>
          <w:tcPr>
            <w:tcW w:w="1152" w:type="dxa"/>
            <w:tcBorders>
              <w:top w:val="nil"/>
              <w:left w:val="nil"/>
              <w:bottom w:val="single" w:sz="8" w:space="0" w:color="auto"/>
              <w:right w:val="nil"/>
            </w:tcBorders>
            <w:vAlign w:val="bottom"/>
          </w:tcPr>
          <w:p w14:paraId="67A293D4" w14:textId="77777777" w:rsidR="000904C7" w:rsidRPr="00CD4005" w:rsidRDefault="008E6106" w:rsidP="000904C7">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Revenue</w:t>
            </w:r>
          </w:p>
        </w:tc>
        <w:tc>
          <w:tcPr>
            <w:tcW w:w="1152" w:type="dxa"/>
            <w:tcBorders>
              <w:top w:val="nil"/>
              <w:left w:val="nil"/>
              <w:bottom w:val="single" w:sz="8" w:space="0" w:color="auto"/>
              <w:right w:val="nil"/>
            </w:tcBorders>
            <w:vAlign w:val="bottom"/>
          </w:tcPr>
          <w:p w14:paraId="630E1ECE" w14:textId="77777777" w:rsidR="000904C7" w:rsidRPr="00CD4005" w:rsidRDefault="008E6106" w:rsidP="000904C7">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Gross Margin</w:t>
            </w:r>
          </w:p>
        </w:tc>
        <w:tc>
          <w:tcPr>
            <w:tcW w:w="1152" w:type="dxa"/>
            <w:tcBorders>
              <w:top w:val="nil"/>
              <w:left w:val="nil"/>
              <w:bottom w:val="single" w:sz="8" w:space="0" w:color="auto"/>
              <w:right w:val="nil"/>
            </w:tcBorders>
            <w:vAlign w:val="bottom"/>
          </w:tcPr>
          <w:p w14:paraId="2FC0A92B" w14:textId="77777777" w:rsidR="000904C7" w:rsidRPr="00CD4005" w:rsidRDefault="008E6106" w:rsidP="008E6106">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Operating Income</w:t>
            </w:r>
            <w:r w:rsidR="002E23B2">
              <w:rPr>
                <w:rFonts w:ascii="Segoe UI" w:eastAsia="Times New Roman" w:hAnsi="Segoe UI" w:cs="Segoe UI"/>
                <w:b/>
                <w:bCs/>
                <w:color w:val="666666"/>
                <w:sz w:val="16"/>
                <w:szCs w:val="16"/>
              </w:rPr>
              <w:t xml:space="preserve"> (Loss)</w:t>
            </w:r>
          </w:p>
        </w:tc>
        <w:tc>
          <w:tcPr>
            <w:tcW w:w="1152" w:type="dxa"/>
            <w:gridSpan w:val="2"/>
            <w:tcBorders>
              <w:top w:val="nil"/>
              <w:left w:val="nil"/>
              <w:bottom w:val="single" w:sz="8" w:space="0" w:color="auto"/>
              <w:right w:val="nil"/>
            </w:tcBorders>
            <w:vAlign w:val="bottom"/>
          </w:tcPr>
          <w:p w14:paraId="0D26926B" w14:textId="77777777" w:rsidR="000904C7" w:rsidRPr="00CD4005" w:rsidRDefault="00223216" w:rsidP="000904C7">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Earnings  (Loss) per Share</w:t>
            </w:r>
          </w:p>
        </w:tc>
      </w:tr>
      <w:tr w:rsidR="000904C7" w:rsidRPr="00305CCE" w14:paraId="6F4F8332" w14:textId="77777777" w:rsidTr="001D5067">
        <w:trPr>
          <w:trHeight w:val="288"/>
        </w:trPr>
        <w:tc>
          <w:tcPr>
            <w:tcW w:w="4050" w:type="dxa"/>
            <w:gridSpan w:val="2"/>
            <w:tcBorders>
              <w:top w:val="nil"/>
              <w:left w:val="nil"/>
              <w:bottom w:val="single" w:sz="4" w:space="0" w:color="auto"/>
              <w:right w:val="nil"/>
            </w:tcBorders>
            <w:noWrap/>
            <w:vAlign w:val="center"/>
          </w:tcPr>
          <w:p w14:paraId="733A595D" w14:textId="77777777" w:rsidR="000904C7" w:rsidRDefault="008E6106" w:rsidP="000904C7">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2014 As Reported (GAAP)</w:t>
            </w:r>
          </w:p>
        </w:tc>
        <w:tc>
          <w:tcPr>
            <w:tcW w:w="1152" w:type="dxa"/>
            <w:tcBorders>
              <w:top w:val="nil"/>
              <w:left w:val="nil"/>
              <w:bottom w:val="single" w:sz="4" w:space="0" w:color="auto"/>
              <w:right w:val="nil"/>
            </w:tcBorders>
            <w:vAlign w:val="center"/>
          </w:tcPr>
          <w:p w14:paraId="20833C99" w14:textId="77777777" w:rsidR="000904C7" w:rsidRPr="00305CCE" w:rsidRDefault="000904C7" w:rsidP="0067133E">
            <w:pPr>
              <w:spacing w:after="0" w:line="240" w:lineRule="auto"/>
              <w:ind w:firstLine="82"/>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666666"/>
                <w:sz w:val="16"/>
                <w:szCs w:val="16"/>
              </w:rPr>
              <w:t>$</w:t>
            </w:r>
            <w:r w:rsidR="0067133E">
              <w:rPr>
                <w:rFonts w:ascii="Segoe UI" w:eastAsia="Times New Roman" w:hAnsi="Segoe UI" w:cs="Segoe UI"/>
                <w:b/>
                <w:bCs/>
                <w:color w:val="666666"/>
                <w:sz w:val="16"/>
                <w:szCs w:val="16"/>
              </w:rPr>
              <w:t>23,382</w:t>
            </w:r>
          </w:p>
        </w:tc>
        <w:tc>
          <w:tcPr>
            <w:tcW w:w="1152" w:type="dxa"/>
            <w:tcBorders>
              <w:top w:val="nil"/>
              <w:left w:val="nil"/>
              <w:bottom w:val="single" w:sz="4" w:space="0" w:color="auto"/>
              <w:right w:val="nil"/>
            </w:tcBorders>
            <w:vAlign w:val="center"/>
          </w:tcPr>
          <w:p w14:paraId="65B87E24" w14:textId="77777777" w:rsidR="000904C7" w:rsidRPr="00305CCE" w:rsidRDefault="0067133E" w:rsidP="000462D2">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$15,</w:t>
            </w:r>
            <w:r w:rsidR="000462D2">
              <w:rPr>
                <w:rFonts w:ascii="Segoe UI" w:eastAsia="Times New Roman" w:hAnsi="Segoe UI" w:cs="Segoe UI"/>
                <w:b/>
                <w:bCs/>
                <w:color w:val="595959" w:themeColor="text1" w:themeTint="A6"/>
                <w:sz w:val="16"/>
                <w:szCs w:val="16"/>
              </w:rPr>
              <w:t>749</w:t>
            </w:r>
          </w:p>
        </w:tc>
        <w:tc>
          <w:tcPr>
            <w:tcW w:w="1152" w:type="dxa"/>
            <w:tcBorders>
              <w:top w:val="nil"/>
              <w:left w:val="nil"/>
              <w:bottom w:val="single" w:sz="4" w:space="0" w:color="auto"/>
              <w:right w:val="nil"/>
            </w:tcBorders>
            <w:vAlign w:val="center"/>
          </w:tcPr>
          <w:p w14:paraId="71CC0CA2" w14:textId="77777777" w:rsidR="000904C7" w:rsidRPr="00305CCE" w:rsidRDefault="002865EB" w:rsidP="000904C7">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$6,482</w:t>
            </w:r>
          </w:p>
        </w:tc>
        <w:tc>
          <w:tcPr>
            <w:tcW w:w="1152" w:type="dxa"/>
            <w:gridSpan w:val="2"/>
            <w:tcBorders>
              <w:top w:val="nil"/>
              <w:left w:val="nil"/>
              <w:bottom w:val="single" w:sz="4" w:space="0" w:color="auto"/>
              <w:right w:val="nil"/>
            </w:tcBorders>
            <w:vAlign w:val="center"/>
          </w:tcPr>
          <w:p w14:paraId="3C0D8FB9" w14:textId="77777777" w:rsidR="000904C7" w:rsidRDefault="002865EB" w:rsidP="000904C7">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$0.55</w:t>
            </w:r>
          </w:p>
        </w:tc>
      </w:tr>
      <w:tr w:rsidR="000904C7" w:rsidRPr="00305CCE" w14:paraId="16A8598D" w14:textId="77777777" w:rsidTr="001D5067">
        <w:trPr>
          <w:trHeight w:val="288"/>
        </w:trPr>
        <w:tc>
          <w:tcPr>
            <w:tcW w:w="4050" w:type="dxa"/>
            <w:gridSpan w:val="2"/>
            <w:tcBorders>
              <w:top w:val="nil"/>
              <w:left w:val="nil"/>
              <w:bottom w:val="single" w:sz="4" w:space="0" w:color="auto"/>
              <w:right w:val="nil"/>
            </w:tcBorders>
            <w:noWrap/>
            <w:vAlign w:val="center"/>
          </w:tcPr>
          <w:p w14:paraId="586910F2" w14:textId="5F8DBFCC" w:rsidR="000904C7" w:rsidRPr="008E6106" w:rsidRDefault="0067133E" w:rsidP="00066D3A">
            <w:pPr>
              <w:spacing w:after="0" w:line="240" w:lineRule="auto"/>
              <w:rPr>
                <w:rFonts w:ascii="Segoe UI" w:eastAsia="Times New Roman" w:hAnsi="Segoe UI" w:cs="Segoe UI"/>
                <w:bCs/>
                <w:color w:val="666666"/>
                <w:sz w:val="16"/>
                <w:szCs w:val="16"/>
              </w:rPr>
            </w:pPr>
            <w:r>
              <w:rPr>
                <w:rFonts w:ascii="Segoe UI" w:eastAsia="Times New Roman" w:hAnsi="Segoe UI" w:cs="Segoe UI"/>
                <w:bCs/>
                <w:color w:val="666666"/>
                <w:sz w:val="16"/>
                <w:szCs w:val="16"/>
              </w:rPr>
              <w:t xml:space="preserve">  </w:t>
            </w:r>
            <w:r w:rsidR="002E23B2">
              <w:rPr>
                <w:rFonts w:ascii="Segoe UI" w:eastAsia="Times New Roman" w:hAnsi="Segoe UI" w:cs="Segoe UI"/>
                <w:bCs/>
                <w:color w:val="666666"/>
                <w:sz w:val="16"/>
                <w:szCs w:val="16"/>
              </w:rPr>
              <w:t>Impairment, I</w:t>
            </w:r>
            <w:r w:rsidR="008E6106">
              <w:rPr>
                <w:rFonts w:ascii="Segoe UI" w:eastAsia="Times New Roman" w:hAnsi="Segoe UI" w:cs="Segoe UI"/>
                <w:bCs/>
                <w:color w:val="666666"/>
                <w:sz w:val="16"/>
                <w:szCs w:val="16"/>
              </w:rPr>
              <w:t>ntegration</w:t>
            </w:r>
            <w:r w:rsidR="00146582">
              <w:rPr>
                <w:rFonts w:ascii="Segoe UI" w:eastAsia="Times New Roman" w:hAnsi="Segoe UI" w:cs="Segoe UI"/>
                <w:bCs/>
                <w:color w:val="666666"/>
                <w:sz w:val="16"/>
                <w:szCs w:val="16"/>
              </w:rPr>
              <w:t>,</w:t>
            </w:r>
            <w:r w:rsidR="008E6106">
              <w:rPr>
                <w:rFonts w:ascii="Segoe UI" w:eastAsia="Times New Roman" w:hAnsi="Segoe UI" w:cs="Segoe UI"/>
                <w:bCs/>
                <w:color w:val="666666"/>
                <w:sz w:val="16"/>
                <w:szCs w:val="16"/>
              </w:rPr>
              <w:t xml:space="preserve"> and Restructuring Charges</w:t>
            </w:r>
          </w:p>
        </w:tc>
        <w:tc>
          <w:tcPr>
            <w:tcW w:w="1152" w:type="dxa"/>
            <w:tcBorders>
              <w:top w:val="nil"/>
              <w:left w:val="nil"/>
              <w:bottom w:val="single" w:sz="4" w:space="0" w:color="auto"/>
              <w:right w:val="nil"/>
            </w:tcBorders>
            <w:vAlign w:val="center"/>
          </w:tcPr>
          <w:p w14:paraId="51BBF073" w14:textId="7153BB96" w:rsidR="000904C7" w:rsidRPr="002865EB" w:rsidRDefault="00146582" w:rsidP="000904C7">
            <w:pPr>
              <w:spacing w:after="0" w:line="240" w:lineRule="auto"/>
              <w:jc w:val="right"/>
              <w:rPr>
                <w:rFonts w:ascii="Segoe UI" w:eastAsia="Times New Roman" w:hAnsi="Segoe UI" w:cs="Segoe UI"/>
                <w:bCs/>
                <w:color w:val="595959" w:themeColor="text1" w:themeTint="A6"/>
                <w:sz w:val="16"/>
                <w:szCs w:val="16"/>
              </w:rPr>
            </w:pPr>
            <w:r w:rsidRPr="00305CCE">
              <w:rPr>
                <w:rFonts w:ascii="Segoe UI" w:eastAsia="Times New Roman" w:hAnsi="Segoe UI" w:cs="Segoe UI"/>
                <w:b/>
                <w:bCs/>
                <w:color w:val="595959" w:themeColor="text1" w:themeTint="A6"/>
                <w:sz w:val="16"/>
                <w:szCs w:val="16"/>
              </w:rPr>
              <w:t>-</w:t>
            </w:r>
          </w:p>
        </w:tc>
        <w:tc>
          <w:tcPr>
            <w:tcW w:w="1152" w:type="dxa"/>
            <w:tcBorders>
              <w:top w:val="nil"/>
              <w:left w:val="nil"/>
              <w:bottom w:val="single" w:sz="4" w:space="0" w:color="auto"/>
              <w:right w:val="nil"/>
            </w:tcBorders>
            <w:vAlign w:val="center"/>
          </w:tcPr>
          <w:p w14:paraId="32045221" w14:textId="32D71B51" w:rsidR="000904C7" w:rsidRPr="002865EB" w:rsidRDefault="00146582" w:rsidP="000904C7">
            <w:pPr>
              <w:spacing w:after="0" w:line="240" w:lineRule="auto"/>
              <w:jc w:val="right"/>
              <w:rPr>
                <w:rFonts w:ascii="Segoe UI" w:eastAsia="Times New Roman" w:hAnsi="Segoe UI" w:cs="Segoe UI"/>
                <w:bCs/>
                <w:color w:val="595959" w:themeColor="text1" w:themeTint="A6"/>
                <w:sz w:val="16"/>
                <w:szCs w:val="16"/>
              </w:rPr>
            </w:pPr>
            <w:r w:rsidRPr="00305CCE">
              <w:rPr>
                <w:rFonts w:ascii="Segoe UI" w:eastAsia="Times New Roman" w:hAnsi="Segoe UI" w:cs="Segoe UI"/>
                <w:b/>
                <w:bCs/>
                <w:color w:val="595959" w:themeColor="text1" w:themeTint="A6"/>
                <w:sz w:val="16"/>
                <w:szCs w:val="16"/>
              </w:rPr>
              <w:t>-</w:t>
            </w:r>
          </w:p>
        </w:tc>
        <w:tc>
          <w:tcPr>
            <w:tcW w:w="1152" w:type="dxa"/>
            <w:tcBorders>
              <w:top w:val="nil"/>
              <w:left w:val="nil"/>
              <w:bottom w:val="single" w:sz="4" w:space="0" w:color="auto"/>
              <w:right w:val="nil"/>
            </w:tcBorders>
            <w:vAlign w:val="center"/>
          </w:tcPr>
          <w:p w14:paraId="6ACF9A78" w14:textId="77777777" w:rsidR="000904C7" w:rsidRPr="002865EB" w:rsidRDefault="002865EB" w:rsidP="000904C7">
            <w:pPr>
              <w:spacing w:after="0" w:line="240" w:lineRule="auto"/>
              <w:jc w:val="right"/>
              <w:rPr>
                <w:rFonts w:ascii="Segoe UI" w:eastAsia="Times New Roman" w:hAnsi="Segoe UI" w:cs="Segoe UI"/>
                <w:bCs/>
                <w:color w:val="595959" w:themeColor="text1" w:themeTint="A6"/>
                <w:sz w:val="16"/>
                <w:szCs w:val="16"/>
              </w:rPr>
            </w:pPr>
            <w:r w:rsidRPr="002865EB">
              <w:rPr>
                <w:rFonts w:ascii="Segoe UI" w:eastAsia="Times New Roman" w:hAnsi="Segoe UI" w:cs="Segoe UI"/>
                <w:bCs/>
                <w:color w:val="595959" w:themeColor="text1" w:themeTint="A6"/>
                <w:sz w:val="16"/>
                <w:szCs w:val="16"/>
              </w:rPr>
              <w:t>127</w:t>
            </w:r>
          </w:p>
        </w:tc>
        <w:tc>
          <w:tcPr>
            <w:tcW w:w="1152" w:type="dxa"/>
            <w:gridSpan w:val="2"/>
            <w:tcBorders>
              <w:top w:val="nil"/>
              <w:left w:val="nil"/>
              <w:bottom w:val="single" w:sz="4" w:space="0" w:color="auto"/>
              <w:right w:val="nil"/>
            </w:tcBorders>
            <w:vAlign w:val="center"/>
          </w:tcPr>
          <w:p w14:paraId="3965EFAC" w14:textId="77777777" w:rsidR="000904C7" w:rsidRPr="002865EB" w:rsidRDefault="002865EB">
            <w:pPr>
              <w:spacing w:after="0" w:line="240" w:lineRule="auto"/>
              <w:jc w:val="right"/>
              <w:rPr>
                <w:rFonts w:ascii="Segoe UI" w:eastAsia="Times New Roman" w:hAnsi="Segoe UI" w:cs="Segoe UI"/>
                <w:bCs/>
                <w:color w:val="595959" w:themeColor="text1" w:themeTint="A6"/>
                <w:sz w:val="16"/>
                <w:szCs w:val="16"/>
              </w:rPr>
            </w:pPr>
            <w:r w:rsidRPr="002865EB">
              <w:rPr>
                <w:rFonts w:ascii="Segoe UI" w:eastAsia="Times New Roman" w:hAnsi="Segoe UI" w:cs="Segoe UI"/>
                <w:bCs/>
                <w:color w:val="595959" w:themeColor="text1" w:themeTint="A6"/>
                <w:sz w:val="16"/>
                <w:szCs w:val="16"/>
              </w:rPr>
              <w:t>0.</w:t>
            </w:r>
            <w:r w:rsidR="000462D2" w:rsidRPr="002865EB">
              <w:rPr>
                <w:rFonts w:ascii="Segoe UI" w:eastAsia="Times New Roman" w:hAnsi="Segoe UI" w:cs="Segoe UI"/>
                <w:bCs/>
                <w:color w:val="595959" w:themeColor="text1" w:themeTint="A6"/>
                <w:sz w:val="16"/>
                <w:szCs w:val="16"/>
              </w:rPr>
              <w:t>0</w:t>
            </w:r>
            <w:r w:rsidR="004A2162">
              <w:rPr>
                <w:rFonts w:ascii="Segoe UI" w:eastAsia="Times New Roman" w:hAnsi="Segoe UI" w:cs="Segoe UI"/>
                <w:bCs/>
                <w:color w:val="595959" w:themeColor="text1" w:themeTint="A6"/>
                <w:sz w:val="16"/>
                <w:szCs w:val="16"/>
              </w:rPr>
              <w:t>1</w:t>
            </w:r>
          </w:p>
        </w:tc>
      </w:tr>
      <w:tr w:rsidR="00E05173" w:rsidRPr="00305CCE" w14:paraId="6A368637" w14:textId="77777777" w:rsidTr="001D5067">
        <w:trPr>
          <w:trHeight w:val="288"/>
        </w:trPr>
        <w:tc>
          <w:tcPr>
            <w:tcW w:w="4050" w:type="dxa"/>
            <w:gridSpan w:val="2"/>
            <w:tcBorders>
              <w:top w:val="nil"/>
              <w:left w:val="nil"/>
              <w:bottom w:val="single" w:sz="4" w:space="0" w:color="auto"/>
              <w:right w:val="nil"/>
            </w:tcBorders>
            <w:noWrap/>
            <w:vAlign w:val="center"/>
          </w:tcPr>
          <w:p w14:paraId="53803550" w14:textId="77777777" w:rsidR="00E05173" w:rsidRPr="004464FA" w:rsidRDefault="00E05173" w:rsidP="00E05173">
            <w:pPr>
              <w:spacing w:after="0" w:line="240" w:lineRule="auto"/>
              <w:rPr>
                <w:rFonts w:ascii="Segoe UI" w:eastAsia="Times New Roman" w:hAnsi="Segoe UI" w:cs="Segoe UI"/>
                <w:b/>
                <w:bCs/>
                <w:color w:val="666666"/>
                <w:sz w:val="16"/>
                <w:szCs w:val="16"/>
              </w:rPr>
            </w:pPr>
            <w:r w:rsidRPr="004464FA">
              <w:rPr>
                <w:rFonts w:ascii="Segoe UI" w:eastAsia="Times New Roman" w:hAnsi="Segoe UI" w:cs="Segoe UI"/>
                <w:b/>
                <w:bCs/>
                <w:color w:val="666666"/>
                <w:sz w:val="16"/>
                <w:szCs w:val="16"/>
              </w:rPr>
              <w:t>2014 As Adjusted (Non-GAAP)</w:t>
            </w:r>
          </w:p>
        </w:tc>
        <w:tc>
          <w:tcPr>
            <w:tcW w:w="1152" w:type="dxa"/>
            <w:tcBorders>
              <w:top w:val="nil"/>
              <w:left w:val="nil"/>
              <w:bottom w:val="single" w:sz="4" w:space="0" w:color="auto"/>
              <w:right w:val="nil"/>
            </w:tcBorders>
            <w:vAlign w:val="center"/>
          </w:tcPr>
          <w:p w14:paraId="788A15A7" w14:textId="77777777" w:rsidR="00E05173" w:rsidRDefault="002D5198">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E05173">
              <w:rPr>
                <w:rFonts w:ascii="Segoe UI" w:eastAsia="Times New Roman" w:hAnsi="Segoe UI" w:cs="Segoe UI"/>
                <w:b/>
                <w:bCs/>
                <w:color w:val="666666"/>
                <w:sz w:val="16"/>
                <w:szCs w:val="16"/>
              </w:rPr>
              <w:t>23</w:t>
            </w:r>
            <w:r w:rsidR="004A2162">
              <w:rPr>
                <w:rFonts w:ascii="Segoe UI" w:eastAsia="Times New Roman" w:hAnsi="Segoe UI" w:cs="Segoe UI"/>
                <w:b/>
                <w:bCs/>
                <w:color w:val="666666"/>
                <w:sz w:val="16"/>
                <w:szCs w:val="16"/>
              </w:rPr>
              <w:t>,382</w:t>
            </w:r>
          </w:p>
        </w:tc>
        <w:tc>
          <w:tcPr>
            <w:tcW w:w="1152" w:type="dxa"/>
            <w:tcBorders>
              <w:top w:val="nil"/>
              <w:left w:val="nil"/>
              <w:bottom w:val="single" w:sz="4" w:space="0" w:color="auto"/>
              <w:right w:val="nil"/>
            </w:tcBorders>
            <w:vAlign w:val="center"/>
          </w:tcPr>
          <w:p w14:paraId="646D8E78" w14:textId="77777777" w:rsidR="00E05173" w:rsidRDefault="00E05173" w:rsidP="00E05173">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w:t>
            </w:r>
            <w:r w:rsidR="00C764F2">
              <w:rPr>
                <w:rFonts w:ascii="Segoe UI" w:eastAsia="Times New Roman" w:hAnsi="Segoe UI" w:cs="Segoe UI"/>
                <w:b/>
                <w:bCs/>
                <w:color w:val="595959" w:themeColor="text1" w:themeTint="A6"/>
                <w:sz w:val="16"/>
                <w:szCs w:val="16"/>
              </w:rPr>
              <w:t>15,749</w:t>
            </w:r>
          </w:p>
        </w:tc>
        <w:tc>
          <w:tcPr>
            <w:tcW w:w="1152" w:type="dxa"/>
            <w:tcBorders>
              <w:top w:val="nil"/>
              <w:left w:val="nil"/>
              <w:bottom w:val="single" w:sz="4" w:space="0" w:color="auto"/>
              <w:right w:val="nil"/>
            </w:tcBorders>
            <w:vAlign w:val="center"/>
          </w:tcPr>
          <w:p w14:paraId="59FF7386" w14:textId="77777777" w:rsidR="00E05173" w:rsidRDefault="00E05173" w:rsidP="00CE7ED2">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w:t>
            </w:r>
            <w:r w:rsidR="00CE7ED2">
              <w:rPr>
                <w:rFonts w:ascii="Segoe UI" w:eastAsia="Times New Roman" w:hAnsi="Segoe UI" w:cs="Segoe UI"/>
                <w:b/>
                <w:bCs/>
                <w:color w:val="595959" w:themeColor="text1" w:themeTint="A6"/>
                <w:sz w:val="16"/>
                <w:szCs w:val="16"/>
              </w:rPr>
              <w:t>6</w:t>
            </w:r>
            <w:r w:rsidR="00C764F2">
              <w:rPr>
                <w:rFonts w:ascii="Segoe UI" w:eastAsia="Times New Roman" w:hAnsi="Segoe UI" w:cs="Segoe UI"/>
                <w:b/>
                <w:bCs/>
                <w:color w:val="595959" w:themeColor="text1" w:themeTint="A6"/>
                <w:sz w:val="16"/>
                <w:szCs w:val="16"/>
              </w:rPr>
              <w:t>,</w:t>
            </w:r>
            <w:r w:rsidR="004A2162">
              <w:rPr>
                <w:rFonts w:ascii="Segoe UI" w:eastAsia="Times New Roman" w:hAnsi="Segoe UI" w:cs="Segoe UI"/>
                <w:b/>
                <w:bCs/>
                <w:color w:val="595959" w:themeColor="text1" w:themeTint="A6"/>
                <w:sz w:val="16"/>
                <w:szCs w:val="16"/>
              </w:rPr>
              <w:t>609</w:t>
            </w:r>
          </w:p>
        </w:tc>
        <w:tc>
          <w:tcPr>
            <w:tcW w:w="1152" w:type="dxa"/>
            <w:gridSpan w:val="2"/>
            <w:tcBorders>
              <w:top w:val="nil"/>
              <w:left w:val="nil"/>
              <w:bottom w:val="single" w:sz="4" w:space="0" w:color="auto"/>
              <w:right w:val="nil"/>
            </w:tcBorders>
            <w:vAlign w:val="center"/>
          </w:tcPr>
          <w:p w14:paraId="37FFC508" w14:textId="77777777" w:rsidR="00E05173" w:rsidRPr="00F01152" w:rsidRDefault="00E05173" w:rsidP="00F01152">
            <w:pPr>
              <w:spacing w:after="0" w:line="240" w:lineRule="auto"/>
              <w:jc w:val="right"/>
              <w:rPr>
                <w:rFonts w:ascii="Segoe UI" w:eastAsia="Times New Roman" w:hAnsi="Segoe UI" w:cs="Segoe UI"/>
                <w:b/>
                <w:bCs/>
                <w:color w:val="595959" w:themeColor="text1" w:themeTint="A6"/>
                <w:sz w:val="16"/>
                <w:szCs w:val="16"/>
              </w:rPr>
            </w:pPr>
            <w:r w:rsidRPr="00F01152">
              <w:rPr>
                <w:rFonts w:ascii="Segoe UI" w:eastAsia="Times New Roman" w:hAnsi="Segoe UI" w:cs="Segoe UI"/>
                <w:b/>
                <w:bCs/>
                <w:color w:val="595959" w:themeColor="text1" w:themeTint="A6"/>
                <w:sz w:val="16"/>
                <w:szCs w:val="16"/>
              </w:rPr>
              <w:t>$0.</w:t>
            </w:r>
            <w:r w:rsidR="00C764F2">
              <w:rPr>
                <w:rFonts w:ascii="Segoe UI" w:eastAsia="Times New Roman" w:hAnsi="Segoe UI" w:cs="Segoe UI"/>
                <w:b/>
                <w:bCs/>
                <w:color w:val="595959" w:themeColor="text1" w:themeTint="A6"/>
                <w:sz w:val="16"/>
                <w:szCs w:val="16"/>
              </w:rPr>
              <w:t>5</w:t>
            </w:r>
            <w:r w:rsidR="004A2162">
              <w:rPr>
                <w:rFonts w:ascii="Segoe UI" w:eastAsia="Times New Roman" w:hAnsi="Segoe UI" w:cs="Segoe UI"/>
                <w:b/>
                <w:bCs/>
                <w:color w:val="595959" w:themeColor="text1" w:themeTint="A6"/>
                <w:sz w:val="16"/>
                <w:szCs w:val="16"/>
              </w:rPr>
              <w:t>6</w:t>
            </w:r>
          </w:p>
        </w:tc>
      </w:tr>
      <w:tr w:rsidR="00E05173" w:rsidRPr="00305CCE" w14:paraId="1C1AFAE7" w14:textId="77777777" w:rsidTr="001D5067">
        <w:trPr>
          <w:trHeight w:val="288"/>
        </w:trPr>
        <w:tc>
          <w:tcPr>
            <w:tcW w:w="4050" w:type="dxa"/>
            <w:gridSpan w:val="2"/>
            <w:tcBorders>
              <w:top w:val="nil"/>
              <w:left w:val="nil"/>
              <w:bottom w:val="single" w:sz="4" w:space="0" w:color="auto"/>
              <w:right w:val="nil"/>
            </w:tcBorders>
            <w:noWrap/>
            <w:vAlign w:val="center"/>
          </w:tcPr>
          <w:p w14:paraId="48C7E2AB" w14:textId="77777777" w:rsidR="00E05173" w:rsidRPr="00CD4005" w:rsidRDefault="00E05173" w:rsidP="00E05173">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2015 As Reported (GAAP)</w:t>
            </w:r>
          </w:p>
        </w:tc>
        <w:tc>
          <w:tcPr>
            <w:tcW w:w="1152" w:type="dxa"/>
            <w:tcBorders>
              <w:top w:val="nil"/>
              <w:left w:val="nil"/>
              <w:bottom w:val="single" w:sz="4" w:space="0" w:color="auto"/>
              <w:right w:val="nil"/>
            </w:tcBorders>
            <w:vAlign w:val="center"/>
          </w:tcPr>
          <w:p w14:paraId="374F892C" w14:textId="77777777" w:rsidR="00E05173" w:rsidRPr="00A879FA" w:rsidRDefault="002D5198" w:rsidP="00E05173">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E05173" w:rsidRPr="00A879FA">
              <w:rPr>
                <w:rFonts w:ascii="Segoe UI" w:eastAsia="Times New Roman" w:hAnsi="Segoe UI" w:cs="Segoe UI"/>
                <w:b/>
                <w:bCs/>
                <w:color w:val="666666"/>
                <w:sz w:val="16"/>
                <w:szCs w:val="16"/>
              </w:rPr>
              <w:t>22,180</w:t>
            </w:r>
          </w:p>
        </w:tc>
        <w:tc>
          <w:tcPr>
            <w:tcW w:w="1152" w:type="dxa"/>
            <w:tcBorders>
              <w:top w:val="nil"/>
              <w:left w:val="nil"/>
              <w:bottom w:val="single" w:sz="4" w:space="0" w:color="auto"/>
              <w:right w:val="nil"/>
            </w:tcBorders>
            <w:vAlign w:val="center"/>
          </w:tcPr>
          <w:p w14:paraId="014E28AB" w14:textId="77777777" w:rsidR="00E05173" w:rsidRPr="00A879FA" w:rsidRDefault="00E05173" w:rsidP="00E05173">
            <w:pPr>
              <w:spacing w:after="0" w:line="240" w:lineRule="auto"/>
              <w:jc w:val="right"/>
              <w:rPr>
                <w:rFonts w:ascii="Segoe UI" w:eastAsia="Times New Roman" w:hAnsi="Segoe UI" w:cs="Segoe UI"/>
                <w:b/>
                <w:bCs/>
                <w:color w:val="666666"/>
                <w:sz w:val="16"/>
                <w:szCs w:val="16"/>
              </w:rPr>
            </w:pPr>
            <w:r w:rsidRPr="00A879FA">
              <w:rPr>
                <w:rFonts w:ascii="Segoe UI" w:eastAsia="Times New Roman" w:hAnsi="Segoe UI" w:cs="Segoe UI"/>
                <w:b/>
                <w:bCs/>
                <w:color w:val="666666"/>
                <w:sz w:val="16"/>
                <w:szCs w:val="16"/>
              </w:rPr>
              <w:t>$14,712</w:t>
            </w:r>
          </w:p>
        </w:tc>
        <w:tc>
          <w:tcPr>
            <w:tcW w:w="1152" w:type="dxa"/>
            <w:tcBorders>
              <w:top w:val="nil"/>
              <w:left w:val="nil"/>
              <w:bottom w:val="single" w:sz="4" w:space="0" w:color="auto"/>
              <w:right w:val="nil"/>
            </w:tcBorders>
            <w:vAlign w:val="center"/>
          </w:tcPr>
          <w:p w14:paraId="2E7AC6C5" w14:textId="77777777" w:rsidR="00E05173" w:rsidRPr="00A879FA" w:rsidRDefault="00E05173" w:rsidP="00E05173">
            <w:pPr>
              <w:spacing w:after="0" w:line="240" w:lineRule="auto"/>
              <w:jc w:val="right"/>
              <w:rPr>
                <w:rFonts w:ascii="Segoe UI" w:eastAsia="Times New Roman" w:hAnsi="Segoe UI" w:cs="Segoe UI"/>
                <w:b/>
                <w:bCs/>
                <w:color w:val="666666"/>
                <w:sz w:val="16"/>
                <w:szCs w:val="16"/>
              </w:rPr>
            </w:pPr>
            <w:r w:rsidRPr="00A879FA">
              <w:rPr>
                <w:rFonts w:ascii="Segoe UI" w:eastAsia="Times New Roman" w:hAnsi="Segoe UI" w:cs="Segoe UI"/>
                <w:b/>
                <w:bCs/>
                <w:color w:val="666666"/>
                <w:sz w:val="16"/>
                <w:szCs w:val="16"/>
              </w:rPr>
              <w:t>$(2,053)</w:t>
            </w:r>
          </w:p>
        </w:tc>
        <w:tc>
          <w:tcPr>
            <w:tcW w:w="1152" w:type="dxa"/>
            <w:gridSpan w:val="2"/>
            <w:tcBorders>
              <w:top w:val="nil"/>
              <w:left w:val="nil"/>
              <w:bottom w:val="single" w:sz="4" w:space="0" w:color="auto"/>
              <w:right w:val="nil"/>
            </w:tcBorders>
            <w:vAlign w:val="center"/>
          </w:tcPr>
          <w:p w14:paraId="37283235" w14:textId="77777777" w:rsidR="00E05173" w:rsidRPr="00F01152" w:rsidRDefault="00E05173" w:rsidP="00E05173">
            <w:pPr>
              <w:spacing w:after="0" w:line="240" w:lineRule="auto"/>
              <w:jc w:val="right"/>
              <w:rPr>
                <w:rFonts w:ascii="Segoe UI" w:eastAsia="Times New Roman" w:hAnsi="Segoe UI" w:cs="Segoe UI"/>
                <w:b/>
                <w:bCs/>
                <w:color w:val="666666"/>
                <w:sz w:val="16"/>
                <w:szCs w:val="16"/>
              </w:rPr>
            </w:pPr>
            <w:r w:rsidRPr="00F01152">
              <w:rPr>
                <w:rFonts w:ascii="Segoe UI" w:eastAsia="Times New Roman" w:hAnsi="Segoe UI" w:cs="Segoe UI"/>
                <w:b/>
                <w:bCs/>
                <w:color w:val="666666"/>
                <w:sz w:val="16"/>
                <w:szCs w:val="16"/>
              </w:rPr>
              <w:t>$(0.4</w:t>
            </w:r>
            <w:r w:rsidR="004A2162">
              <w:rPr>
                <w:rFonts w:ascii="Segoe UI" w:eastAsia="Times New Roman" w:hAnsi="Segoe UI" w:cs="Segoe UI"/>
                <w:b/>
                <w:bCs/>
                <w:color w:val="666666"/>
                <w:sz w:val="16"/>
                <w:szCs w:val="16"/>
              </w:rPr>
              <w:t>0</w:t>
            </w:r>
            <w:r w:rsidRPr="00F01152">
              <w:rPr>
                <w:rFonts w:ascii="Segoe UI" w:eastAsia="Times New Roman" w:hAnsi="Segoe UI" w:cs="Segoe UI"/>
                <w:b/>
                <w:bCs/>
                <w:color w:val="666666"/>
                <w:sz w:val="16"/>
                <w:szCs w:val="16"/>
              </w:rPr>
              <w:t>)</w:t>
            </w:r>
          </w:p>
        </w:tc>
      </w:tr>
      <w:tr w:rsidR="00E05173" w:rsidRPr="0055494E" w14:paraId="2E0BC504" w14:textId="77777777" w:rsidTr="001D5067">
        <w:trPr>
          <w:trHeight w:val="288"/>
        </w:trPr>
        <w:tc>
          <w:tcPr>
            <w:tcW w:w="4050" w:type="dxa"/>
            <w:gridSpan w:val="2"/>
            <w:tcBorders>
              <w:top w:val="nil"/>
              <w:left w:val="nil"/>
              <w:bottom w:val="single" w:sz="4" w:space="0" w:color="auto"/>
              <w:right w:val="nil"/>
            </w:tcBorders>
            <w:noWrap/>
            <w:vAlign w:val="center"/>
          </w:tcPr>
          <w:p w14:paraId="52183168" w14:textId="3DD0F79C" w:rsidR="00E05173" w:rsidRPr="008E6106" w:rsidRDefault="00E05173" w:rsidP="00E05173">
            <w:pPr>
              <w:spacing w:after="0" w:line="240" w:lineRule="auto"/>
              <w:rPr>
                <w:rFonts w:ascii="Segoe UI" w:eastAsia="Times New Roman" w:hAnsi="Segoe UI" w:cs="Segoe UI"/>
                <w:bCs/>
                <w:color w:val="666666"/>
                <w:sz w:val="16"/>
                <w:szCs w:val="16"/>
              </w:rPr>
            </w:pPr>
            <w:r>
              <w:rPr>
                <w:rFonts w:ascii="Segoe UI" w:eastAsia="Times New Roman" w:hAnsi="Segoe UI" w:cs="Segoe UI"/>
                <w:bCs/>
                <w:color w:val="666666"/>
                <w:sz w:val="16"/>
                <w:szCs w:val="16"/>
              </w:rPr>
              <w:t xml:space="preserve">  Impairment, Integration</w:t>
            </w:r>
            <w:r w:rsidR="00146582">
              <w:rPr>
                <w:rFonts w:ascii="Segoe UI" w:eastAsia="Times New Roman" w:hAnsi="Segoe UI" w:cs="Segoe UI"/>
                <w:bCs/>
                <w:color w:val="666666"/>
                <w:sz w:val="16"/>
                <w:szCs w:val="16"/>
              </w:rPr>
              <w:t>,</w:t>
            </w:r>
            <w:r>
              <w:rPr>
                <w:rFonts w:ascii="Segoe UI" w:eastAsia="Times New Roman" w:hAnsi="Segoe UI" w:cs="Segoe UI"/>
                <w:bCs/>
                <w:color w:val="666666"/>
                <w:sz w:val="16"/>
                <w:szCs w:val="16"/>
              </w:rPr>
              <w:t xml:space="preserve"> and Restructuring Charges</w:t>
            </w:r>
          </w:p>
        </w:tc>
        <w:tc>
          <w:tcPr>
            <w:tcW w:w="1152" w:type="dxa"/>
            <w:tcBorders>
              <w:top w:val="nil"/>
              <w:left w:val="nil"/>
              <w:bottom w:val="single" w:sz="4" w:space="0" w:color="auto"/>
              <w:right w:val="nil"/>
            </w:tcBorders>
            <w:vAlign w:val="center"/>
          </w:tcPr>
          <w:p w14:paraId="052C332F" w14:textId="32938C15" w:rsidR="00E05173" w:rsidRPr="00A879FA" w:rsidRDefault="00146582" w:rsidP="00E05173">
            <w:pPr>
              <w:spacing w:after="0" w:line="240" w:lineRule="auto"/>
              <w:jc w:val="right"/>
              <w:rPr>
                <w:rFonts w:ascii="Segoe UI" w:eastAsia="Times New Roman" w:hAnsi="Segoe UI" w:cs="Segoe UI"/>
                <w:bCs/>
                <w:color w:val="666666"/>
                <w:sz w:val="16"/>
                <w:szCs w:val="16"/>
              </w:rPr>
            </w:pPr>
            <w:r w:rsidRPr="00305CCE">
              <w:rPr>
                <w:rFonts w:ascii="Segoe UI" w:eastAsia="Times New Roman" w:hAnsi="Segoe UI" w:cs="Segoe UI"/>
                <w:b/>
                <w:bCs/>
                <w:color w:val="595959" w:themeColor="text1" w:themeTint="A6"/>
                <w:sz w:val="16"/>
                <w:szCs w:val="16"/>
              </w:rPr>
              <w:t>-</w:t>
            </w:r>
          </w:p>
        </w:tc>
        <w:tc>
          <w:tcPr>
            <w:tcW w:w="1152" w:type="dxa"/>
            <w:tcBorders>
              <w:top w:val="nil"/>
              <w:left w:val="nil"/>
              <w:bottom w:val="single" w:sz="4" w:space="0" w:color="auto"/>
              <w:right w:val="nil"/>
            </w:tcBorders>
            <w:vAlign w:val="center"/>
          </w:tcPr>
          <w:p w14:paraId="0BB441BB" w14:textId="5D44774C" w:rsidR="00E05173" w:rsidRPr="00A879FA" w:rsidRDefault="00146582" w:rsidP="00E05173">
            <w:pPr>
              <w:spacing w:after="0" w:line="240" w:lineRule="auto"/>
              <w:jc w:val="right"/>
              <w:rPr>
                <w:rFonts w:ascii="Segoe UI" w:eastAsia="Times New Roman" w:hAnsi="Segoe UI" w:cs="Segoe UI"/>
                <w:bCs/>
                <w:color w:val="666666"/>
                <w:sz w:val="16"/>
                <w:szCs w:val="16"/>
              </w:rPr>
            </w:pPr>
            <w:r w:rsidRPr="00305CCE">
              <w:rPr>
                <w:rFonts w:ascii="Segoe UI" w:eastAsia="Times New Roman" w:hAnsi="Segoe UI" w:cs="Segoe UI"/>
                <w:b/>
                <w:bCs/>
                <w:color w:val="595959" w:themeColor="text1" w:themeTint="A6"/>
                <w:sz w:val="16"/>
                <w:szCs w:val="16"/>
              </w:rPr>
              <w:t>-</w:t>
            </w:r>
          </w:p>
        </w:tc>
        <w:tc>
          <w:tcPr>
            <w:tcW w:w="1152" w:type="dxa"/>
            <w:tcBorders>
              <w:top w:val="nil"/>
              <w:left w:val="nil"/>
              <w:bottom w:val="single" w:sz="4" w:space="0" w:color="auto"/>
              <w:right w:val="nil"/>
            </w:tcBorders>
            <w:vAlign w:val="center"/>
          </w:tcPr>
          <w:p w14:paraId="1D4A6A7E" w14:textId="77777777" w:rsidR="00E05173" w:rsidRPr="00A879FA" w:rsidRDefault="00E05173" w:rsidP="00E05173">
            <w:pPr>
              <w:spacing w:after="0" w:line="240" w:lineRule="auto"/>
              <w:jc w:val="right"/>
              <w:rPr>
                <w:rFonts w:ascii="Segoe UI" w:eastAsia="Times New Roman" w:hAnsi="Segoe UI" w:cs="Segoe UI"/>
                <w:bCs/>
                <w:color w:val="666666"/>
                <w:sz w:val="16"/>
                <w:szCs w:val="16"/>
              </w:rPr>
            </w:pPr>
            <w:r w:rsidRPr="00A879FA">
              <w:rPr>
                <w:rFonts w:ascii="Segoe UI" w:eastAsia="Times New Roman" w:hAnsi="Segoe UI" w:cs="Segoe UI"/>
                <w:bCs/>
                <w:color w:val="666666"/>
                <w:sz w:val="16"/>
                <w:szCs w:val="16"/>
              </w:rPr>
              <w:t>8,438</w:t>
            </w:r>
          </w:p>
        </w:tc>
        <w:tc>
          <w:tcPr>
            <w:tcW w:w="1152" w:type="dxa"/>
            <w:gridSpan w:val="2"/>
            <w:tcBorders>
              <w:top w:val="nil"/>
              <w:left w:val="nil"/>
              <w:bottom w:val="single" w:sz="4" w:space="0" w:color="auto"/>
              <w:right w:val="nil"/>
            </w:tcBorders>
            <w:vAlign w:val="center"/>
          </w:tcPr>
          <w:p w14:paraId="4AE42928" w14:textId="22AD3E02" w:rsidR="00E05173" w:rsidRPr="00F01152" w:rsidRDefault="00E05173" w:rsidP="00E05173">
            <w:pPr>
              <w:spacing w:after="0" w:line="240" w:lineRule="auto"/>
              <w:jc w:val="right"/>
              <w:rPr>
                <w:rFonts w:ascii="Segoe UI" w:eastAsia="Times New Roman" w:hAnsi="Segoe UI" w:cs="Segoe UI"/>
                <w:bCs/>
                <w:color w:val="666666"/>
                <w:sz w:val="16"/>
                <w:szCs w:val="16"/>
              </w:rPr>
            </w:pPr>
            <w:r w:rsidRPr="00F01152">
              <w:rPr>
                <w:rFonts w:ascii="Segoe UI" w:eastAsia="Times New Roman" w:hAnsi="Segoe UI" w:cs="Segoe UI"/>
                <w:bCs/>
                <w:color w:val="666666"/>
                <w:sz w:val="16"/>
                <w:szCs w:val="16"/>
              </w:rPr>
              <w:t>1.02</w:t>
            </w:r>
          </w:p>
        </w:tc>
      </w:tr>
      <w:tr w:rsidR="00E05173" w:rsidRPr="00305CCE" w14:paraId="55754647" w14:textId="77777777" w:rsidTr="001D5067">
        <w:trPr>
          <w:trHeight w:val="288"/>
        </w:trPr>
        <w:tc>
          <w:tcPr>
            <w:tcW w:w="4050" w:type="dxa"/>
            <w:gridSpan w:val="2"/>
            <w:tcBorders>
              <w:top w:val="single" w:sz="4" w:space="0" w:color="auto"/>
              <w:left w:val="nil"/>
              <w:bottom w:val="single" w:sz="4" w:space="0" w:color="auto"/>
              <w:right w:val="nil"/>
            </w:tcBorders>
            <w:noWrap/>
            <w:vAlign w:val="center"/>
          </w:tcPr>
          <w:p w14:paraId="1491E9FF" w14:textId="77777777" w:rsidR="00E05173" w:rsidRPr="004464FA" w:rsidRDefault="00E05173" w:rsidP="00E05173">
            <w:pPr>
              <w:spacing w:after="0" w:line="240" w:lineRule="auto"/>
              <w:rPr>
                <w:rFonts w:ascii="Segoe UI" w:eastAsia="Times New Roman" w:hAnsi="Segoe UI" w:cs="Segoe UI"/>
                <w:bCs/>
                <w:color w:val="666666"/>
                <w:sz w:val="16"/>
                <w:szCs w:val="16"/>
              </w:rPr>
            </w:pPr>
            <w:r w:rsidRPr="00500DB8">
              <w:rPr>
                <w:rFonts w:ascii="Segoe UI" w:eastAsia="Times New Roman" w:hAnsi="Segoe UI" w:cs="Segoe UI"/>
                <w:b/>
                <w:bCs/>
                <w:color w:val="666666"/>
                <w:sz w:val="16"/>
                <w:szCs w:val="16"/>
              </w:rPr>
              <w:t>2015 As Adjusted (Non-GAAP)</w:t>
            </w:r>
          </w:p>
        </w:tc>
        <w:tc>
          <w:tcPr>
            <w:tcW w:w="1152" w:type="dxa"/>
            <w:tcBorders>
              <w:top w:val="single" w:sz="4" w:space="0" w:color="auto"/>
              <w:left w:val="nil"/>
              <w:bottom w:val="single" w:sz="4" w:space="0" w:color="auto"/>
              <w:right w:val="nil"/>
            </w:tcBorders>
            <w:vAlign w:val="center"/>
          </w:tcPr>
          <w:p w14:paraId="3CCA9050" w14:textId="77777777" w:rsidR="00E05173" w:rsidRPr="00A879FA" w:rsidRDefault="002D5198" w:rsidP="00E05173">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E05173" w:rsidRPr="00A879FA">
              <w:rPr>
                <w:rFonts w:ascii="Segoe UI" w:eastAsia="Times New Roman" w:hAnsi="Segoe UI" w:cs="Segoe UI"/>
                <w:b/>
                <w:bCs/>
                <w:color w:val="666666"/>
                <w:sz w:val="16"/>
                <w:szCs w:val="16"/>
              </w:rPr>
              <w:t>22,180</w:t>
            </w:r>
          </w:p>
        </w:tc>
        <w:tc>
          <w:tcPr>
            <w:tcW w:w="1152" w:type="dxa"/>
            <w:tcBorders>
              <w:top w:val="single" w:sz="4" w:space="0" w:color="auto"/>
              <w:left w:val="nil"/>
              <w:bottom w:val="single" w:sz="4" w:space="0" w:color="auto"/>
              <w:right w:val="nil"/>
            </w:tcBorders>
            <w:vAlign w:val="center"/>
          </w:tcPr>
          <w:p w14:paraId="420F1B23" w14:textId="77777777" w:rsidR="00E05173" w:rsidRPr="00A879FA" w:rsidRDefault="00E05173" w:rsidP="00E05173">
            <w:pPr>
              <w:spacing w:after="0" w:line="240" w:lineRule="auto"/>
              <w:jc w:val="right"/>
              <w:rPr>
                <w:rFonts w:ascii="Segoe UI" w:eastAsia="Times New Roman" w:hAnsi="Segoe UI" w:cs="Segoe UI"/>
                <w:b/>
                <w:bCs/>
                <w:color w:val="666666"/>
                <w:sz w:val="16"/>
                <w:szCs w:val="16"/>
              </w:rPr>
            </w:pPr>
            <w:r w:rsidRPr="00A879FA">
              <w:rPr>
                <w:rFonts w:ascii="Segoe UI" w:eastAsia="Times New Roman" w:hAnsi="Segoe UI" w:cs="Segoe UI"/>
                <w:b/>
                <w:bCs/>
                <w:color w:val="666666"/>
                <w:sz w:val="16"/>
                <w:szCs w:val="16"/>
              </w:rPr>
              <w:t>$14,712</w:t>
            </w:r>
          </w:p>
        </w:tc>
        <w:tc>
          <w:tcPr>
            <w:tcW w:w="1152" w:type="dxa"/>
            <w:tcBorders>
              <w:top w:val="single" w:sz="4" w:space="0" w:color="auto"/>
              <w:left w:val="nil"/>
              <w:bottom w:val="single" w:sz="4" w:space="0" w:color="auto"/>
              <w:right w:val="nil"/>
            </w:tcBorders>
            <w:vAlign w:val="center"/>
          </w:tcPr>
          <w:p w14:paraId="5890F1E5" w14:textId="77777777" w:rsidR="00E05173" w:rsidRPr="00A879FA" w:rsidRDefault="00E05173" w:rsidP="00E05173">
            <w:pPr>
              <w:spacing w:after="0" w:line="240" w:lineRule="auto"/>
              <w:jc w:val="right"/>
              <w:rPr>
                <w:rFonts w:ascii="Segoe UI" w:eastAsia="Times New Roman" w:hAnsi="Segoe UI" w:cs="Segoe UI"/>
                <w:b/>
                <w:bCs/>
                <w:color w:val="666666"/>
                <w:sz w:val="16"/>
                <w:szCs w:val="16"/>
              </w:rPr>
            </w:pPr>
            <w:r w:rsidRPr="00A879FA">
              <w:rPr>
                <w:rFonts w:ascii="Segoe UI" w:eastAsia="Times New Roman" w:hAnsi="Segoe UI" w:cs="Segoe UI"/>
                <w:b/>
                <w:bCs/>
                <w:color w:val="666666"/>
                <w:sz w:val="16"/>
                <w:szCs w:val="16"/>
              </w:rPr>
              <w:t>$6,385</w:t>
            </w:r>
          </w:p>
        </w:tc>
        <w:tc>
          <w:tcPr>
            <w:tcW w:w="1152" w:type="dxa"/>
            <w:gridSpan w:val="2"/>
            <w:tcBorders>
              <w:top w:val="single" w:sz="4" w:space="0" w:color="auto"/>
              <w:left w:val="nil"/>
              <w:bottom w:val="single" w:sz="4" w:space="0" w:color="auto"/>
              <w:right w:val="nil"/>
            </w:tcBorders>
            <w:vAlign w:val="center"/>
          </w:tcPr>
          <w:p w14:paraId="4B9CB269" w14:textId="77777777" w:rsidR="00E05173" w:rsidRPr="00F01152" w:rsidRDefault="00E05173" w:rsidP="00E05173">
            <w:pPr>
              <w:spacing w:after="0" w:line="240" w:lineRule="auto"/>
              <w:jc w:val="right"/>
              <w:rPr>
                <w:rFonts w:ascii="Segoe UI" w:eastAsia="Times New Roman" w:hAnsi="Segoe UI" w:cs="Segoe UI"/>
                <w:b/>
                <w:bCs/>
                <w:color w:val="666666"/>
                <w:sz w:val="16"/>
                <w:szCs w:val="16"/>
              </w:rPr>
            </w:pPr>
            <w:r w:rsidRPr="00F01152">
              <w:rPr>
                <w:rFonts w:ascii="Segoe UI" w:eastAsia="Times New Roman" w:hAnsi="Segoe UI" w:cs="Segoe UI"/>
                <w:b/>
                <w:bCs/>
                <w:color w:val="666666"/>
                <w:sz w:val="16"/>
                <w:szCs w:val="16"/>
              </w:rPr>
              <w:t>$0.6</w:t>
            </w:r>
            <w:r w:rsidR="004A2162">
              <w:rPr>
                <w:rFonts w:ascii="Segoe UI" w:eastAsia="Times New Roman" w:hAnsi="Segoe UI" w:cs="Segoe UI"/>
                <w:b/>
                <w:bCs/>
                <w:color w:val="666666"/>
                <w:sz w:val="16"/>
                <w:szCs w:val="16"/>
              </w:rPr>
              <w:t>2</w:t>
            </w:r>
          </w:p>
        </w:tc>
      </w:tr>
      <w:tr w:rsidR="00E05173" w:rsidRPr="00305CCE" w14:paraId="38FE14D5" w14:textId="77777777" w:rsidTr="001D5067">
        <w:trPr>
          <w:trHeight w:val="288"/>
        </w:trPr>
        <w:tc>
          <w:tcPr>
            <w:tcW w:w="4050" w:type="dxa"/>
            <w:gridSpan w:val="2"/>
            <w:tcBorders>
              <w:top w:val="single" w:sz="4" w:space="0" w:color="auto"/>
              <w:left w:val="nil"/>
              <w:right w:val="nil"/>
            </w:tcBorders>
            <w:noWrap/>
            <w:vAlign w:val="center"/>
          </w:tcPr>
          <w:p w14:paraId="0F15ED5C" w14:textId="77777777" w:rsidR="00E05173" w:rsidRPr="0067133E" w:rsidRDefault="00E05173" w:rsidP="00E05173">
            <w:pPr>
              <w:spacing w:after="0" w:line="240" w:lineRule="auto"/>
              <w:rPr>
                <w:rFonts w:ascii="Segoe UI" w:eastAsia="Times New Roman" w:hAnsi="Segoe UI" w:cs="Segoe UI"/>
                <w:bCs/>
                <w:color w:val="666666"/>
                <w:sz w:val="16"/>
                <w:szCs w:val="16"/>
              </w:rPr>
            </w:pPr>
            <w:r w:rsidRPr="0067133E">
              <w:rPr>
                <w:rFonts w:ascii="Segoe UI" w:eastAsia="Times New Roman" w:hAnsi="Segoe UI" w:cs="Segoe UI"/>
                <w:bCs/>
                <w:color w:val="666666"/>
                <w:sz w:val="16"/>
                <w:szCs w:val="16"/>
              </w:rPr>
              <w:t>Percentage Change Y/Y (GAAP)</w:t>
            </w:r>
          </w:p>
        </w:tc>
        <w:tc>
          <w:tcPr>
            <w:tcW w:w="1152" w:type="dxa"/>
            <w:tcBorders>
              <w:top w:val="single" w:sz="4" w:space="0" w:color="auto"/>
              <w:left w:val="nil"/>
              <w:right w:val="nil"/>
            </w:tcBorders>
            <w:vAlign w:val="center"/>
          </w:tcPr>
          <w:p w14:paraId="573F948C" w14:textId="77777777" w:rsidR="00E05173" w:rsidRPr="00A879FA" w:rsidRDefault="00E05173" w:rsidP="00E05173">
            <w:pPr>
              <w:spacing w:after="0" w:line="240" w:lineRule="auto"/>
              <w:jc w:val="right"/>
              <w:rPr>
                <w:rFonts w:ascii="Segoe UI" w:eastAsia="Times New Roman" w:hAnsi="Segoe UI" w:cs="Segoe UI"/>
                <w:bCs/>
                <w:color w:val="666666"/>
                <w:sz w:val="16"/>
                <w:szCs w:val="16"/>
              </w:rPr>
            </w:pPr>
            <w:r w:rsidRPr="00A879FA">
              <w:rPr>
                <w:rFonts w:ascii="Segoe UI" w:eastAsia="Times New Roman" w:hAnsi="Segoe UI" w:cs="Segoe UI"/>
                <w:bCs/>
                <w:color w:val="666666"/>
                <w:sz w:val="16"/>
                <w:szCs w:val="16"/>
              </w:rPr>
              <w:t>(5)%</w:t>
            </w:r>
          </w:p>
        </w:tc>
        <w:tc>
          <w:tcPr>
            <w:tcW w:w="1152" w:type="dxa"/>
            <w:tcBorders>
              <w:top w:val="single" w:sz="4" w:space="0" w:color="auto"/>
              <w:left w:val="nil"/>
              <w:right w:val="nil"/>
            </w:tcBorders>
            <w:vAlign w:val="center"/>
          </w:tcPr>
          <w:p w14:paraId="3D32AC8E" w14:textId="77777777" w:rsidR="00E05173" w:rsidRPr="00A879FA" w:rsidRDefault="00E05173" w:rsidP="00E05173">
            <w:pPr>
              <w:spacing w:after="0" w:line="240" w:lineRule="auto"/>
              <w:jc w:val="right"/>
              <w:rPr>
                <w:rFonts w:ascii="Segoe UI" w:eastAsia="Times New Roman" w:hAnsi="Segoe UI" w:cs="Segoe UI"/>
                <w:bCs/>
                <w:color w:val="666666"/>
                <w:sz w:val="16"/>
                <w:szCs w:val="16"/>
              </w:rPr>
            </w:pPr>
            <w:r w:rsidRPr="00A879FA">
              <w:rPr>
                <w:rFonts w:ascii="Segoe UI" w:eastAsia="Times New Roman" w:hAnsi="Segoe UI" w:cs="Segoe UI"/>
                <w:bCs/>
                <w:color w:val="666666"/>
                <w:sz w:val="16"/>
                <w:szCs w:val="16"/>
              </w:rPr>
              <w:t>(7)%</w:t>
            </w:r>
          </w:p>
        </w:tc>
        <w:tc>
          <w:tcPr>
            <w:tcW w:w="1152" w:type="dxa"/>
            <w:tcBorders>
              <w:top w:val="single" w:sz="4" w:space="0" w:color="auto"/>
              <w:left w:val="nil"/>
              <w:right w:val="nil"/>
            </w:tcBorders>
            <w:vAlign w:val="center"/>
          </w:tcPr>
          <w:p w14:paraId="5C129A6D" w14:textId="77777777" w:rsidR="00E05173" w:rsidRPr="00A879FA" w:rsidRDefault="00E05173" w:rsidP="00E05173">
            <w:pPr>
              <w:spacing w:after="0" w:line="240" w:lineRule="auto"/>
              <w:jc w:val="right"/>
              <w:rPr>
                <w:rFonts w:ascii="Segoe UI" w:eastAsia="Times New Roman" w:hAnsi="Segoe UI" w:cs="Segoe UI"/>
                <w:bCs/>
                <w:color w:val="666666"/>
                <w:sz w:val="16"/>
                <w:szCs w:val="16"/>
              </w:rPr>
            </w:pPr>
            <w:r w:rsidRPr="00A879FA">
              <w:rPr>
                <w:rFonts w:ascii="Segoe UI" w:eastAsia="Times New Roman" w:hAnsi="Segoe UI" w:cs="Segoe UI"/>
                <w:bCs/>
                <w:color w:val="666666"/>
                <w:sz w:val="16"/>
                <w:szCs w:val="16"/>
              </w:rPr>
              <w:t>(132)%</w:t>
            </w:r>
          </w:p>
        </w:tc>
        <w:tc>
          <w:tcPr>
            <w:tcW w:w="1152" w:type="dxa"/>
            <w:gridSpan w:val="2"/>
            <w:tcBorders>
              <w:top w:val="single" w:sz="4" w:space="0" w:color="auto"/>
              <w:left w:val="nil"/>
              <w:right w:val="nil"/>
            </w:tcBorders>
            <w:vAlign w:val="center"/>
          </w:tcPr>
          <w:p w14:paraId="50BB3571" w14:textId="77777777" w:rsidR="00E05173" w:rsidRPr="00F01152" w:rsidRDefault="00E05173" w:rsidP="00E05173">
            <w:pPr>
              <w:spacing w:after="0" w:line="240" w:lineRule="auto"/>
              <w:jc w:val="right"/>
              <w:rPr>
                <w:rFonts w:ascii="Segoe UI" w:eastAsia="Times New Roman" w:hAnsi="Segoe UI" w:cs="Segoe UI"/>
                <w:bCs/>
                <w:color w:val="666666"/>
                <w:sz w:val="16"/>
                <w:szCs w:val="16"/>
              </w:rPr>
            </w:pPr>
            <w:r w:rsidRPr="00F01152">
              <w:rPr>
                <w:rFonts w:ascii="Segoe UI" w:eastAsia="Times New Roman" w:hAnsi="Segoe UI" w:cs="Segoe UI"/>
                <w:bCs/>
                <w:color w:val="666666"/>
                <w:sz w:val="16"/>
                <w:szCs w:val="16"/>
              </w:rPr>
              <w:t>(17</w:t>
            </w:r>
            <w:r w:rsidR="004A2162">
              <w:rPr>
                <w:rFonts w:ascii="Segoe UI" w:eastAsia="Times New Roman" w:hAnsi="Segoe UI" w:cs="Segoe UI"/>
                <w:bCs/>
                <w:color w:val="666666"/>
                <w:sz w:val="16"/>
                <w:szCs w:val="16"/>
              </w:rPr>
              <w:t>3</w:t>
            </w:r>
            <w:r w:rsidRPr="00F01152">
              <w:rPr>
                <w:rFonts w:ascii="Segoe UI" w:eastAsia="Times New Roman" w:hAnsi="Segoe UI" w:cs="Segoe UI"/>
                <w:bCs/>
                <w:color w:val="666666"/>
                <w:sz w:val="16"/>
                <w:szCs w:val="16"/>
              </w:rPr>
              <w:t>)%</w:t>
            </w:r>
          </w:p>
        </w:tc>
      </w:tr>
      <w:tr w:rsidR="00E05173" w:rsidRPr="00CD4005" w14:paraId="29F4D610" w14:textId="77777777" w:rsidTr="001D5067">
        <w:trPr>
          <w:trHeight w:val="288"/>
        </w:trPr>
        <w:tc>
          <w:tcPr>
            <w:tcW w:w="4050" w:type="dxa"/>
            <w:gridSpan w:val="2"/>
            <w:tcBorders>
              <w:top w:val="nil"/>
              <w:left w:val="nil"/>
              <w:bottom w:val="single" w:sz="4" w:space="0" w:color="auto"/>
              <w:right w:val="nil"/>
            </w:tcBorders>
            <w:noWrap/>
            <w:vAlign w:val="center"/>
          </w:tcPr>
          <w:p w14:paraId="0671EE9F" w14:textId="77777777" w:rsidR="00E05173" w:rsidRPr="0067133E" w:rsidRDefault="00E05173" w:rsidP="00E05173">
            <w:pPr>
              <w:spacing w:after="0" w:line="240" w:lineRule="auto"/>
              <w:rPr>
                <w:rFonts w:ascii="Segoe UI" w:eastAsia="Times New Roman" w:hAnsi="Segoe UI" w:cs="Segoe UI"/>
                <w:bCs/>
                <w:color w:val="666666"/>
                <w:sz w:val="16"/>
                <w:szCs w:val="16"/>
              </w:rPr>
            </w:pPr>
            <w:r w:rsidRPr="0067133E">
              <w:rPr>
                <w:rFonts w:ascii="Segoe UI" w:eastAsia="Times New Roman" w:hAnsi="Segoe UI" w:cs="Segoe UI"/>
                <w:bCs/>
                <w:color w:val="666666"/>
                <w:sz w:val="16"/>
                <w:szCs w:val="16"/>
              </w:rPr>
              <w:t>Percentage Change Y/Y (Non-GAAP)</w:t>
            </w:r>
          </w:p>
        </w:tc>
        <w:tc>
          <w:tcPr>
            <w:tcW w:w="1152" w:type="dxa"/>
            <w:tcBorders>
              <w:top w:val="nil"/>
              <w:left w:val="nil"/>
              <w:bottom w:val="single" w:sz="4" w:space="0" w:color="auto"/>
              <w:right w:val="nil"/>
            </w:tcBorders>
            <w:vAlign w:val="center"/>
          </w:tcPr>
          <w:p w14:paraId="5BDC08ED" w14:textId="77777777" w:rsidR="00E05173" w:rsidRPr="00A879FA" w:rsidRDefault="00E05173">
            <w:pPr>
              <w:spacing w:after="0" w:line="240" w:lineRule="auto"/>
              <w:jc w:val="right"/>
              <w:rPr>
                <w:rFonts w:ascii="Segoe UI" w:eastAsia="Times New Roman" w:hAnsi="Segoe UI" w:cs="Segoe UI"/>
                <w:bCs/>
                <w:color w:val="666666"/>
                <w:sz w:val="16"/>
                <w:szCs w:val="16"/>
              </w:rPr>
            </w:pPr>
            <w:r w:rsidRPr="00A879FA">
              <w:rPr>
                <w:rFonts w:ascii="Segoe UI" w:eastAsia="Times New Roman" w:hAnsi="Segoe UI" w:cs="Segoe UI"/>
                <w:bCs/>
                <w:color w:val="666666"/>
                <w:sz w:val="16"/>
                <w:szCs w:val="16"/>
              </w:rPr>
              <w:t>(</w:t>
            </w:r>
            <w:r w:rsidR="004A2162">
              <w:rPr>
                <w:rFonts w:ascii="Segoe UI" w:eastAsia="Times New Roman" w:hAnsi="Segoe UI" w:cs="Segoe UI"/>
                <w:bCs/>
                <w:color w:val="666666"/>
                <w:sz w:val="16"/>
                <w:szCs w:val="16"/>
              </w:rPr>
              <w:t>5</w:t>
            </w:r>
            <w:r w:rsidRPr="00A879FA">
              <w:rPr>
                <w:rFonts w:ascii="Segoe UI" w:eastAsia="Times New Roman" w:hAnsi="Segoe UI" w:cs="Segoe UI"/>
                <w:bCs/>
                <w:color w:val="666666"/>
                <w:sz w:val="16"/>
                <w:szCs w:val="16"/>
              </w:rPr>
              <w:t>)%</w:t>
            </w:r>
          </w:p>
        </w:tc>
        <w:tc>
          <w:tcPr>
            <w:tcW w:w="1152" w:type="dxa"/>
            <w:tcBorders>
              <w:top w:val="nil"/>
              <w:left w:val="nil"/>
              <w:bottom w:val="single" w:sz="4" w:space="0" w:color="auto"/>
              <w:right w:val="nil"/>
            </w:tcBorders>
            <w:vAlign w:val="center"/>
          </w:tcPr>
          <w:p w14:paraId="234F4AA9" w14:textId="77777777" w:rsidR="00E05173" w:rsidRPr="00A879FA" w:rsidRDefault="00E05173" w:rsidP="00CE7ED2">
            <w:pPr>
              <w:spacing w:after="0" w:line="240" w:lineRule="auto"/>
              <w:jc w:val="right"/>
              <w:rPr>
                <w:rFonts w:ascii="Segoe UI" w:eastAsia="Times New Roman" w:hAnsi="Segoe UI" w:cs="Segoe UI"/>
                <w:bCs/>
                <w:color w:val="666666"/>
                <w:sz w:val="16"/>
                <w:szCs w:val="16"/>
              </w:rPr>
            </w:pPr>
            <w:r w:rsidRPr="00A879FA">
              <w:rPr>
                <w:rFonts w:ascii="Segoe UI" w:eastAsia="Times New Roman" w:hAnsi="Segoe UI" w:cs="Segoe UI"/>
                <w:bCs/>
                <w:color w:val="666666"/>
                <w:sz w:val="16"/>
                <w:szCs w:val="16"/>
              </w:rPr>
              <w:t>(</w:t>
            </w:r>
            <w:r w:rsidR="004A2162">
              <w:rPr>
                <w:rFonts w:ascii="Segoe UI" w:eastAsia="Times New Roman" w:hAnsi="Segoe UI" w:cs="Segoe UI"/>
                <w:bCs/>
                <w:color w:val="666666"/>
                <w:sz w:val="16"/>
                <w:szCs w:val="16"/>
              </w:rPr>
              <w:t>7</w:t>
            </w:r>
            <w:r w:rsidRPr="00A879FA">
              <w:rPr>
                <w:rFonts w:ascii="Segoe UI" w:eastAsia="Times New Roman" w:hAnsi="Segoe UI" w:cs="Segoe UI"/>
                <w:bCs/>
                <w:color w:val="666666"/>
                <w:sz w:val="16"/>
                <w:szCs w:val="16"/>
              </w:rPr>
              <w:t>)%</w:t>
            </w:r>
          </w:p>
        </w:tc>
        <w:tc>
          <w:tcPr>
            <w:tcW w:w="1152" w:type="dxa"/>
            <w:tcBorders>
              <w:top w:val="nil"/>
              <w:left w:val="nil"/>
              <w:bottom w:val="single" w:sz="4" w:space="0" w:color="auto"/>
              <w:right w:val="nil"/>
            </w:tcBorders>
            <w:vAlign w:val="center"/>
          </w:tcPr>
          <w:p w14:paraId="33EFF1B6" w14:textId="77777777" w:rsidR="00E05173" w:rsidRPr="002B05A1" w:rsidRDefault="00E05173" w:rsidP="00CE7ED2">
            <w:pPr>
              <w:spacing w:after="0" w:line="240" w:lineRule="auto"/>
              <w:jc w:val="right"/>
              <w:rPr>
                <w:rFonts w:ascii="Segoe UI" w:eastAsia="Times New Roman" w:hAnsi="Segoe UI" w:cs="Segoe UI"/>
                <w:bCs/>
                <w:color w:val="666666"/>
                <w:sz w:val="16"/>
                <w:szCs w:val="16"/>
              </w:rPr>
            </w:pPr>
            <w:r w:rsidRPr="002B05A1">
              <w:rPr>
                <w:rFonts w:ascii="Segoe UI" w:eastAsia="Times New Roman" w:hAnsi="Segoe UI" w:cs="Segoe UI"/>
                <w:bCs/>
                <w:color w:val="666666"/>
                <w:sz w:val="16"/>
                <w:szCs w:val="16"/>
              </w:rPr>
              <w:t>(</w:t>
            </w:r>
            <w:r w:rsidR="004A2162" w:rsidRPr="002B05A1">
              <w:rPr>
                <w:rFonts w:ascii="Segoe UI" w:eastAsia="Times New Roman" w:hAnsi="Segoe UI" w:cs="Segoe UI"/>
                <w:color w:val="666666"/>
                <w:sz w:val="16"/>
                <w:szCs w:val="16"/>
              </w:rPr>
              <w:t>3</w:t>
            </w:r>
            <w:r w:rsidRPr="002B05A1">
              <w:rPr>
                <w:rFonts w:ascii="Segoe UI" w:eastAsia="Times New Roman" w:hAnsi="Segoe UI" w:cs="Segoe UI"/>
                <w:bCs/>
                <w:color w:val="666666"/>
                <w:sz w:val="16"/>
                <w:szCs w:val="16"/>
              </w:rPr>
              <w:t>)%</w:t>
            </w:r>
          </w:p>
        </w:tc>
        <w:tc>
          <w:tcPr>
            <w:tcW w:w="1152" w:type="dxa"/>
            <w:gridSpan w:val="2"/>
            <w:tcBorders>
              <w:top w:val="nil"/>
              <w:left w:val="nil"/>
              <w:bottom w:val="single" w:sz="4" w:space="0" w:color="auto"/>
              <w:right w:val="nil"/>
            </w:tcBorders>
            <w:vAlign w:val="center"/>
          </w:tcPr>
          <w:p w14:paraId="1718B56D" w14:textId="77777777" w:rsidR="00E05173" w:rsidRPr="002B05A1" w:rsidRDefault="004A2162" w:rsidP="00F01152">
            <w:pPr>
              <w:spacing w:after="0" w:line="240" w:lineRule="auto"/>
              <w:jc w:val="right"/>
              <w:rPr>
                <w:rFonts w:ascii="Segoe UI" w:eastAsia="Times New Roman" w:hAnsi="Segoe UI" w:cs="Segoe UI"/>
                <w:bCs/>
                <w:color w:val="666666"/>
                <w:sz w:val="16"/>
                <w:szCs w:val="16"/>
              </w:rPr>
            </w:pPr>
            <w:r w:rsidRPr="002B05A1">
              <w:rPr>
                <w:rFonts w:ascii="Segoe UI" w:eastAsia="Times New Roman" w:hAnsi="Segoe UI" w:cs="Segoe UI"/>
                <w:bCs/>
                <w:color w:val="666666"/>
                <w:sz w:val="16"/>
                <w:szCs w:val="16"/>
              </w:rPr>
              <w:t>11</w:t>
            </w:r>
            <w:r w:rsidR="00E05173" w:rsidRPr="002B05A1">
              <w:rPr>
                <w:rFonts w:ascii="Segoe UI" w:eastAsia="Times New Roman" w:hAnsi="Segoe UI" w:cs="Segoe UI"/>
                <w:bCs/>
                <w:color w:val="666666"/>
                <w:sz w:val="16"/>
                <w:szCs w:val="16"/>
              </w:rPr>
              <w:t>%</w:t>
            </w:r>
          </w:p>
        </w:tc>
      </w:tr>
      <w:tr w:rsidR="00E05173" w:rsidRPr="00CD4005" w14:paraId="35C14CD1" w14:textId="77777777" w:rsidTr="001D5067">
        <w:trPr>
          <w:trHeight w:val="105"/>
        </w:trPr>
        <w:tc>
          <w:tcPr>
            <w:tcW w:w="4050" w:type="dxa"/>
            <w:gridSpan w:val="2"/>
            <w:tcBorders>
              <w:top w:val="single" w:sz="4" w:space="0" w:color="auto"/>
              <w:left w:val="nil"/>
              <w:bottom w:val="nil"/>
              <w:right w:val="nil"/>
            </w:tcBorders>
            <w:noWrap/>
            <w:vAlign w:val="center"/>
          </w:tcPr>
          <w:p w14:paraId="30C4F7E2" w14:textId="77777777" w:rsidR="00E05173" w:rsidRPr="0067133E" w:rsidRDefault="00E05173" w:rsidP="00E05173">
            <w:pPr>
              <w:spacing w:after="0" w:line="240" w:lineRule="auto"/>
              <w:rPr>
                <w:rFonts w:ascii="Segoe UI" w:eastAsia="Times New Roman" w:hAnsi="Segoe UI" w:cs="Segoe UI"/>
                <w:bCs/>
                <w:color w:val="666666"/>
                <w:sz w:val="16"/>
                <w:szCs w:val="16"/>
              </w:rPr>
            </w:pPr>
          </w:p>
        </w:tc>
        <w:tc>
          <w:tcPr>
            <w:tcW w:w="1152" w:type="dxa"/>
            <w:tcBorders>
              <w:top w:val="single" w:sz="4" w:space="0" w:color="auto"/>
              <w:left w:val="nil"/>
              <w:bottom w:val="nil"/>
              <w:right w:val="nil"/>
            </w:tcBorders>
            <w:vAlign w:val="center"/>
          </w:tcPr>
          <w:p w14:paraId="0F666B4D" w14:textId="77777777" w:rsidR="00E05173" w:rsidRPr="00CD4005" w:rsidRDefault="00E05173" w:rsidP="00E05173">
            <w:pPr>
              <w:spacing w:after="0" w:line="240" w:lineRule="auto"/>
              <w:jc w:val="right"/>
              <w:rPr>
                <w:rFonts w:ascii="Segoe UI" w:eastAsia="Times New Roman" w:hAnsi="Segoe UI" w:cs="Segoe UI"/>
                <w:b/>
                <w:bCs/>
                <w:color w:val="666666"/>
                <w:sz w:val="16"/>
                <w:szCs w:val="16"/>
              </w:rPr>
            </w:pPr>
          </w:p>
        </w:tc>
        <w:tc>
          <w:tcPr>
            <w:tcW w:w="1152" w:type="dxa"/>
            <w:tcBorders>
              <w:top w:val="single" w:sz="4" w:space="0" w:color="auto"/>
              <w:left w:val="nil"/>
              <w:bottom w:val="nil"/>
              <w:right w:val="nil"/>
            </w:tcBorders>
            <w:vAlign w:val="center"/>
          </w:tcPr>
          <w:p w14:paraId="672F2669" w14:textId="77777777" w:rsidR="00E05173" w:rsidRPr="00CD4005" w:rsidRDefault="00E05173" w:rsidP="00E05173">
            <w:pPr>
              <w:spacing w:after="0" w:line="240" w:lineRule="auto"/>
              <w:jc w:val="right"/>
              <w:rPr>
                <w:rFonts w:ascii="Segoe UI" w:eastAsia="Times New Roman" w:hAnsi="Segoe UI" w:cs="Segoe UI"/>
                <w:b/>
                <w:bCs/>
                <w:color w:val="666666"/>
                <w:sz w:val="16"/>
                <w:szCs w:val="16"/>
              </w:rPr>
            </w:pPr>
          </w:p>
        </w:tc>
        <w:tc>
          <w:tcPr>
            <w:tcW w:w="1152" w:type="dxa"/>
            <w:tcBorders>
              <w:top w:val="single" w:sz="4" w:space="0" w:color="auto"/>
              <w:left w:val="nil"/>
              <w:bottom w:val="nil"/>
              <w:right w:val="nil"/>
            </w:tcBorders>
            <w:vAlign w:val="center"/>
          </w:tcPr>
          <w:p w14:paraId="16E18840" w14:textId="77777777" w:rsidR="00E05173" w:rsidRPr="00CD4005" w:rsidRDefault="00E05173" w:rsidP="00E05173">
            <w:pPr>
              <w:spacing w:after="0" w:line="240" w:lineRule="auto"/>
              <w:jc w:val="right"/>
              <w:rPr>
                <w:rFonts w:ascii="Segoe UI" w:eastAsia="Times New Roman" w:hAnsi="Segoe UI" w:cs="Segoe UI"/>
                <w:b/>
                <w:bCs/>
                <w:color w:val="666666"/>
                <w:sz w:val="16"/>
                <w:szCs w:val="16"/>
              </w:rPr>
            </w:pPr>
          </w:p>
        </w:tc>
        <w:tc>
          <w:tcPr>
            <w:tcW w:w="1152" w:type="dxa"/>
            <w:gridSpan w:val="2"/>
            <w:tcBorders>
              <w:top w:val="single" w:sz="4" w:space="0" w:color="auto"/>
              <w:left w:val="nil"/>
              <w:bottom w:val="nil"/>
              <w:right w:val="nil"/>
            </w:tcBorders>
            <w:vAlign w:val="center"/>
          </w:tcPr>
          <w:p w14:paraId="6534CDA0" w14:textId="77777777" w:rsidR="00E05173" w:rsidRDefault="00E05173" w:rsidP="00E05173">
            <w:pPr>
              <w:spacing w:after="0" w:line="240" w:lineRule="auto"/>
              <w:jc w:val="right"/>
              <w:rPr>
                <w:rFonts w:ascii="Segoe UI" w:eastAsia="Times New Roman" w:hAnsi="Segoe UI" w:cs="Segoe UI"/>
                <w:b/>
                <w:bCs/>
                <w:color w:val="595959" w:themeColor="text1" w:themeTint="A6"/>
                <w:sz w:val="16"/>
                <w:szCs w:val="16"/>
              </w:rPr>
            </w:pPr>
          </w:p>
        </w:tc>
      </w:tr>
    </w:tbl>
    <w:p w14:paraId="53ACB1A9" w14:textId="77777777" w:rsidR="007A2BCE" w:rsidRPr="0043635C" w:rsidRDefault="00120414" w:rsidP="0043635C">
      <w:pPr>
        <w:spacing w:line="280" w:lineRule="exact"/>
        <w:rPr>
          <w:rFonts w:ascii="Segoe UI" w:hAnsi="Segoe UI" w:cs="Segoe UI"/>
          <w:color w:val="666666"/>
          <w:sz w:val="20"/>
          <w:szCs w:val="20"/>
        </w:rPr>
      </w:pPr>
      <w:r w:rsidRPr="00120414">
        <w:rPr>
          <w:rFonts w:ascii="Segoe UI" w:hAnsi="Segoe UI" w:cs="Segoe UI"/>
          <w:color w:val="666666"/>
          <w:sz w:val="20"/>
          <w:szCs w:val="20"/>
        </w:rPr>
        <w:t>The strengthening of the U.S. dollar compared to foreign currencies had a significant impact on results in the</w:t>
      </w:r>
      <w:r>
        <w:rPr>
          <w:rFonts w:ascii="Segoe UI" w:hAnsi="Segoe UI" w:cs="Segoe UI"/>
          <w:color w:val="666666"/>
          <w:sz w:val="20"/>
          <w:szCs w:val="20"/>
        </w:rPr>
        <w:t xml:space="preserve"> quarter</w:t>
      </w:r>
      <w:r w:rsidRPr="00120414">
        <w:rPr>
          <w:rFonts w:ascii="Segoe UI" w:hAnsi="Segoe UI" w:cs="Segoe UI"/>
          <w:color w:val="666666"/>
          <w:sz w:val="20"/>
          <w:szCs w:val="20"/>
        </w:rPr>
        <w:t xml:space="preserve">. </w:t>
      </w:r>
      <w:r w:rsidR="00033AFB">
        <w:rPr>
          <w:rFonts w:ascii="Segoe UI" w:hAnsi="Segoe UI" w:cs="Segoe UI"/>
          <w:color w:val="666666"/>
          <w:sz w:val="20"/>
          <w:szCs w:val="20"/>
        </w:rPr>
        <w:t xml:space="preserve"> Excluding the effect of foreign exchange rate changes on the GAAP amounts, on a constant currency basis, revenue and gross margin would have declined 2% and 3%, and operating income and EPS would have declined 129% and 1</w:t>
      </w:r>
      <w:r w:rsidR="00F12898">
        <w:rPr>
          <w:rFonts w:ascii="Segoe UI" w:hAnsi="Segoe UI" w:cs="Segoe UI"/>
          <w:color w:val="666666"/>
          <w:sz w:val="20"/>
          <w:szCs w:val="20"/>
        </w:rPr>
        <w:t>76</w:t>
      </w:r>
      <w:r w:rsidR="00033AFB">
        <w:rPr>
          <w:rFonts w:ascii="Segoe UI" w:hAnsi="Segoe UI" w:cs="Segoe UI"/>
          <w:color w:val="666666"/>
          <w:sz w:val="20"/>
          <w:szCs w:val="20"/>
        </w:rPr>
        <w:t xml:space="preserve">%, respectively.  </w:t>
      </w:r>
      <w:r w:rsidR="002D1127">
        <w:rPr>
          <w:rFonts w:ascii="Segoe UI" w:hAnsi="Segoe UI" w:cs="Segoe UI"/>
          <w:color w:val="666666"/>
          <w:sz w:val="20"/>
          <w:szCs w:val="20"/>
        </w:rPr>
        <w:t xml:space="preserve">Excluding the effect of foreign </w:t>
      </w:r>
      <w:r w:rsidR="002D1127">
        <w:rPr>
          <w:rFonts w:ascii="Segoe UI" w:hAnsi="Segoe UI" w:cs="Segoe UI"/>
          <w:color w:val="666666"/>
          <w:sz w:val="20"/>
          <w:szCs w:val="20"/>
        </w:rPr>
        <w:lastRenderedPageBreak/>
        <w:t>exchange rate changes</w:t>
      </w:r>
      <w:r w:rsidR="00720B86">
        <w:rPr>
          <w:rFonts w:ascii="Segoe UI" w:hAnsi="Segoe UI" w:cs="Segoe UI"/>
          <w:color w:val="666666"/>
          <w:sz w:val="20"/>
          <w:szCs w:val="20"/>
        </w:rPr>
        <w:t xml:space="preserve"> on the </w:t>
      </w:r>
      <w:r w:rsidR="000462D2">
        <w:rPr>
          <w:rFonts w:ascii="Segoe UI" w:hAnsi="Segoe UI" w:cs="Segoe UI"/>
          <w:color w:val="666666"/>
          <w:sz w:val="20"/>
          <w:szCs w:val="20"/>
        </w:rPr>
        <w:t>Non-</w:t>
      </w:r>
      <w:r w:rsidR="00720B86">
        <w:rPr>
          <w:rFonts w:ascii="Segoe UI" w:hAnsi="Segoe UI" w:cs="Segoe UI"/>
          <w:color w:val="666666"/>
          <w:sz w:val="20"/>
          <w:szCs w:val="20"/>
        </w:rPr>
        <w:t>GAAP amounts</w:t>
      </w:r>
      <w:r w:rsidR="002D1127">
        <w:rPr>
          <w:rFonts w:ascii="Segoe UI" w:hAnsi="Segoe UI" w:cs="Segoe UI"/>
          <w:color w:val="666666"/>
          <w:sz w:val="20"/>
          <w:szCs w:val="20"/>
        </w:rPr>
        <w:t>, o</w:t>
      </w:r>
      <w:r w:rsidR="00907829">
        <w:rPr>
          <w:rFonts w:ascii="Segoe UI" w:hAnsi="Segoe UI" w:cs="Segoe UI"/>
          <w:color w:val="666666"/>
          <w:sz w:val="20"/>
          <w:szCs w:val="20"/>
        </w:rPr>
        <w:t>n a constant currency basis</w:t>
      </w:r>
      <w:r>
        <w:rPr>
          <w:rFonts w:ascii="Segoe UI" w:hAnsi="Segoe UI" w:cs="Segoe UI"/>
          <w:color w:val="666666"/>
          <w:sz w:val="20"/>
          <w:szCs w:val="20"/>
        </w:rPr>
        <w:t>,</w:t>
      </w:r>
      <w:r w:rsidR="00907829">
        <w:rPr>
          <w:rFonts w:ascii="Segoe UI" w:hAnsi="Segoe UI" w:cs="Segoe UI"/>
          <w:color w:val="666666"/>
          <w:sz w:val="20"/>
          <w:szCs w:val="20"/>
        </w:rPr>
        <w:t xml:space="preserve"> revenue and gross margin </w:t>
      </w:r>
      <w:r w:rsidR="006B3A42">
        <w:rPr>
          <w:rFonts w:ascii="Segoe UI" w:hAnsi="Segoe UI" w:cs="Segoe UI"/>
          <w:color w:val="666666"/>
          <w:sz w:val="20"/>
          <w:szCs w:val="20"/>
        </w:rPr>
        <w:t xml:space="preserve">would have </w:t>
      </w:r>
      <w:r w:rsidR="005969EE" w:rsidRPr="00CD4851">
        <w:rPr>
          <w:rFonts w:ascii="Segoe UI" w:hAnsi="Segoe UI" w:cs="Segoe UI"/>
          <w:color w:val="666666"/>
          <w:sz w:val="20"/>
          <w:szCs w:val="20"/>
        </w:rPr>
        <w:t xml:space="preserve">declined </w:t>
      </w:r>
      <w:r w:rsidR="000462D2" w:rsidRPr="00A57215">
        <w:rPr>
          <w:rFonts w:ascii="Segoe UI" w:hAnsi="Segoe UI" w:cs="Segoe UI"/>
          <w:color w:val="666666"/>
          <w:sz w:val="20"/>
          <w:szCs w:val="20"/>
        </w:rPr>
        <w:t>2</w:t>
      </w:r>
      <w:r w:rsidR="00907829">
        <w:rPr>
          <w:rFonts w:ascii="Segoe UI" w:hAnsi="Segoe UI" w:cs="Segoe UI"/>
          <w:color w:val="666666"/>
          <w:sz w:val="20"/>
          <w:szCs w:val="20"/>
        </w:rPr>
        <w:t xml:space="preserve">% and </w:t>
      </w:r>
      <w:r w:rsidR="000462D2" w:rsidRPr="00A57215">
        <w:rPr>
          <w:rFonts w:ascii="Segoe UI" w:hAnsi="Segoe UI" w:cs="Segoe UI"/>
          <w:color w:val="666666"/>
          <w:sz w:val="20"/>
          <w:szCs w:val="20"/>
        </w:rPr>
        <w:t>3</w:t>
      </w:r>
      <w:r w:rsidR="00907829">
        <w:rPr>
          <w:rFonts w:ascii="Segoe UI" w:hAnsi="Segoe UI" w:cs="Segoe UI"/>
          <w:color w:val="666666"/>
          <w:sz w:val="20"/>
          <w:szCs w:val="20"/>
        </w:rPr>
        <w:t>%</w:t>
      </w:r>
      <w:r w:rsidR="00344A6A">
        <w:rPr>
          <w:rFonts w:ascii="Segoe UI" w:hAnsi="Segoe UI" w:cs="Segoe UI"/>
          <w:color w:val="666666"/>
          <w:sz w:val="20"/>
          <w:szCs w:val="20"/>
        </w:rPr>
        <w:t>,</w:t>
      </w:r>
      <w:r w:rsidR="00907829">
        <w:rPr>
          <w:rFonts w:ascii="Segoe UI" w:hAnsi="Segoe UI" w:cs="Segoe UI"/>
          <w:color w:val="666666"/>
          <w:sz w:val="20"/>
          <w:szCs w:val="20"/>
        </w:rPr>
        <w:t xml:space="preserve"> respectively, and operating income and EPS </w:t>
      </w:r>
      <w:r w:rsidR="006B3A42">
        <w:rPr>
          <w:rFonts w:ascii="Segoe UI" w:hAnsi="Segoe UI" w:cs="Segoe UI"/>
          <w:color w:val="666666"/>
          <w:sz w:val="20"/>
          <w:szCs w:val="20"/>
        </w:rPr>
        <w:t xml:space="preserve">would have </w:t>
      </w:r>
      <w:r w:rsidR="00730920">
        <w:rPr>
          <w:rFonts w:ascii="Segoe UI" w:hAnsi="Segoe UI" w:cs="Segoe UI"/>
          <w:color w:val="666666"/>
          <w:sz w:val="20"/>
          <w:szCs w:val="20"/>
        </w:rPr>
        <w:t>decline</w:t>
      </w:r>
      <w:r w:rsidR="0044117C">
        <w:rPr>
          <w:rFonts w:ascii="Segoe UI" w:hAnsi="Segoe UI" w:cs="Segoe UI"/>
          <w:color w:val="666666"/>
          <w:sz w:val="20"/>
          <w:szCs w:val="20"/>
        </w:rPr>
        <w:t>d</w:t>
      </w:r>
      <w:r w:rsidR="00730920">
        <w:rPr>
          <w:rFonts w:ascii="Segoe UI" w:hAnsi="Segoe UI" w:cs="Segoe UI"/>
          <w:color w:val="666666"/>
          <w:sz w:val="20"/>
          <w:szCs w:val="20"/>
        </w:rPr>
        <w:t xml:space="preserve"> 1</w:t>
      </w:r>
      <w:r w:rsidR="00907829">
        <w:rPr>
          <w:rFonts w:ascii="Segoe UI" w:hAnsi="Segoe UI" w:cs="Segoe UI"/>
          <w:color w:val="666666"/>
          <w:sz w:val="20"/>
          <w:szCs w:val="20"/>
        </w:rPr>
        <w:t xml:space="preserve">% and </w:t>
      </w:r>
      <w:r w:rsidR="00730920">
        <w:rPr>
          <w:rFonts w:ascii="Segoe UI" w:hAnsi="Segoe UI" w:cs="Segoe UI"/>
          <w:color w:val="666666"/>
          <w:sz w:val="20"/>
          <w:szCs w:val="20"/>
        </w:rPr>
        <w:t>increased</w:t>
      </w:r>
      <w:r w:rsidR="002E50BE">
        <w:rPr>
          <w:rFonts w:ascii="Segoe UI" w:hAnsi="Segoe UI" w:cs="Segoe UI"/>
          <w:color w:val="666666"/>
          <w:sz w:val="20"/>
          <w:szCs w:val="20"/>
        </w:rPr>
        <w:t xml:space="preserve"> </w:t>
      </w:r>
      <w:r w:rsidR="00CD5489" w:rsidRPr="00CD5489">
        <w:rPr>
          <w:rFonts w:ascii="Segoe UI" w:hAnsi="Segoe UI" w:cs="Segoe UI"/>
          <w:color w:val="666666"/>
          <w:sz w:val="20"/>
          <w:szCs w:val="20"/>
        </w:rPr>
        <w:t>8</w:t>
      </w:r>
      <w:r w:rsidR="00907829">
        <w:rPr>
          <w:rFonts w:ascii="Segoe UI" w:hAnsi="Segoe UI" w:cs="Segoe UI"/>
          <w:color w:val="666666"/>
          <w:sz w:val="20"/>
          <w:szCs w:val="20"/>
        </w:rPr>
        <w:t>%</w:t>
      </w:r>
      <w:r w:rsidR="00344A6A">
        <w:rPr>
          <w:rFonts w:ascii="Segoe UI" w:hAnsi="Segoe UI" w:cs="Segoe UI"/>
          <w:color w:val="666666"/>
          <w:sz w:val="20"/>
          <w:szCs w:val="20"/>
        </w:rPr>
        <w:t>,</w:t>
      </w:r>
      <w:r w:rsidR="00907829">
        <w:rPr>
          <w:rFonts w:ascii="Segoe UI" w:hAnsi="Segoe UI" w:cs="Segoe UI"/>
          <w:color w:val="666666"/>
          <w:sz w:val="20"/>
          <w:szCs w:val="20"/>
        </w:rPr>
        <w:t xml:space="preserve"> respectively</w:t>
      </w:r>
      <w:r w:rsidR="00720B86">
        <w:rPr>
          <w:rFonts w:ascii="Segoe UI" w:hAnsi="Segoe UI" w:cs="Segoe UI"/>
          <w:color w:val="666666"/>
          <w:sz w:val="20"/>
          <w:szCs w:val="20"/>
        </w:rPr>
        <w:t>.</w:t>
      </w:r>
    </w:p>
    <w:p w14:paraId="23288207" w14:textId="1AC40931" w:rsidR="00537CCB" w:rsidRPr="00066D3A" w:rsidRDefault="00537CCB" w:rsidP="00537CCB">
      <w:pPr>
        <w:rPr>
          <w:rFonts w:ascii="Segoe UI" w:hAnsi="Segoe UI" w:cs="Segoe UI"/>
          <w:color w:val="666666"/>
          <w:sz w:val="20"/>
          <w:szCs w:val="20"/>
        </w:rPr>
      </w:pPr>
      <w:r w:rsidRPr="00066D3A">
        <w:rPr>
          <w:rFonts w:ascii="Segoe UI" w:hAnsi="Segoe UI" w:cs="Segoe UI"/>
          <w:color w:val="666666"/>
          <w:sz w:val="20"/>
          <w:szCs w:val="20"/>
        </w:rPr>
        <w:t>“</w:t>
      </w:r>
      <w:r w:rsidR="00A85379" w:rsidRPr="00A85379">
        <w:rPr>
          <w:rFonts w:ascii="Segoe UI" w:hAnsi="Segoe UI" w:cs="Segoe UI"/>
          <w:color w:val="666666"/>
          <w:sz w:val="20"/>
          <w:szCs w:val="20"/>
        </w:rPr>
        <w:t xml:space="preserve">Our approach to investing in areas where we have differentiation and opportunity is paying off with Surface, Xbox, Bing, Office 365, Azure and Dynamics CRM Online all growing by at least double-digits,” said Satya Nadella, chief executive officer </w:t>
      </w:r>
      <w:r w:rsidR="00A85379">
        <w:rPr>
          <w:rFonts w:ascii="Segoe UI" w:hAnsi="Segoe UI" w:cs="Segoe UI"/>
          <w:color w:val="666666"/>
          <w:sz w:val="20"/>
          <w:szCs w:val="20"/>
        </w:rPr>
        <w:t xml:space="preserve">at </w:t>
      </w:r>
      <w:r w:rsidR="00A85379" w:rsidRPr="00A85379">
        <w:rPr>
          <w:rFonts w:ascii="Segoe UI" w:hAnsi="Segoe UI" w:cs="Segoe UI"/>
          <w:color w:val="666666"/>
          <w:sz w:val="20"/>
          <w:szCs w:val="20"/>
        </w:rPr>
        <w:t>Microsoft. "And the upcoming release of Windows 10 will create new opportunities for Microsoft and our ecosystem</w:t>
      </w:r>
      <w:r w:rsidRPr="00066D3A">
        <w:rPr>
          <w:rFonts w:ascii="Segoe UI" w:hAnsi="Segoe UI" w:cs="Segoe UI"/>
          <w:color w:val="666666"/>
          <w:sz w:val="20"/>
          <w:szCs w:val="20"/>
        </w:rPr>
        <w:t xml:space="preserve">.” </w:t>
      </w:r>
    </w:p>
    <w:p w14:paraId="64111404" w14:textId="225E36D1" w:rsidR="00537CCB" w:rsidRDefault="00537CCB" w:rsidP="00DF2081">
      <w:pPr>
        <w:rPr>
          <w:rFonts w:ascii="Segoe UI" w:hAnsi="Segoe UI" w:cs="Segoe UI"/>
          <w:color w:val="666666"/>
          <w:sz w:val="20"/>
          <w:szCs w:val="20"/>
          <w:highlight w:val="yellow"/>
        </w:rPr>
      </w:pPr>
      <w:r w:rsidRPr="00066D3A">
        <w:rPr>
          <w:rFonts w:ascii="Segoe UI" w:hAnsi="Segoe UI" w:cs="Segoe UI"/>
          <w:color w:val="666666"/>
          <w:sz w:val="20"/>
          <w:szCs w:val="20"/>
        </w:rPr>
        <w:t>“</w:t>
      </w:r>
      <w:r w:rsidR="001E466B" w:rsidRPr="001E466B">
        <w:rPr>
          <w:rFonts w:ascii="Segoe UI" w:hAnsi="Segoe UI" w:cs="Segoe UI"/>
          <w:color w:val="666666"/>
          <w:sz w:val="20"/>
          <w:szCs w:val="20"/>
        </w:rPr>
        <w:t>We finished the fiscal year with solid progress against our strategic priorities, through strong execution and financial discipline, which is reflected in our results for the quarter and the year</w:t>
      </w:r>
      <w:r w:rsidRPr="00066D3A">
        <w:rPr>
          <w:rFonts w:ascii="Segoe UI" w:hAnsi="Segoe UI" w:cs="Segoe UI"/>
          <w:color w:val="666666"/>
          <w:sz w:val="20"/>
          <w:szCs w:val="20"/>
        </w:rPr>
        <w:t>,” said Amy Hood, executive vice president and chief financial officer</w:t>
      </w:r>
      <w:r w:rsidR="002E23B2">
        <w:rPr>
          <w:rFonts w:ascii="Segoe UI" w:hAnsi="Segoe UI" w:cs="Segoe UI"/>
          <w:color w:val="666666"/>
          <w:sz w:val="20"/>
          <w:szCs w:val="20"/>
        </w:rPr>
        <w:t xml:space="preserve"> at Microsoft</w:t>
      </w:r>
      <w:r w:rsidRPr="00066D3A">
        <w:rPr>
          <w:rFonts w:ascii="Segoe UI" w:hAnsi="Segoe UI" w:cs="Segoe UI"/>
          <w:color w:val="666666"/>
          <w:sz w:val="20"/>
          <w:szCs w:val="20"/>
        </w:rPr>
        <w:t xml:space="preserve">. </w:t>
      </w:r>
    </w:p>
    <w:p w14:paraId="7E39D69C" w14:textId="77777777" w:rsidR="00B25AB2" w:rsidRPr="00EA786C" w:rsidRDefault="00B25AB2" w:rsidP="00B25AB2">
      <w:pPr>
        <w:spacing w:line="280" w:lineRule="exact"/>
        <w:rPr>
          <w:rFonts w:ascii="Segoe UI" w:hAnsi="Segoe UI" w:cs="Segoe UI"/>
          <w:color w:val="666666"/>
          <w:sz w:val="20"/>
          <w:szCs w:val="20"/>
        </w:rPr>
      </w:pPr>
      <w:r w:rsidRPr="00EA786C">
        <w:rPr>
          <w:rFonts w:ascii="Segoe UI" w:hAnsi="Segoe UI" w:cs="Segoe UI"/>
          <w:color w:val="666666"/>
          <w:sz w:val="20"/>
          <w:szCs w:val="20"/>
        </w:rPr>
        <w:t xml:space="preserve">Devices and Consumer revenue </w:t>
      </w:r>
      <w:r w:rsidR="002E590E">
        <w:rPr>
          <w:rFonts w:ascii="Segoe UI" w:hAnsi="Segoe UI" w:cs="Segoe UI"/>
          <w:color w:val="666666"/>
          <w:sz w:val="20"/>
          <w:szCs w:val="20"/>
        </w:rPr>
        <w:t>declined</w:t>
      </w:r>
      <w:r w:rsidRPr="00EA786C">
        <w:rPr>
          <w:rFonts w:ascii="Segoe UI" w:hAnsi="Segoe UI" w:cs="Segoe UI"/>
          <w:color w:val="666666"/>
          <w:sz w:val="20"/>
          <w:szCs w:val="20"/>
        </w:rPr>
        <w:t xml:space="preserve"> </w:t>
      </w:r>
      <w:r w:rsidR="002E590E" w:rsidRPr="00207F8F">
        <w:rPr>
          <w:rFonts w:ascii="Segoe UI" w:hAnsi="Segoe UI" w:cs="Segoe UI"/>
          <w:color w:val="666666"/>
          <w:sz w:val="20"/>
          <w:szCs w:val="20"/>
        </w:rPr>
        <w:t>13</w:t>
      </w:r>
      <w:r w:rsidRPr="00EA786C">
        <w:rPr>
          <w:rFonts w:ascii="Segoe UI" w:hAnsi="Segoe UI" w:cs="Segoe UI"/>
          <w:color w:val="666666"/>
          <w:sz w:val="20"/>
          <w:szCs w:val="20"/>
        </w:rPr>
        <w:t>%</w:t>
      </w:r>
      <w:r w:rsidR="00E10773">
        <w:rPr>
          <w:rFonts w:ascii="Segoe UI" w:hAnsi="Segoe UI" w:cs="Segoe UI"/>
          <w:color w:val="666666"/>
          <w:sz w:val="20"/>
          <w:szCs w:val="20"/>
        </w:rPr>
        <w:t xml:space="preserve"> (</w:t>
      </w:r>
      <w:r w:rsidR="002E590E">
        <w:rPr>
          <w:rFonts w:ascii="Segoe UI" w:hAnsi="Segoe UI" w:cs="Segoe UI"/>
          <w:color w:val="666666"/>
          <w:sz w:val="20"/>
          <w:szCs w:val="20"/>
        </w:rPr>
        <w:t>down</w:t>
      </w:r>
      <w:r w:rsidR="00E10773">
        <w:rPr>
          <w:rFonts w:ascii="Segoe UI" w:hAnsi="Segoe UI" w:cs="Segoe UI"/>
          <w:color w:val="666666"/>
          <w:sz w:val="20"/>
          <w:szCs w:val="20"/>
        </w:rPr>
        <w:t xml:space="preserve"> </w:t>
      </w:r>
      <w:r w:rsidR="005969EE" w:rsidRPr="00207F8F">
        <w:rPr>
          <w:rFonts w:ascii="Segoe UI" w:hAnsi="Segoe UI" w:cs="Segoe UI"/>
          <w:color w:val="666666"/>
          <w:sz w:val="20"/>
          <w:szCs w:val="20"/>
        </w:rPr>
        <w:t>10</w:t>
      </w:r>
      <w:r w:rsidR="00E10773">
        <w:rPr>
          <w:rFonts w:ascii="Segoe UI" w:hAnsi="Segoe UI" w:cs="Segoe UI"/>
          <w:color w:val="666666"/>
          <w:sz w:val="20"/>
          <w:szCs w:val="20"/>
        </w:rPr>
        <w:t xml:space="preserve">% </w:t>
      </w:r>
      <w:r w:rsidR="00E2597D">
        <w:rPr>
          <w:rFonts w:ascii="Segoe UI" w:hAnsi="Segoe UI" w:cs="Segoe UI"/>
          <w:color w:val="666666"/>
          <w:sz w:val="20"/>
          <w:szCs w:val="20"/>
        </w:rPr>
        <w:t xml:space="preserve">in </w:t>
      </w:r>
      <w:r w:rsidR="00E10773">
        <w:rPr>
          <w:rFonts w:ascii="Segoe UI" w:hAnsi="Segoe UI" w:cs="Segoe UI"/>
          <w:color w:val="666666"/>
          <w:sz w:val="20"/>
          <w:szCs w:val="20"/>
        </w:rPr>
        <w:t>constant currency)</w:t>
      </w:r>
      <w:r w:rsidRPr="00EA786C">
        <w:rPr>
          <w:rFonts w:ascii="Segoe UI" w:hAnsi="Segoe UI" w:cs="Segoe UI"/>
          <w:color w:val="666666"/>
          <w:sz w:val="20"/>
          <w:szCs w:val="20"/>
        </w:rPr>
        <w:t xml:space="preserve"> to $</w:t>
      </w:r>
      <w:r w:rsidR="002E590E" w:rsidRPr="00207F8F">
        <w:rPr>
          <w:rFonts w:ascii="Segoe UI" w:hAnsi="Segoe UI" w:cs="Segoe UI"/>
          <w:color w:val="666666"/>
          <w:sz w:val="20"/>
          <w:szCs w:val="20"/>
        </w:rPr>
        <w:t>8.7</w:t>
      </w:r>
      <w:r w:rsidRPr="00207F8F">
        <w:rPr>
          <w:rFonts w:ascii="Segoe UI" w:hAnsi="Segoe UI" w:cs="Segoe UI"/>
          <w:color w:val="666666"/>
          <w:sz w:val="20"/>
          <w:szCs w:val="20"/>
        </w:rPr>
        <w:t xml:space="preserve"> </w:t>
      </w:r>
      <w:r w:rsidRPr="00EA786C">
        <w:rPr>
          <w:rFonts w:ascii="Segoe UI" w:hAnsi="Segoe UI" w:cs="Segoe UI"/>
          <w:color w:val="666666"/>
          <w:sz w:val="20"/>
          <w:szCs w:val="20"/>
        </w:rPr>
        <w:t>billion, with the following business highlights:</w:t>
      </w:r>
    </w:p>
    <w:p w14:paraId="0E53D09F" w14:textId="77777777" w:rsidR="0039408D" w:rsidRPr="001F0EB6" w:rsidRDefault="0039408D" w:rsidP="0039408D">
      <w:pPr>
        <w:pStyle w:val="ListParagraph"/>
        <w:numPr>
          <w:ilvl w:val="0"/>
          <w:numId w:val="2"/>
        </w:numPr>
        <w:spacing w:line="280" w:lineRule="exact"/>
        <w:rPr>
          <w:rFonts w:ascii="Segoe UI" w:hAnsi="Segoe UI" w:cs="Segoe UI"/>
          <w:color w:val="666666"/>
          <w:sz w:val="20"/>
          <w:szCs w:val="20"/>
        </w:rPr>
      </w:pPr>
      <w:r w:rsidRPr="001F0EB6">
        <w:rPr>
          <w:rFonts w:ascii="Segoe UI" w:hAnsi="Segoe UI" w:cs="Segoe UI"/>
          <w:color w:val="666666"/>
          <w:sz w:val="20"/>
          <w:szCs w:val="20"/>
        </w:rPr>
        <w:t>Windows OEM revenue decreased 22%</w:t>
      </w:r>
      <w:r>
        <w:rPr>
          <w:rFonts w:ascii="Segoe UI" w:hAnsi="Segoe UI" w:cs="Segoe UI"/>
          <w:color w:val="666666"/>
          <w:sz w:val="20"/>
          <w:szCs w:val="20"/>
        </w:rPr>
        <w:t xml:space="preserve"> as revenue was</w:t>
      </w:r>
      <w:r w:rsidRPr="001F0EB6">
        <w:rPr>
          <w:rFonts w:ascii="Segoe UI" w:hAnsi="Segoe UI" w:cs="Segoe UI"/>
          <w:color w:val="666666"/>
          <w:sz w:val="20"/>
          <w:szCs w:val="20"/>
        </w:rPr>
        <w:t xml:space="preserve"> impacted by PC market declines</w:t>
      </w:r>
      <w:r>
        <w:rPr>
          <w:rFonts w:ascii="Segoe UI" w:hAnsi="Segoe UI" w:cs="Segoe UI"/>
          <w:color w:val="666666"/>
          <w:sz w:val="20"/>
          <w:szCs w:val="20"/>
        </w:rPr>
        <w:t xml:space="preserve"> following the XP end-of-support refresh cycle</w:t>
      </w:r>
    </w:p>
    <w:p w14:paraId="0BEB13DD" w14:textId="76F950E2" w:rsidR="00CB1FB6" w:rsidRDefault="00CB1FB6" w:rsidP="00CB1FB6">
      <w:pPr>
        <w:pStyle w:val="ListParagraph"/>
        <w:numPr>
          <w:ilvl w:val="0"/>
          <w:numId w:val="2"/>
        </w:numPr>
        <w:spacing w:line="280" w:lineRule="exact"/>
        <w:rPr>
          <w:rFonts w:ascii="Segoe UI" w:hAnsi="Segoe UI" w:cs="Segoe UI"/>
          <w:color w:val="666666"/>
          <w:sz w:val="20"/>
          <w:szCs w:val="20"/>
        </w:rPr>
      </w:pPr>
      <w:r w:rsidRPr="00610D6A">
        <w:rPr>
          <w:rFonts w:ascii="Segoe UI" w:hAnsi="Segoe UI" w:cs="Segoe UI"/>
          <w:color w:val="666666"/>
          <w:sz w:val="20"/>
          <w:szCs w:val="20"/>
        </w:rPr>
        <w:t xml:space="preserve">Surface revenue </w:t>
      </w:r>
      <w:r w:rsidR="00D24904">
        <w:rPr>
          <w:rFonts w:ascii="Segoe UI" w:hAnsi="Segoe UI" w:cs="Segoe UI"/>
          <w:color w:val="666666"/>
          <w:sz w:val="20"/>
          <w:szCs w:val="20"/>
        </w:rPr>
        <w:t xml:space="preserve">grew 117% to </w:t>
      </w:r>
      <w:r w:rsidRPr="00610D6A">
        <w:rPr>
          <w:rFonts w:ascii="Segoe UI" w:hAnsi="Segoe UI" w:cs="Segoe UI"/>
          <w:color w:val="666666"/>
          <w:sz w:val="20"/>
          <w:szCs w:val="20"/>
        </w:rPr>
        <w:t xml:space="preserve">$888 million, driven by Surface Pro 3 and launch of </w:t>
      </w:r>
      <w:r w:rsidR="00E9099B">
        <w:rPr>
          <w:rFonts w:ascii="Segoe UI" w:hAnsi="Segoe UI" w:cs="Segoe UI"/>
          <w:color w:val="666666"/>
          <w:sz w:val="20"/>
          <w:szCs w:val="20"/>
        </w:rPr>
        <w:t xml:space="preserve">the </w:t>
      </w:r>
      <w:r w:rsidRPr="00610D6A">
        <w:rPr>
          <w:rFonts w:ascii="Segoe UI" w:hAnsi="Segoe UI" w:cs="Segoe UI"/>
          <w:color w:val="666666"/>
          <w:sz w:val="20"/>
          <w:szCs w:val="20"/>
        </w:rPr>
        <w:t>Surface 3</w:t>
      </w:r>
    </w:p>
    <w:p w14:paraId="5465BC0F" w14:textId="77777777" w:rsidR="001F0EB6" w:rsidRDefault="001F0EB6" w:rsidP="001F0EB6">
      <w:pPr>
        <w:pStyle w:val="ListParagraph"/>
        <w:numPr>
          <w:ilvl w:val="0"/>
          <w:numId w:val="2"/>
        </w:numPr>
        <w:spacing w:line="280" w:lineRule="exact"/>
        <w:rPr>
          <w:rFonts w:ascii="Segoe UI" w:hAnsi="Segoe UI" w:cs="Segoe UI"/>
          <w:color w:val="666666"/>
          <w:sz w:val="20"/>
          <w:szCs w:val="20"/>
        </w:rPr>
      </w:pPr>
      <w:r w:rsidRPr="001F0EB6">
        <w:rPr>
          <w:rFonts w:ascii="Segoe UI" w:hAnsi="Segoe UI" w:cs="Segoe UI"/>
          <w:color w:val="666666"/>
          <w:sz w:val="20"/>
          <w:szCs w:val="20"/>
        </w:rPr>
        <w:t xml:space="preserve">Total Xbox revenue grew </w:t>
      </w:r>
      <w:r w:rsidR="00F93E01">
        <w:rPr>
          <w:rFonts w:ascii="Segoe UI" w:hAnsi="Segoe UI" w:cs="Segoe UI"/>
          <w:color w:val="666666"/>
          <w:sz w:val="20"/>
          <w:szCs w:val="20"/>
        </w:rPr>
        <w:t>2</w:t>
      </w:r>
      <w:r w:rsidR="00D06C32">
        <w:rPr>
          <w:rFonts w:ascii="Segoe UI" w:hAnsi="Segoe UI" w:cs="Segoe UI"/>
          <w:color w:val="666666"/>
          <w:sz w:val="20"/>
          <w:szCs w:val="20"/>
        </w:rPr>
        <w:t>7</w:t>
      </w:r>
      <w:r w:rsidRPr="001F0EB6">
        <w:rPr>
          <w:rFonts w:ascii="Segoe UI" w:hAnsi="Segoe UI" w:cs="Segoe UI"/>
          <w:color w:val="666666"/>
          <w:sz w:val="20"/>
          <w:szCs w:val="20"/>
        </w:rPr>
        <w:t>% based on strong growth in consoles, Xbox Live transactions and first party games</w:t>
      </w:r>
    </w:p>
    <w:p w14:paraId="5DEC5CD2" w14:textId="6C7C0FAB" w:rsidR="001F0EB6" w:rsidRPr="001F0EB6" w:rsidRDefault="00CB1FB6" w:rsidP="001F0EB6">
      <w:pPr>
        <w:pStyle w:val="ListParagraph"/>
        <w:numPr>
          <w:ilvl w:val="0"/>
          <w:numId w:val="2"/>
        </w:numPr>
        <w:spacing w:line="280" w:lineRule="exact"/>
        <w:rPr>
          <w:rFonts w:ascii="Segoe UI" w:hAnsi="Segoe UI" w:cs="Segoe UI"/>
          <w:color w:val="666666"/>
          <w:sz w:val="20"/>
          <w:szCs w:val="20"/>
        </w:rPr>
      </w:pPr>
      <w:r w:rsidRPr="001F0EB6">
        <w:rPr>
          <w:rFonts w:ascii="Segoe UI" w:hAnsi="Segoe UI" w:cs="Segoe UI"/>
          <w:color w:val="666666"/>
          <w:sz w:val="20"/>
          <w:szCs w:val="20"/>
        </w:rPr>
        <w:t xml:space="preserve">Search advertising revenue grew 21% with Bing U.S. market share at </w:t>
      </w:r>
      <w:r w:rsidR="00424E59" w:rsidRPr="001F0EB6">
        <w:rPr>
          <w:rFonts w:ascii="Segoe UI" w:hAnsi="Segoe UI" w:cs="Segoe UI"/>
          <w:color w:val="666666"/>
          <w:sz w:val="20"/>
          <w:szCs w:val="20"/>
        </w:rPr>
        <w:t>20</w:t>
      </w:r>
      <w:r w:rsidRPr="001F0EB6">
        <w:rPr>
          <w:rFonts w:ascii="Segoe UI" w:hAnsi="Segoe UI" w:cs="Segoe UI"/>
          <w:color w:val="666666"/>
          <w:sz w:val="20"/>
          <w:szCs w:val="20"/>
        </w:rPr>
        <w:t>.</w:t>
      </w:r>
      <w:r w:rsidR="00424E59" w:rsidRPr="001F0EB6">
        <w:rPr>
          <w:rFonts w:ascii="Segoe UI" w:hAnsi="Segoe UI" w:cs="Segoe UI"/>
          <w:color w:val="666666"/>
          <w:sz w:val="20"/>
          <w:szCs w:val="20"/>
        </w:rPr>
        <w:t>3</w:t>
      </w:r>
      <w:r w:rsidRPr="001F0EB6">
        <w:rPr>
          <w:rFonts w:ascii="Segoe UI" w:hAnsi="Segoe UI" w:cs="Segoe UI"/>
          <w:color w:val="666666"/>
          <w:sz w:val="20"/>
          <w:szCs w:val="20"/>
        </w:rPr>
        <w:t xml:space="preserve">%, up </w:t>
      </w:r>
      <w:r w:rsidR="00424E59" w:rsidRPr="001F0EB6">
        <w:rPr>
          <w:rFonts w:ascii="Segoe UI" w:hAnsi="Segoe UI" w:cs="Segoe UI"/>
          <w:color w:val="666666"/>
          <w:sz w:val="20"/>
          <w:szCs w:val="20"/>
        </w:rPr>
        <w:t xml:space="preserve">110 </w:t>
      </w:r>
      <w:r w:rsidRPr="001F0EB6">
        <w:rPr>
          <w:rFonts w:ascii="Segoe UI" w:hAnsi="Segoe UI" w:cs="Segoe UI"/>
          <w:color w:val="666666"/>
          <w:sz w:val="20"/>
          <w:szCs w:val="20"/>
        </w:rPr>
        <w:t xml:space="preserve">basis points over </w:t>
      </w:r>
      <w:r w:rsidR="00E9099B">
        <w:rPr>
          <w:rFonts w:ascii="Segoe UI" w:hAnsi="Segoe UI" w:cs="Segoe UI"/>
          <w:color w:val="666666"/>
          <w:sz w:val="20"/>
          <w:szCs w:val="20"/>
        </w:rPr>
        <w:t xml:space="preserve">the </w:t>
      </w:r>
      <w:r w:rsidRPr="001F0EB6">
        <w:rPr>
          <w:rFonts w:ascii="Segoe UI" w:hAnsi="Segoe UI" w:cs="Segoe UI"/>
          <w:color w:val="666666"/>
          <w:sz w:val="20"/>
          <w:szCs w:val="20"/>
        </w:rPr>
        <w:t>prior year</w:t>
      </w:r>
    </w:p>
    <w:p w14:paraId="4FB1C82B" w14:textId="7EA6A64A" w:rsidR="001F0EB6" w:rsidRPr="001F0EB6" w:rsidRDefault="00B25AB2" w:rsidP="001F0EB6">
      <w:pPr>
        <w:pStyle w:val="ListParagraph"/>
        <w:numPr>
          <w:ilvl w:val="0"/>
          <w:numId w:val="2"/>
        </w:numPr>
        <w:spacing w:line="280" w:lineRule="exact"/>
        <w:rPr>
          <w:rFonts w:ascii="Segoe UI" w:hAnsi="Segoe UI" w:cs="Segoe UI"/>
          <w:color w:val="666666"/>
          <w:sz w:val="20"/>
          <w:szCs w:val="20"/>
        </w:rPr>
      </w:pPr>
      <w:r w:rsidRPr="001F0EB6">
        <w:rPr>
          <w:rFonts w:ascii="Segoe UI" w:hAnsi="Segoe UI" w:cs="Segoe UI"/>
          <w:color w:val="666666"/>
          <w:sz w:val="20"/>
          <w:szCs w:val="20"/>
        </w:rPr>
        <w:t xml:space="preserve">Office 365 </w:t>
      </w:r>
      <w:r w:rsidR="00F75160" w:rsidRPr="001F0EB6">
        <w:rPr>
          <w:rFonts w:ascii="Segoe UI" w:hAnsi="Segoe UI" w:cs="Segoe UI"/>
          <w:color w:val="666666"/>
          <w:sz w:val="20"/>
          <w:szCs w:val="20"/>
        </w:rPr>
        <w:t xml:space="preserve">Consumer </w:t>
      </w:r>
      <w:r w:rsidRPr="001F0EB6">
        <w:rPr>
          <w:rFonts w:ascii="Segoe UI" w:hAnsi="Segoe UI" w:cs="Segoe UI"/>
          <w:color w:val="666666"/>
          <w:sz w:val="20"/>
          <w:szCs w:val="20"/>
        </w:rPr>
        <w:t xml:space="preserve">subscribers increased to </w:t>
      </w:r>
      <w:r w:rsidR="00CB1FB6" w:rsidRPr="001F0EB6">
        <w:rPr>
          <w:rFonts w:ascii="Segoe UI" w:hAnsi="Segoe UI" w:cs="Segoe UI"/>
          <w:color w:val="666666"/>
          <w:sz w:val="20"/>
          <w:szCs w:val="20"/>
        </w:rPr>
        <w:t>15.2</w:t>
      </w:r>
      <w:r w:rsidRPr="001F0EB6">
        <w:rPr>
          <w:rFonts w:ascii="Segoe UI" w:hAnsi="Segoe UI" w:cs="Segoe UI"/>
          <w:color w:val="666666"/>
          <w:sz w:val="20"/>
          <w:szCs w:val="20"/>
        </w:rPr>
        <w:t xml:space="preserve"> </w:t>
      </w:r>
      <w:r w:rsidR="009E74B2" w:rsidRPr="001F0EB6">
        <w:rPr>
          <w:rFonts w:ascii="Segoe UI" w:hAnsi="Segoe UI" w:cs="Segoe UI"/>
          <w:color w:val="666666"/>
          <w:sz w:val="20"/>
          <w:szCs w:val="20"/>
        </w:rPr>
        <w:t xml:space="preserve">million, </w:t>
      </w:r>
      <w:r w:rsidR="00CB1FB6" w:rsidRPr="001F0EB6">
        <w:rPr>
          <w:rFonts w:ascii="Segoe UI" w:hAnsi="Segoe UI" w:cs="Segoe UI"/>
          <w:color w:val="666666"/>
          <w:sz w:val="20"/>
          <w:szCs w:val="20"/>
        </w:rPr>
        <w:t xml:space="preserve">with nearly </w:t>
      </w:r>
      <w:r w:rsidR="003D3D46">
        <w:rPr>
          <w:rFonts w:ascii="Segoe UI" w:hAnsi="Segoe UI" w:cs="Segoe UI"/>
          <w:color w:val="666666"/>
          <w:sz w:val="20"/>
          <w:szCs w:val="20"/>
        </w:rPr>
        <w:t>3</w:t>
      </w:r>
      <w:r w:rsidR="003D3D46" w:rsidRPr="001F0EB6">
        <w:rPr>
          <w:rFonts w:ascii="Segoe UI" w:hAnsi="Segoe UI" w:cs="Segoe UI"/>
          <w:color w:val="666666"/>
          <w:sz w:val="20"/>
          <w:szCs w:val="20"/>
        </w:rPr>
        <w:t xml:space="preserve"> </w:t>
      </w:r>
      <w:r w:rsidR="00CB1FB6" w:rsidRPr="001F0EB6">
        <w:rPr>
          <w:rFonts w:ascii="Segoe UI" w:hAnsi="Segoe UI" w:cs="Segoe UI"/>
          <w:color w:val="666666"/>
          <w:sz w:val="20"/>
          <w:szCs w:val="20"/>
        </w:rPr>
        <w:t>million subscribers added</w:t>
      </w:r>
      <w:r w:rsidR="000462D2">
        <w:rPr>
          <w:rFonts w:ascii="Segoe UI" w:hAnsi="Segoe UI" w:cs="Segoe UI"/>
          <w:color w:val="666666"/>
          <w:sz w:val="20"/>
          <w:szCs w:val="20"/>
        </w:rPr>
        <w:t xml:space="preserve"> </w:t>
      </w:r>
      <w:r w:rsidR="003D3D46">
        <w:rPr>
          <w:rFonts w:ascii="Segoe UI" w:hAnsi="Segoe UI" w:cs="Segoe UI"/>
          <w:color w:val="666666"/>
          <w:sz w:val="20"/>
          <w:szCs w:val="20"/>
        </w:rPr>
        <w:t>in the quarter</w:t>
      </w:r>
    </w:p>
    <w:p w14:paraId="5A3B9F22" w14:textId="0B686096" w:rsidR="00B25AB2" w:rsidRPr="00EA786C" w:rsidRDefault="00B25AB2" w:rsidP="00B25AB2">
      <w:pPr>
        <w:spacing w:line="280" w:lineRule="exact"/>
        <w:rPr>
          <w:rFonts w:ascii="Segoe UI" w:hAnsi="Segoe UI" w:cs="Segoe UI"/>
          <w:color w:val="666666"/>
          <w:sz w:val="20"/>
          <w:szCs w:val="20"/>
        </w:rPr>
      </w:pPr>
      <w:r w:rsidRPr="00EA786C">
        <w:rPr>
          <w:rFonts w:ascii="Segoe UI" w:hAnsi="Segoe UI" w:cs="Segoe UI"/>
          <w:color w:val="666666"/>
          <w:sz w:val="20"/>
          <w:szCs w:val="20"/>
        </w:rPr>
        <w:t xml:space="preserve">Commercial revenue </w:t>
      </w:r>
      <w:r w:rsidR="003D3D46">
        <w:rPr>
          <w:rFonts w:ascii="Segoe UI" w:hAnsi="Segoe UI" w:cs="Segoe UI"/>
          <w:color w:val="666666"/>
          <w:sz w:val="20"/>
          <w:szCs w:val="20"/>
        </w:rPr>
        <w:t>increased slightly</w:t>
      </w:r>
      <w:r w:rsidR="00DA02ED">
        <w:rPr>
          <w:rFonts w:ascii="Segoe UI" w:hAnsi="Segoe UI" w:cs="Segoe UI"/>
          <w:color w:val="666666"/>
          <w:sz w:val="20"/>
          <w:szCs w:val="20"/>
        </w:rPr>
        <w:t xml:space="preserve"> </w:t>
      </w:r>
      <w:r w:rsidR="00E10773">
        <w:rPr>
          <w:rFonts w:ascii="Segoe UI" w:hAnsi="Segoe UI" w:cs="Segoe UI"/>
          <w:color w:val="666666"/>
          <w:sz w:val="20"/>
          <w:szCs w:val="20"/>
        </w:rPr>
        <w:t xml:space="preserve">(up </w:t>
      </w:r>
      <w:r w:rsidR="00207F8F" w:rsidRPr="00207F8F">
        <w:rPr>
          <w:rFonts w:ascii="Segoe UI" w:hAnsi="Segoe UI" w:cs="Segoe UI"/>
          <w:color w:val="666666"/>
          <w:sz w:val="20"/>
          <w:szCs w:val="20"/>
        </w:rPr>
        <w:t>4</w:t>
      </w:r>
      <w:r w:rsidR="00E10773">
        <w:rPr>
          <w:rFonts w:ascii="Segoe UI" w:hAnsi="Segoe UI" w:cs="Segoe UI"/>
          <w:color w:val="666666"/>
          <w:sz w:val="20"/>
          <w:szCs w:val="20"/>
        </w:rPr>
        <w:t xml:space="preserve">% </w:t>
      </w:r>
      <w:r w:rsidR="00E2597D">
        <w:rPr>
          <w:rFonts w:ascii="Segoe UI" w:hAnsi="Segoe UI" w:cs="Segoe UI"/>
          <w:color w:val="666666"/>
          <w:sz w:val="20"/>
          <w:szCs w:val="20"/>
        </w:rPr>
        <w:t xml:space="preserve">in </w:t>
      </w:r>
      <w:r w:rsidR="00E10773">
        <w:rPr>
          <w:rFonts w:ascii="Segoe UI" w:hAnsi="Segoe UI" w:cs="Segoe UI"/>
          <w:color w:val="666666"/>
          <w:sz w:val="20"/>
          <w:szCs w:val="20"/>
        </w:rPr>
        <w:t xml:space="preserve">constant currency) </w:t>
      </w:r>
      <w:r w:rsidR="00E9099B">
        <w:rPr>
          <w:rFonts w:ascii="Segoe UI" w:hAnsi="Segoe UI" w:cs="Segoe UI"/>
          <w:color w:val="666666"/>
          <w:sz w:val="20"/>
          <w:szCs w:val="20"/>
        </w:rPr>
        <w:t>to</w:t>
      </w:r>
      <w:r w:rsidR="00E9099B" w:rsidRPr="00EA786C">
        <w:rPr>
          <w:rFonts w:ascii="Segoe UI" w:hAnsi="Segoe UI" w:cs="Segoe UI"/>
          <w:color w:val="666666"/>
          <w:sz w:val="20"/>
          <w:szCs w:val="20"/>
        </w:rPr>
        <w:t xml:space="preserve"> </w:t>
      </w:r>
      <w:r w:rsidRPr="00EA786C">
        <w:rPr>
          <w:rFonts w:ascii="Segoe UI" w:hAnsi="Segoe UI" w:cs="Segoe UI"/>
          <w:color w:val="666666"/>
          <w:sz w:val="20"/>
          <w:szCs w:val="20"/>
        </w:rPr>
        <w:t>$</w:t>
      </w:r>
      <w:r w:rsidR="00DA02ED" w:rsidRPr="00207F8F">
        <w:rPr>
          <w:rFonts w:ascii="Segoe UI" w:hAnsi="Segoe UI" w:cs="Segoe UI"/>
          <w:color w:val="666666"/>
          <w:sz w:val="20"/>
          <w:szCs w:val="20"/>
        </w:rPr>
        <w:t>13.5</w:t>
      </w:r>
      <w:r w:rsidRPr="00207F8F">
        <w:rPr>
          <w:rFonts w:ascii="Segoe UI" w:hAnsi="Segoe UI" w:cs="Segoe UI"/>
          <w:color w:val="666666"/>
          <w:sz w:val="20"/>
          <w:szCs w:val="20"/>
        </w:rPr>
        <w:t xml:space="preserve"> </w:t>
      </w:r>
      <w:r w:rsidRPr="00EA786C">
        <w:rPr>
          <w:rFonts w:ascii="Segoe UI" w:hAnsi="Segoe UI" w:cs="Segoe UI"/>
          <w:color w:val="666666"/>
          <w:sz w:val="20"/>
          <w:szCs w:val="20"/>
        </w:rPr>
        <w:t>billion, with the following business highlights:</w:t>
      </w:r>
    </w:p>
    <w:p w14:paraId="3C54B57E" w14:textId="7D257D00" w:rsidR="00B25AB2" w:rsidRPr="006E5B27" w:rsidRDefault="00B25AB2" w:rsidP="00B25AB2">
      <w:pPr>
        <w:pStyle w:val="ListParagraph"/>
        <w:numPr>
          <w:ilvl w:val="0"/>
          <w:numId w:val="2"/>
        </w:numPr>
        <w:spacing w:line="280" w:lineRule="exact"/>
        <w:rPr>
          <w:rFonts w:ascii="Segoe UI" w:hAnsi="Segoe UI" w:cs="Segoe UI"/>
          <w:color w:val="666666"/>
          <w:sz w:val="20"/>
          <w:szCs w:val="20"/>
        </w:rPr>
      </w:pPr>
      <w:r w:rsidRPr="006E5B27">
        <w:rPr>
          <w:rFonts w:ascii="Segoe UI" w:hAnsi="Segoe UI" w:cs="Segoe UI"/>
          <w:color w:val="666666"/>
          <w:sz w:val="20"/>
          <w:szCs w:val="20"/>
        </w:rPr>
        <w:t xml:space="preserve">Commercial cloud revenue grew </w:t>
      </w:r>
      <w:r w:rsidR="006E5B27">
        <w:rPr>
          <w:rFonts w:ascii="Segoe UI" w:hAnsi="Segoe UI" w:cs="Segoe UI"/>
          <w:color w:val="666666"/>
          <w:sz w:val="20"/>
          <w:szCs w:val="20"/>
        </w:rPr>
        <w:t>88</w:t>
      </w:r>
      <w:r w:rsidRPr="006E5B27">
        <w:rPr>
          <w:rFonts w:ascii="Segoe UI" w:hAnsi="Segoe UI" w:cs="Segoe UI"/>
          <w:color w:val="666666"/>
          <w:sz w:val="20"/>
          <w:szCs w:val="20"/>
        </w:rPr>
        <w:t xml:space="preserve">% </w:t>
      </w:r>
      <w:r w:rsidR="003D3D46">
        <w:rPr>
          <w:rFonts w:ascii="Segoe UI" w:hAnsi="Segoe UI" w:cs="Segoe UI"/>
          <w:color w:val="666666"/>
          <w:sz w:val="20"/>
          <w:szCs w:val="20"/>
        </w:rPr>
        <w:t xml:space="preserve">(up 96% in constant currency) </w:t>
      </w:r>
      <w:r w:rsidRPr="006E5B27">
        <w:rPr>
          <w:rFonts w:ascii="Segoe UI" w:hAnsi="Segoe UI" w:cs="Segoe UI"/>
          <w:color w:val="666666"/>
          <w:sz w:val="20"/>
          <w:szCs w:val="20"/>
        </w:rPr>
        <w:t>driven by Office 365, Azure and Dynamic</w:t>
      </w:r>
      <w:r w:rsidR="00201B7B" w:rsidRPr="006E5B27">
        <w:rPr>
          <w:rFonts w:ascii="Segoe UI" w:hAnsi="Segoe UI" w:cs="Segoe UI"/>
          <w:color w:val="666666"/>
          <w:sz w:val="20"/>
          <w:szCs w:val="20"/>
        </w:rPr>
        <w:t>s</w:t>
      </w:r>
      <w:r w:rsidRPr="006E5B27">
        <w:rPr>
          <w:rFonts w:ascii="Segoe UI" w:hAnsi="Segoe UI" w:cs="Segoe UI"/>
          <w:color w:val="666666"/>
          <w:sz w:val="20"/>
          <w:szCs w:val="20"/>
        </w:rPr>
        <w:t xml:space="preserve"> CRM Online</w:t>
      </w:r>
      <w:r w:rsidR="00F93E01">
        <w:rPr>
          <w:rFonts w:ascii="Segoe UI" w:hAnsi="Segoe UI" w:cs="Segoe UI"/>
          <w:color w:val="666666"/>
          <w:sz w:val="20"/>
          <w:szCs w:val="20"/>
        </w:rPr>
        <w:t xml:space="preserve"> </w:t>
      </w:r>
      <w:r w:rsidRPr="006E5B27">
        <w:rPr>
          <w:rFonts w:ascii="Segoe UI" w:hAnsi="Segoe UI" w:cs="Segoe UI"/>
          <w:color w:val="666666"/>
          <w:sz w:val="20"/>
          <w:szCs w:val="20"/>
        </w:rPr>
        <w:t xml:space="preserve">and is now on an </w:t>
      </w:r>
      <w:r w:rsidR="006E5B27">
        <w:rPr>
          <w:rFonts w:ascii="Segoe UI" w:hAnsi="Segoe UI" w:cs="Segoe UI"/>
          <w:color w:val="666666"/>
          <w:sz w:val="20"/>
          <w:szCs w:val="20"/>
        </w:rPr>
        <w:t>annualized revenue run rate of over $8 billion</w:t>
      </w:r>
      <w:r w:rsidRPr="006E5B27">
        <w:rPr>
          <w:rFonts w:ascii="Segoe UI" w:hAnsi="Segoe UI" w:cs="Segoe UI"/>
          <w:color w:val="666666"/>
          <w:sz w:val="20"/>
          <w:szCs w:val="20"/>
        </w:rPr>
        <w:t xml:space="preserve"> </w:t>
      </w:r>
    </w:p>
    <w:p w14:paraId="18C369F5" w14:textId="77777777" w:rsidR="00725F6B" w:rsidRDefault="00725F6B" w:rsidP="00725F6B">
      <w:pPr>
        <w:pStyle w:val="ListParagraph"/>
        <w:numPr>
          <w:ilvl w:val="0"/>
          <w:numId w:val="2"/>
        </w:numPr>
        <w:spacing w:line="280" w:lineRule="exact"/>
        <w:rPr>
          <w:rFonts w:ascii="Segoe UI" w:hAnsi="Segoe UI" w:cs="Segoe UI"/>
          <w:color w:val="666666"/>
          <w:sz w:val="20"/>
          <w:szCs w:val="20"/>
        </w:rPr>
      </w:pPr>
      <w:r w:rsidRPr="006E5B27">
        <w:rPr>
          <w:rFonts w:ascii="Segoe UI" w:hAnsi="Segoe UI" w:cs="Segoe UI"/>
          <w:color w:val="666666"/>
          <w:sz w:val="20"/>
          <w:szCs w:val="20"/>
        </w:rPr>
        <w:t xml:space="preserve">Server products and services revenue grew </w:t>
      </w:r>
      <w:r w:rsidR="006E5B27">
        <w:rPr>
          <w:rFonts w:ascii="Segoe UI" w:hAnsi="Segoe UI" w:cs="Segoe UI"/>
          <w:color w:val="666666"/>
          <w:sz w:val="20"/>
          <w:szCs w:val="20"/>
        </w:rPr>
        <w:t>4</w:t>
      </w:r>
      <w:r w:rsidRPr="006E5B27">
        <w:rPr>
          <w:rFonts w:ascii="Segoe UI" w:hAnsi="Segoe UI" w:cs="Segoe UI"/>
          <w:color w:val="666666"/>
          <w:sz w:val="20"/>
          <w:szCs w:val="20"/>
        </w:rPr>
        <w:t xml:space="preserve">% (up </w:t>
      </w:r>
      <w:r w:rsidR="006E5B27">
        <w:rPr>
          <w:rFonts w:ascii="Segoe UI" w:hAnsi="Segoe UI" w:cs="Segoe UI"/>
          <w:color w:val="666666"/>
          <w:sz w:val="20"/>
          <w:szCs w:val="20"/>
        </w:rPr>
        <w:t>9</w:t>
      </w:r>
      <w:r w:rsidRPr="006E5B27">
        <w:rPr>
          <w:rFonts w:ascii="Segoe UI" w:hAnsi="Segoe UI" w:cs="Segoe UI"/>
          <w:color w:val="666666"/>
          <w:sz w:val="20"/>
          <w:szCs w:val="20"/>
        </w:rPr>
        <w:t xml:space="preserve">% </w:t>
      </w:r>
      <w:r w:rsidR="00E2597D" w:rsidRPr="006E5B27">
        <w:rPr>
          <w:rFonts w:ascii="Segoe UI" w:hAnsi="Segoe UI" w:cs="Segoe UI"/>
          <w:color w:val="666666"/>
          <w:sz w:val="20"/>
          <w:szCs w:val="20"/>
        </w:rPr>
        <w:t xml:space="preserve">in </w:t>
      </w:r>
      <w:r w:rsidR="002D1127" w:rsidRPr="006E5B27">
        <w:rPr>
          <w:rFonts w:ascii="Segoe UI" w:hAnsi="Segoe UI" w:cs="Segoe UI"/>
          <w:color w:val="666666"/>
          <w:sz w:val="20"/>
          <w:szCs w:val="20"/>
        </w:rPr>
        <w:t>constant currency</w:t>
      </w:r>
      <w:r w:rsidRPr="006E5B27">
        <w:rPr>
          <w:rFonts w:ascii="Segoe UI" w:hAnsi="Segoe UI" w:cs="Segoe UI"/>
          <w:color w:val="666666"/>
          <w:sz w:val="20"/>
          <w:szCs w:val="20"/>
        </w:rPr>
        <w:t xml:space="preserve">), </w:t>
      </w:r>
      <w:r w:rsidR="006E5B27">
        <w:rPr>
          <w:rFonts w:ascii="Segoe UI" w:hAnsi="Segoe UI" w:cs="Segoe UI"/>
          <w:color w:val="666666"/>
          <w:sz w:val="20"/>
          <w:szCs w:val="20"/>
        </w:rPr>
        <w:t xml:space="preserve">with </w:t>
      </w:r>
      <w:r w:rsidR="00424E59">
        <w:rPr>
          <w:rFonts w:ascii="Segoe UI" w:hAnsi="Segoe UI" w:cs="Segoe UI"/>
          <w:color w:val="666666"/>
          <w:sz w:val="20"/>
          <w:szCs w:val="20"/>
        </w:rPr>
        <w:t xml:space="preserve">stable </w:t>
      </w:r>
      <w:r w:rsidR="006E5B27">
        <w:rPr>
          <w:rFonts w:ascii="Segoe UI" w:hAnsi="Segoe UI" w:cs="Segoe UI"/>
          <w:color w:val="666666"/>
          <w:sz w:val="20"/>
          <w:szCs w:val="20"/>
        </w:rPr>
        <w:t>annuity performance offsetting declines in transactional revenue</w:t>
      </w:r>
    </w:p>
    <w:p w14:paraId="1BC4A4E9" w14:textId="39984995" w:rsidR="0016479B" w:rsidRPr="0016479B" w:rsidRDefault="0016479B" w:rsidP="0016479B">
      <w:pPr>
        <w:pStyle w:val="ListParagraph"/>
        <w:numPr>
          <w:ilvl w:val="0"/>
          <w:numId w:val="2"/>
        </w:numPr>
        <w:rPr>
          <w:rFonts w:ascii="Segoe UI" w:hAnsi="Segoe UI" w:cs="Segoe UI"/>
          <w:color w:val="666666"/>
          <w:sz w:val="20"/>
          <w:szCs w:val="20"/>
        </w:rPr>
      </w:pPr>
      <w:r w:rsidRPr="0016479B">
        <w:rPr>
          <w:rFonts w:ascii="Segoe UI" w:hAnsi="Segoe UI" w:cs="Segoe UI"/>
          <w:color w:val="666666"/>
          <w:sz w:val="20"/>
          <w:szCs w:val="20"/>
        </w:rPr>
        <w:t>Dynamics revenue grew 6% (up 15% in constant currency), with the Dynamics CRM Online install base growing almost 2.5x</w:t>
      </w:r>
    </w:p>
    <w:p w14:paraId="61F74E5E" w14:textId="77777777" w:rsidR="00BA0381" w:rsidRPr="006E5B27" w:rsidRDefault="00B25AB2" w:rsidP="006E5B27">
      <w:pPr>
        <w:pStyle w:val="ListParagraph"/>
        <w:numPr>
          <w:ilvl w:val="0"/>
          <w:numId w:val="2"/>
        </w:numPr>
        <w:spacing w:line="280" w:lineRule="exact"/>
        <w:rPr>
          <w:rFonts w:ascii="Segoe UI" w:hAnsi="Segoe UI" w:cs="Segoe UI"/>
          <w:color w:val="666666"/>
          <w:sz w:val="20"/>
          <w:szCs w:val="20"/>
        </w:rPr>
      </w:pPr>
      <w:r w:rsidRPr="006E5B27">
        <w:rPr>
          <w:rFonts w:ascii="Segoe UI" w:hAnsi="Segoe UI" w:cs="Segoe UI"/>
          <w:color w:val="666666"/>
          <w:sz w:val="20"/>
          <w:szCs w:val="20"/>
        </w:rPr>
        <w:lastRenderedPageBreak/>
        <w:t xml:space="preserve">Office Commercial products and services revenue </w:t>
      </w:r>
      <w:r w:rsidR="006E5B27">
        <w:rPr>
          <w:rFonts w:ascii="Segoe UI" w:hAnsi="Segoe UI" w:cs="Segoe UI"/>
          <w:color w:val="666666"/>
          <w:sz w:val="20"/>
          <w:szCs w:val="20"/>
        </w:rPr>
        <w:t>declined 4</w:t>
      </w:r>
      <w:r w:rsidRPr="006E5B27">
        <w:rPr>
          <w:rFonts w:ascii="Segoe UI" w:hAnsi="Segoe UI" w:cs="Segoe UI"/>
          <w:color w:val="666666"/>
          <w:sz w:val="20"/>
          <w:szCs w:val="20"/>
        </w:rPr>
        <w:t>%</w:t>
      </w:r>
      <w:r w:rsidR="00431CDE" w:rsidRPr="006E5B27">
        <w:rPr>
          <w:rFonts w:ascii="Segoe UI" w:hAnsi="Segoe UI" w:cs="Segoe UI"/>
          <w:color w:val="666666"/>
          <w:sz w:val="20"/>
          <w:szCs w:val="20"/>
        </w:rPr>
        <w:t xml:space="preserve"> (up </w:t>
      </w:r>
      <w:r w:rsidR="00637724" w:rsidRPr="006E5B27">
        <w:rPr>
          <w:rFonts w:ascii="Segoe UI" w:hAnsi="Segoe UI" w:cs="Segoe UI"/>
          <w:color w:val="666666"/>
          <w:sz w:val="20"/>
          <w:szCs w:val="20"/>
        </w:rPr>
        <w:t>1</w:t>
      </w:r>
      <w:r w:rsidR="00431CDE" w:rsidRPr="006E5B27">
        <w:rPr>
          <w:rFonts w:ascii="Segoe UI" w:hAnsi="Segoe UI" w:cs="Segoe UI"/>
          <w:color w:val="666666"/>
          <w:sz w:val="20"/>
          <w:szCs w:val="20"/>
        </w:rPr>
        <w:t xml:space="preserve">% </w:t>
      </w:r>
      <w:r w:rsidR="00E2597D" w:rsidRPr="006E5B27">
        <w:rPr>
          <w:rFonts w:ascii="Segoe UI" w:hAnsi="Segoe UI" w:cs="Segoe UI"/>
          <w:color w:val="666666"/>
          <w:sz w:val="20"/>
          <w:szCs w:val="20"/>
        </w:rPr>
        <w:t xml:space="preserve">in </w:t>
      </w:r>
      <w:r w:rsidR="002D1127" w:rsidRPr="006E5B27">
        <w:rPr>
          <w:rFonts w:ascii="Segoe UI" w:hAnsi="Segoe UI" w:cs="Segoe UI"/>
          <w:color w:val="666666"/>
          <w:sz w:val="20"/>
          <w:szCs w:val="20"/>
        </w:rPr>
        <w:t>constant currency</w:t>
      </w:r>
      <w:r w:rsidR="00431CDE" w:rsidRPr="006E5B27">
        <w:rPr>
          <w:rFonts w:ascii="Segoe UI" w:hAnsi="Segoe UI" w:cs="Segoe UI"/>
          <w:color w:val="666666"/>
          <w:sz w:val="20"/>
          <w:szCs w:val="20"/>
        </w:rPr>
        <w:t>)</w:t>
      </w:r>
      <w:r w:rsidR="00500DB8">
        <w:rPr>
          <w:rFonts w:ascii="Segoe UI" w:hAnsi="Segoe UI" w:cs="Segoe UI"/>
          <w:color w:val="666666"/>
          <w:sz w:val="20"/>
          <w:szCs w:val="20"/>
        </w:rPr>
        <w:t>,</w:t>
      </w:r>
      <w:r w:rsidRPr="006E5B27">
        <w:rPr>
          <w:rFonts w:ascii="Segoe UI" w:hAnsi="Segoe UI" w:cs="Segoe UI"/>
          <w:color w:val="666666"/>
          <w:sz w:val="20"/>
          <w:szCs w:val="20"/>
        </w:rPr>
        <w:t xml:space="preserve"> </w:t>
      </w:r>
      <w:r w:rsidR="006E5B27">
        <w:rPr>
          <w:rFonts w:ascii="Segoe UI" w:hAnsi="Segoe UI" w:cs="Segoe UI"/>
          <w:color w:val="666666"/>
          <w:sz w:val="20"/>
          <w:szCs w:val="20"/>
        </w:rPr>
        <w:t>with</w:t>
      </w:r>
      <w:r w:rsidRPr="006E5B27">
        <w:rPr>
          <w:rFonts w:ascii="Segoe UI" w:hAnsi="Segoe UI" w:cs="Segoe UI"/>
          <w:color w:val="666666"/>
          <w:sz w:val="20"/>
          <w:szCs w:val="20"/>
        </w:rPr>
        <w:t xml:space="preserve"> continued transition to Office 365 </w:t>
      </w:r>
      <w:r w:rsidR="00BA0381" w:rsidRPr="006E5B27">
        <w:rPr>
          <w:rFonts w:ascii="Segoe UI" w:hAnsi="Segoe UI" w:cs="Segoe UI"/>
          <w:color w:val="666666"/>
          <w:sz w:val="20"/>
          <w:szCs w:val="20"/>
        </w:rPr>
        <w:t xml:space="preserve">and lower transactional revenue due to declining business PCs following the XP </w:t>
      </w:r>
      <w:r w:rsidR="00396CAD">
        <w:rPr>
          <w:rFonts w:ascii="Segoe UI" w:hAnsi="Segoe UI" w:cs="Segoe UI"/>
          <w:color w:val="666666"/>
          <w:sz w:val="20"/>
          <w:szCs w:val="20"/>
        </w:rPr>
        <w:t xml:space="preserve">end-of-support </w:t>
      </w:r>
      <w:r w:rsidR="00BA0381" w:rsidRPr="006E5B27">
        <w:rPr>
          <w:rFonts w:ascii="Segoe UI" w:hAnsi="Segoe UI" w:cs="Segoe UI"/>
          <w:color w:val="666666"/>
          <w:sz w:val="20"/>
          <w:szCs w:val="20"/>
        </w:rPr>
        <w:t>refresh cycle</w:t>
      </w:r>
    </w:p>
    <w:p w14:paraId="6786502D" w14:textId="479562EB" w:rsidR="00B25AB2" w:rsidRPr="006E5B27" w:rsidRDefault="00884195" w:rsidP="006E5B27">
      <w:pPr>
        <w:pStyle w:val="ListParagraph"/>
        <w:numPr>
          <w:ilvl w:val="0"/>
          <w:numId w:val="2"/>
        </w:numPr>
        <w:spacing w:line="280" w:lineRule="exact"/>
        <w:rPr>
          <w:rFonts w:ascii="Segoe UI" w:hAnsi="Segoe UI" w:cs="Segoe UI"/>
          <w:color w:val="666666"/>
          <w:sz w:val="20"/>
          <w:szCs w:val="20"/>
        </w:rPr>
      </w:pPr>
      <w:r w:rsidRPr="006E5B27">
        <w:rPr>
          <w:rFonts w:ascii="Segoe UI" w:hAnsi="Segoe UI" w:cs="Segoe UI"/>
          <w:color w:val="666666"/>
          <w:sz w:val="20"/>
          <w:szCs w:val="20"/>
        </w:rPr>
        <w:t xml:space="preserve">Windows volume licensing revenue declined </w:t>
      </w:r>
      <w:r w:rsidR="00C16103" w:rsidRPr="00BA0381">
        <w:rPr>
          <w:rFonts w:ascii="Segoe UI" w:hAnsi="Segoe UI" w:cs="Segoe UI"/>
          <w:color w:val="666666"/>
          <w:sz w:val="20"/>
          <w:szCs w:val="20"/>
        </w:rPr>
        <w:t>8</w:t>
      </w:r>
      <w:r w:rsidRPr="006E5B27">
        <w:rPr>
          <w:rFonts w:ascii="Segoe UI" w:hAnsi="Segoe UI" w:cs="Segoe UI"/>
          <w:color w:val="666666"/>
          <w:sz w:val="20"/>
          <w:szCs w:val="20"/>
        </w:rPr>
        <w:t>%</w:t>
      </w:r>
      <w:r w:rsidR="006E5B27">
        <w:rPr>
          <w:rFonts w:ascii="Segoe UI" w:hAnsi="Segoe UI" w:cs="Segoe UI"/>
          <w:color w:val="666666"/>
          <w:sz w:val="20"/>
          <w:szCs w:val="20"/>
        </w:rPr>
        <w:t xml:space="preserve"> (down 4</w:t>
      </w:r>
      <w:r w:rsidR="00FB178C" w:rsidRPr="006E5B27">
        <w:rPr>
          <w:rFonts w:ascii="Segoe UI" w:hAnsi="Segoe UI" w:cs="Segoe UI"/>
          <w:color w:val="666666"/>
          <w:sz w:val="20"/>
          <w:szCs w:val="20"/>
        </w:rPr>
        <w:t xml:space="preserve">% </w:t>
      </w:r>
      <w:r w:rsidR="00E2597D" w:rsidRPr="006E5B27">
        <w:rPr>
          <w:rFonts w:ascii="Segoe UI" w:hAnsi="Segoe UI" w:cs="Segoe UI"/>
          <w:color w:val="666666"/>
          <w:sz w:val="20"/>
          <w:szCs w:val="20"/>
        </w:rPr>
        <w:t xml:space="preserve">in </w:t>
      </w:r>
      <w:r w:rsidR="002D1127" w:rsidRPr="006E5B27">
        <w:rPr>
          <w:rFonts w:ascii="Segoe UI" w:hAnsi="Segoe UI" w:cs="Segoe UI"/>
          <w:color w:val="666666"/>
          <w:sz w:val="20"/>
          <w:szCs w:val="20"/>
        </w:rPr>
        <w:t>constant currency</w:t>
      </w:r>
      <w:r w:rsidR="00FB178C" w:rsidRPr="006E5B27">
        <w:rPr>
          <w:rFonts w:ascii="Segoe UI" w:hAnsi="Segoe UI" w:cs="Segoe UI"/>
          <w:color w:val="666666"/>
          <w:sz w:val="20"/>
          <w:szCs w:val="20"/>
        </w:rPr>
        <w:t>)</w:t>
      </w:r>
      <w:r w:rsidRPr="006E5B27">
        <w:rPr>
          <w:rFonts w:ascii="Segoe UI" w:hAnsi="Segoe UI" w:cs="Segoe UI"/>
          <w:color w:val="666666"/>
          <w:sz w:val="20"/>
          <w:szCs w:val="20"/>
        </w:rPr>
        <w:t xml:space="preserve">, </w:t>
      </w:r>
      <w:r w:rsidR="00BA0381" w:rsidRPr="006E5B27">
        <w:rPr>
          <w:rFonts w:ascii="Segoe UI" w:hAnsi="Segoe UI" w:cs="Segoe UI"/>
          <w:color w:val="666666"/>
          <w:sz w:val="20"/>
          <w:szCs w:val="20"/>
        </w:rPr>
        <w:t xml:space="preserve">driven primarily by transactional revenue declining following the XP </w:t>
      </w:r>
      <w:r w:rsidR="00500DB8">
        <w:rPr>
          <w:rFonts w:ascii="Segoe UI" w:hAnsi="Segoe UI" w:cs="Segoe UI"/>
          <w:color w:val="666666"/>
          <w:sz w:val="20"/>
          <w:szCs w:val="20"/>
        </w:rPr>
        <w:t xml:space="preserve">end-of-support </w:t>
      </w:r>
      <w:r w:rsidR="00BA0381" w:rsidRPr="006E5B27">
        <w:rPr>
          <w:rFonts w:ascii="Segoe UI" w:hAnsi="Segoe UI" w:cs="Segoe UI"/>
          <w:color w:val="666666"/>
          <w:sz w:val="20"/>
          <w:szCs w:val="20"/>
        </w:rPr>
        <w:t>refresh cycle</w:t>
      </w:r>
      <w:r w:rsidR="00CE7632">
        <w:rPr>
          <w:rFonts w:ascii="Segoe UI" w:hAnsi="Segoe UI" w:cs="Segoe UI"/>
          <w:color w:val="666666"/>
          <w:sz w:val="20"/>
          <w:szCs w:val="20"/>
        </w:rPr>
        <w:t xml:space="preserve"> with annuity growth on a constant currency basis</w:t>
      </w:r>
    </w:p>
    <w:p w14:paraId="7E188AA5" w14:textId="6DA1669A" w:rsidR="00537CCB" w:rsidRPr="00066D3A" w:rsidRDefault="00537CCB" w:rsidP="00E9099B">
      <w:pPr>
        <w:spacing w:before="200"/>
        <w:rPr>
          <w:rFonts w:ascii="Segoe UI" w:eastAsiaTheme="minorHAnsi" w:hAnsi="Segoe UI" w:cs="Segoe UI"/>
          <w:color w:val="666666"/>
          <w:sz w:val="20"/>
          <w:szCs w:val="20"/>
        </w:rPr>
      </w:pPr>
      <w:bookmarkStart w:id="1" w:name="_MailEndCompose"/>
      <w:bookmarkEnd w:id="1"/>
      <w:r w:rsidRPr="00066D3A">
        <w:rPr>
          <w:rFonts w:ascii="Segoe UI" w:eastAsiaTheme="minorHAnsi" w:hAnsi="Segoe UI" w:cs="Segoe UI"/>
          <w:color w:val="666666"/>
          <w:sz w:val="20"/>
          <w:szCs w:val="20"/>
        </w:rPr>
        <w:t>“</w:t>
      </w:r>
      <w:r w:rsidR="00A85379" w:rsidRPr="00A85379">
        <w:rPr>
          <w:rFonts w:ascii="Segoe UI" w:eastAsiaTheme="minorHAnsi" w:hAnsi="Segoe UI" w:cs="Segoe UI"/>
          <w:color w:val="666666"/>
          <w:sz w:val="20"/>
          <w:szCs w:val="20"/>
        </w:rPr>
        <w:t xml:space="preserve">In our commercial business we continue to transform the product mix to annuity cloud solutions and now have 75,000 partners transacting in our cloud,” said Kevin Turner, chief operating officer </w:t>
      </w:r>
      <w:r w:rsidR="00A85379">
        <w:rPr>
          <w:rFonts w:ascii="Segoe UI" w:eastAsiaTheme="minorHAnsi" w:hAnsi="Segoe UI" w:cs="Segoe UI"/>
          <w:color w:val="666666"/>
          <w:sz w:val="20"/>
          <w:szCs w:val="20"/>
        </w:rPr>
        <w:t xml:space="preserve">at </w:t>
      </w:r>
      <w:r w:rsidR="00A85379" w:rsidRPr="00A85379">
        <w:rPr>
          <w:rFonts w:ascii="Segoe UI" w:eastAsiaTheme="minorHAnsi" w:hAnsi="Segoe UI" w:cs="Segoe UI"/>
          <w:color w:val="666666"/>
          <w:sz w:val="20"/>
          <w:szCs w:val="20"/>
        </w:rPr>
        <w:t>Microsoft. “We are also expanding the opportunity for more partners to sell Surface, and in the coming months will go from over 150 to more than 4,500 resellers globally</w:t>
      </w:r>
      <w:r w:rsidRPr="00066D3A">
        <w:rPr>
          <w:rFonts w:ascii="Segoe UI" w:eastAsiaTheme="minorHAnsi" w:hAnsi="Segoe UI" w:cs="Segoe UI"/>
          <w:color w:val="666666"/>
          <w:sz w:val="20"/>
          <w:szCs w:val="20"/>
        </w:rPr>
        <w:t>.”</w:t>
      </w:r>
    </w:p>
    <w:p w14:paraId="0E8BDD1F" w14:textId="0D8631BF" w:rsidR="00395E9B" w:rsidRPr="00395E9B" w:rsidRDefault="00395E9B" w:rsidP="00395E9B">
      <w:pPr>
        <w:pStyle w:val="ListParagraph"/>
        <w:spacing w:before="240" w:line="280" w:lineRule="exact"/>
        <w:ind w:left="0"/>
        <w:rPr>
          <w:rFonts w:ascii="Segoe UI" w:eastAsiaTheme="minorHAnsi" w:hAnsi="Segoe UI" w:cs="Segoe UI"/>
          <w:color w:val="666666"/>
          <w:sz w:val="20"/>
          <w:szCs w:val="20"/>
        </w:rPr>
      </w:pPr>
      <w:r w:rsidRPr="00537CCB">
        <w:rPr>
          <w:rFonts w:ascii="Segoe UI" w:eastAsiaTheme="minorHAnsi" w:hAnsi="Segoe UI" w:cs="Segoe UI"/>
          <w:color w:val="666666"/>
          <w:sz w:val="20"/>
          <w:szCs w:val="20"/>
        </w:rPr>
        <w:t>For</w:t>
      </w:r>
      <w:r w:rsidRPr="00395E9B">
        <w:rPr>
          <w:rFonts w:ascii="Segoe UI" w:eastAsiaTheme="minorHAnsi" w:hAnsi="Segoe UI" w:cs="Segoe UI"/>
          <w:color w:val="666666"/>
          <w:sz w:val="20"/>
          <w:szCs w:val="20"/>
        </w:rPr>
        <w:t xml:space="preserve"> Microsoft’s fiscal year </w:t>
      </w:r>
      <w:r>
        <w:rPr>
          <w:rFonts w:ascii="Segoe UI" w:eastAsiaTheme="minorHAnsi" w:hAnsi="Segoe UI" w:cs="Segoe UI"/>
          <w:color w:val="666666"/>
          <w:sz w:val="20"/>
          <w:szCs w:val="20"/>
        </w:rPr>
        <w:t>2015</w:t>
      </w:r>
      <w:r w:rsidRPr="00395E9B">
        <w:rPr>
          <w:rFonts w:ascii="Segoe UI" w:eastAsiaTheme="minorHAnsi" w:hAnsi="Segoe UI" w:cs="Segoe UI"/>
          <w:color w:val="666666"/>
          <w:sz w:val="20"/>
          <w:szCs w:val="20"/>
        </w:rPr>
        <w:t>, the company’s revenue, gross margin, operating income, and diluted EPS were $</w:t>
      </w:r>
      <w:r>
        <w:rPr>
          <w:rFonts w:ascii="Segoe UI" w:eastAsiaTheme="minorHAnsi" w:hAnsi="Segoe UI" w:cs="Segoe UI"/>
          <w:color w:val="666666"/>
          <w:sz w:val="20"/>
          <w:szCs w:val="20"/>
        </w:rPr>
        <w:t>93.6</w:t>
      </w:r>
      <w:r w:rsidRPr="00395E9B">
        <w:rPr>
          <w:rFonts w:ascii="Segoe UI" w:eastAsiaTheme="minorHAnsi" w:hAnsi="Segoe UI" w:cs="Segoe UI"/>
          <w:color w:val="666666"/>
          <w:sz w:val="20"/>
          <w:szCs w:val="20"/>
        </w:rPr>
        <w:t xml:space="preserve"> billion, $</w:t>
      </w:r>
      <w:r>
        <w:rPr>
          <w:rFonts w:ascii="Segoe UI" w:eastAsiaTheme="minorHAnsi" w:hAnsi="Segoe UI" w:cs="Segoe UI"/>
          <w:color w:val="666666"/>
          <w:sz w:val="20"/>
          <w:szCs w:val="20"/>
        </w:rPr>
        <w:t>60.</w:t>
      </w:r>
      <w:r w:rsidR="009E08A4">
        <w:rPr>
          <w:rFonts w:ascii="Segoe UI" w:eastAsiaTheme="minorHAnsi" w:hAnsi="Segoe UI" w:cs="Segoe UI"/>
          <w:color w:val="666666"/>
          <w:sz w:val="20"/>
          <w:szCs w:val="20"/>
        </w:rPr>
        <w:t>5</w:t>
      </w:r>
      <w:r w:rsidRPr="00395E9B">
        <w:rPr>
          <w:rFonts w:ascii="Segoe UI" w:eastAsiaTheme="minorHAnsi" w:hAnsi="Segoe UI" w:cs="Segoe UI"/>
          <w:color w:val="666666"/>
          <w:sz w:val="20"/>
          <w:szCs w:val="20"/>
        </w:rPr>
        <w:t xml:space="preserve"> billion, $</w:t>
      </w:r>
      <w:r>
        <w:rPr>
          <w:rFonts w:ascii="Segoe UI" w:eastAsiaTheme="minorHAnsi" w:hAnsi="Segoe UI" w:cs="Segoe UI"/>
          <w:color w:val="666666"/>
          <w:sz w:val="20"/>
          <w:szCs w:val="20"/>
        </w:rPr>
        <w:t>18.</w:t>
      </w:r>
      <w:r w:rsidR="00A918F2">
        <w:rPr>
          <w:rFonts w:ascii="Segoe UI" w:eastAsiaTheme="minorHAnsi" w:hAnsi="Segoe UI" w:cs="Segoe UI"/>
          <w:color w:val="666666"/>
          <w:sz w:val="20"/>
          <w:szCs w:val="20"/>
        </w:rPr>
        <w:t xml:space="preserve">2 </w:t>
      </w:r>
      <w:r>
        <w:rPr>
          <w:rFonts w:ascii="Segoe UI" w:eastAsiaTheme="minorHAnsi" w:hAnsi="Segoe UI" w:cs="Segoe UI"/>
          <w:color w:val="666666"/>
          <w:sz w:val="20"/>
          <w:szCs w:val="20"/>
        </w:rPr>
        <w:t>billion, and $1.</w:t>
      </w:r>
      <w:r w:rsidR="00A879FA">
        <w:rPr>
          <w:rFonts w:ascii="Segoe UI" w:eastAsiaTheme="minorHAnsi" w:hAnsi="Segoe UI" w:cs="Segoe UI"/>
          <w:color w:val="666666"/>
          <w:sz w:val="20"/>
          <w:szCs w:val="20"/>
        </w:rPr>
        <w:t>4</w:t>
      </w:r>
      <w:r w:rsidR="009E08A4">
        <w:rPr>
          <w:rFonts w:ascii="Segoe UI" w:eastAsiaTheme="minorHAnsi" w:hAnsi="Segoe UI" w:cs="Segoe UI"/>
          <w:color w:val="666666"/>
          <w:sz w:val="20"/>
          <w:szCs w:val="20"/>
        </w:rPr>
        <w:t>8</w:t>
      </w:r>
      <w:r w:rsidR="00A879FA">
        <w:rPr>
          <w:rFonts w:ascii="Segoe UI" w:eastAsiaTheme="minorHAnsi" w:hAnsi="Segoe UI" w:cs="Segoe UI"/>
          <w:color w:val="666666"/>
          <w:sz w:val="20"/>
          <w:szCs w:val="20"/>
        </w:rPr>
        <w:t xml:space="preserve"> </w:t>
      </w:r>
      <w:r w:rsidRPr="00395E9B">
        <w:rPr>
          <w:rFonts w:ascii="Segoe UI" w:eastAsiaTheme="minorHAnsi" w:hAnsi="Segoe UI" w:cs="Segoe UI"/>
          <w:color w:val="666666"/>
          <w:sz w:val="20"/>
          <w:szCs w:val="20"/>
        </w:rPr>
        <w:t>per share, respectively.</w:t>
      </w:r>
      <w:r w:rsidR="00D16C5E">
        <w:rPr>
          <w:rFonts w:ascii="Segoe UI" w:eastAsiaTheme="minorHAnsi" w:hAnsi="Segoe UI" w:cs="Segoe UI"/>
          <w:color w:val="666666"/>
          <w:sz w:val="20"/>
          <w:szCs w:val="20"/>
        </w:rPr>
        <w:t xml:space="preserve">  </w:t>
      </w:r>
      <w:r w:rsidR="00D16C5E">
        <w:rPr>
          <w:rFonts w:ascii="Segoe UI" w:hAnsi="Segoe UI" w:cs="Segoe UI"/>
          <w:color w:val="666666"/>
          <w:sz w:val="20"/>
          <w:szCs w:val="20"/>
        </w:rPr>
        <w:t>Excluding the impact of impairment, integration and restruct</w:t>
      </w:r>
      <w:r w:rsidR="00A879FA">
        <w:rPr>
          <w:rFonts w:ascii="Segoe UI" w:hAnsi="Segoe UI" w:cs="Segoe UI"/>
          <w:color w:val="666666"/>
          <w:sz w:val="20"/>
          <w:szCs w:val="20"/>
        </w:rPr>
        <w:t>u</w:t>
      </w:r>
      <w:r w:rsidR="00D16C5E">
        <w:rPr>
          <w:rFonts w:ascii="Segoe UI" w:hAnsi="Segoe UI" w:cs="Segoe UI"/>
          <w:color w:val="666666"/>
          <w:sz w:val="20"/>
          <w:szCs w:val="20"/>
        </w:rPr>
        <w:t>ring</w:t>
      </w:r>
      <w:r w:rsidR="00E9099B">
        <w:rPr>
          <w:rFonts w:ascii="Segoe UI" w:hAnsi="Segoe UI" w:cs="Segoe UI"/>
          <w:color w:val="666666"/>
          <w:sz w:val="20"/>
          <w:szCs w:val="20"/>
        </w:rPr>
        <w:t xml:space="preserve"> charges</w:t>
      </w:r>
      <w:r w:rsidR="00D16C5E">
        <w:rPr>
          <w:rFonts w:ascii="Segoe UI" w:hAnsi="Segoe UI" w:cs="Segoe UI"/>
          <w:color w:val="666666"/>
          <w:sz w:val="20"/>
          <w:szCs w:val="20"/>
        </w:rPr>
        <w:t>, full year operating income and EPS would have been</w:t>
      </w:r>
      <w:r w:rsidR="00A879FA">
        <w:rPr>
          <w:rFonts w:ascii="Segoe UI" w:hAnsi="Segoe UI" w:cs="Segoe UI"/>
          <w:color w:val="666666"/>
          <w:sz w:val="20"/>
          <w:szCs w:val="20"/>
        </w:rPr>
        <w:t xml:space="preserve"> $28.2 billion and $2.6</w:t>
      </w:r>
      <w:r w:rsidR="00FD2094">
        <w:rPr>
          <w:rFonts w:ascii="Segoe UI" w:hAnsi="Segoe UI" w:cs="Segoe UI"/>
          <w:color w:val="666666"/>
          <w:sz w:val="20"/>
          <w:szCs w:val="20"/>
        </w:rPr>
        <w:t>3</w:t>
      </w:r>
      <w:r w:rsidR="00D16C5E">
        <w:rPr>
          <w:rFonts w:ascii="Segoe UI" w:hAnsi="Segoe UI" w:cs="Segoe UI"/>
          <w:color w:val="666666"/>
          <w:sz w:val="20"/>
          <w:szCs w:val="20"/>
        </w:rPr>
        <w:t>, respectively.</w:t>
      </w:r>
    </w:p>
    <w:p w14:paraId="26AEA76F" w14:textId="77777777" w:rsidR="00395E9B" w:rsidRDefault="00395E9B" w:rsidP="00395E9B">
      <w:pPr>
        <w:spacing w:after="160" w:line="280" w:lineRule="exact"/>
        <w:rPr>
          <w:rFonts w:ascii="Segoe UI" w:eastAsiaTheme="minorHAnsi" w:hAnsi="Segoe UI" w:cs="Segoe UI"/>
          <w:color w:val="666666"/>
          <w:sz w:val="20"/>
          <w:szCs w:val="20"/>
        </w:rPr>
      </w:pPr>
      <w:r w:rsidRPr="00395E9B">
        <w:rPr>
          <w:rFonts w:ascii="Segoe UI" w:eastAsiaTheme="minorHAnsi" w:hAnsi="Segoe UI" w:cs="Segoe UI"/>
          <w:color w:val="666666"/>
          <w:sz w:val="20"/>
          <w:szCs w:val="20"/>
        </w:rPr>
        <w:t xml:space="preserve">The following table reconciles these financial results reported in accordance with GAAP to Non-GAAP financial results. </w:t>
      </w:r>
      <w:r w:rsidR="009F6692">
        <w:rPr>
          <w:rFonts w:ascii="Segoe UI" w:eastAsiaTheme="minorHAnsi" w:hAnsi="Segoe UI" w:cs="Segoe UI"/>
          <w:color w:val="666666"/>
          <w:sz w:val="20"/>
          <w:szCs w:val="20"/>
        </w:rPr>
        <w:t>T</w:t>
      </w:r>
      <w:r w:rsidRPr="00395E9B">
        <w:rPr>
          <w:rFonts w:ascii="Segoe UI" w:eastAsiaTheme="minorHAnsi" w:hAnsi="Segoe UI" w:cs="Segoe UI"/>
          <w:color w:val="666666"/>
          <w:sz w:val="20"/>
          <w:szCs w:val="20"/>
        </w:rPr>
        <w:t xml:space="preserve">his Non-GAAP financial information </w:t>
      </w:r>
      <w:r w:rsidR="009F6692">
        <w:rPr>
          <w:rFonts w:ascii="Segoe UI" w:eastAsiaTheme="minorHAnsi" w:hAnsi="Segoe UI" w:cs="Segoe UI"/>
          <w:color w:val="666666"/>
          <w:sz w:val="20"/>
          <w:szCs w:val="20"/>
        </w:rPr>
        <w:t xml:space="preserve">has been provided </w:t>
      </w:r>
      <w:r w:rsidRPr="00395E9B">
        <w:rPr>
          <w:rFonts w:ascii="Segoe UI" w:eastAsiaTheme="minorHAnsi" w:hAnsi="Segoe UI" w:cs="Segoe UI"/>
          <w:color w:val="666666"/>
          <w:sz w:val="20"/>
          <w:szCs w:val="20"/>
        </w:rPr>
        <w:t>to aid investors in better understanding the company’s performance.</w:t>
      </w:r>
    </w:p>
    <w:tbl>
      <w:tblPr>
        <w:tblW w:w="5000" w:type="pct"/>
        <w:tblLook w:val="04A0" w:firstRow="1" w:lastRow="0" w:firstColumn="1" w:lastColumn="0" w:noHBand="0" w:noVBand="1"/>
      </w:tblPr>
      <w:tblGrid>
        <w:gridCol w:w="4184"/>
        <w:gridCol w:w="195"/>
        <w:gridCol w:w="1245"/>
        <w:gridCol w:w="1245"/>
        <w:gridCol w:w="1245"/>
        <w:gridCol w:w="1051"/>
        <w:gridCol w:w="195"/>
      </w:tblGrid>
      <w:tr w:rsidR="0082315A" w:rsidRPr="00CD4005" w14:paraId="2B60DBB4" w14:textId="77777777" w:rsidTr="003D3D46">
        <w:trPr>
          <w:gridAfter w:val="1"/>
          <w:wAfter w:w="180" w:type="dxa"/>
          <w:trHeight w:val="340"/>
        </w:trPr>
        <w:tc>
          <w:tcPr>
            <w:tcW w:w="3870" w:type="dxa"/>
            <w:tcBorders>
              <w:top w:val="nil"/>
              <w:left w:val="nil"/>
              <w:bottom w:val="single" w:sz="8" w:space="0" w:color="auto"/>
              <w:right w:val="nil"/>
            </w:tcBorders>
            <w:vAlign w:val="center"/>
          </w:tcPr>
          <w:p w14:paraId="155A1782" w14:textId="77777777" w:rsidR="0082315A" w:rsidRPr="00CD4005" w:rsidRDefault="0082315A" w:rsidP="001009C3">
            <w:pPr>
              <w:spacing w:after="0" w:line="240" w:lineRule="auto"/>
              <w:rPr>
                <w:rFonts w:ascii="Segoe UI" w:eastAsia="Times New Roman" w:hAnsi="Segoe UI" w:cs="Segoe UI"/>
                <w:color w:val="666666"/>
                <w:sz w:val="16"/>
                <w:szCs w:val="16"/>
              </w:rPr>
            </w:pPr>
          </w:p>
        </w:tc>
        <w:tc>
          <w:tcPr>
            <w:tcW w:w="4608" w:type="dxa"/>
            <w:gridSpan w:val="5"/>
            <w:tcBorders>
              <w:top w:val="nil"/>
              <w:left w:val="nil"/>
              <w:bottom w:val="single" w:sz="8" w:space="0" w:color="auto"/>
              <w:right w:val="nil"/>
            </w:tcBorders>
          </w:tcPr>
          <w:p w14:paraId="3C4482F6" w14:textId="77777777" w:rsidR="0082315A" w:rsidRPr="00CD4005" w:rsidRDefault="0082315A" w:rsidP="001009C3">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w:t>
            </w:r>
            <w:r w:rsidRPr="00CD4005">
              <w:rPr>
                <w:rFonts w:ascii="Segoe UI" w:eastAsia="Times New Roman" w:hAnsi="Segoe UI" w:cs="Segoe UI"/>
                <w:b/>
                <w:bCs/>
                <w:color w:val="666666"/>
                <w:sz w:val="16"/>
                <w:szCs w:val="16"/>
              </w:rPr>
              <w:t xml:space="preserve"> Months Ended </w:t>
            </w:r>
            <w:r>
              <w:rPr>
                <w:rFonts w:ascii="Segoe UI" w:eastAsia="Times New Roman" w:hAnsi="Segoe UI" w:cs="Segoe UI"/>
                <w:b/>
                <w:bCs/>
                <w:color w:val="666666"/>
                <w:sz w:val="16"/>
                <w:szCs w:val="16"/>
              </w:rPr>
              <w:t>June 30,</w:t>
            </w:r>
          </w:p>
        </w:tc>
      </w:tr>
      <w:tr w:rsidR="0082315A" w:rsidRPr="00CD4005" w14:paraId="3C8B3A18" w14:textId="77777777" w:rsidTr="003D3D46">
        <w:trPr>
          <w:trHeight w:val="365"/>
        </w:trPr>
        <w:tc>
          <w:tcPr>
            <w:tcW w:w="4050" w:type="dxa"/>
            <w:gridSpan w:val="2"/>
            <w:tcBorders>
              <w:top w:val="nil"/>
              <w:left w:val="nil"/>
              <w:bottom w:val="single" w:sz="8" w:space="0" w:color="auto"/>
              <w:right w:val="nil"/>
            </w:tcBorders>
            <w:vAlign w:val="bottom"/>
            <w:hideMark/>
          </w:tcPr>
          <w:p w14:paraId="3DD9550B" w14:textId="77777777" w:rsidR="0082315A" w:rsidRPr="00CD4005" w:rsidRDefault="0082315A" w:rsidP="001009C3">
            <w:pPr>
              <w:spacing w:after="0" w:line="240" w:lineRule="auto"/>
              <w:rPr>
                <w:rFonts w:ascii="Segoe UI" w:eastAsia="Times New Roman" w:hAnsi="Segoe UI" w:cs="Segoe UI"/>
                <w:color w:val="666666"/>
                <w:sz w:val="16"/>
                <w:szCs w:val="16"/>
              </w:rPr>
            </w:pPr>
            <w:r w:rsidRPr="00CD4005">
              <w:rPr>
                <w:rFonts w:ascii="Segoe UI" w:eastAsia="Times New Roman" w:hAnsi="Segoe UI" w:cs="Segoe UI"/>
                <w:color w:val="666666"/>
                <w:sz w:val="16"/>
                <w:szCs w:val="16"/>
              </w:rPr>
              <w:t>($ in millions, except per share amounts)</w:t>
            </w:r>
          </w:p>
        </w:tc>
        <w:tc>
          <w:tcPr>
            <w:tcW w:w="1152" w:type="dxa"/>
            <w:tcBorders>
              <w:top w:val="nil"/>
              <w:left w:val="nil"/>
              <w:bottom w:val="single" w:sz="8" w:space="0" w:color="auto"/>
              <w:right w:val="nil"/>
            </w:tcBorders>
            <w:vAlign w:val="bottom"/>
          </w:tcPr>
          <w:p w14:paraId="55A059DE" w14:textId="77777777" w:rsidR="0082315A" w:rsidRPr="00CD4005" w:rsidRDefault="0082315A" w:rsidP="001009C3">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Revenue</w:t>
            </w:r>
          </w:p>
        </w:tc>
        <w:tc>
          <w:tcPr>
            <w:tcW w:w="1152" w:type="dxa"/>
            <w:tcBorders>
              <w:top w:val="nil"/>
              <w:left w:val="nil"/>
              <w:bottom w:val="single" w:sz="8" w:space="0" w:color="auto"/>
              <w:right w:val="nil"/>
            </w:tcBorders>
            <w:vAlign w:val="bottom"/>
          </w:tcPr>
          <w:p w14:paraId="03A46F72" w14:textId="77777777" w:rsidR="0082315A" w:rsidRPr="00CD4005" w:rsidRDefault="0082315A" w:rsidP="001009C3">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Gross Margin</w:t>
            </w:r>
          </w:p>
        </w:tc>
        <w:tc>
          <w:tcPr>
            <w:tcW w:w="1152" w:type="dxa"/>
            <w:tcBorders>
              <w:top w:val="nil"/>
              <w:left w:val="nil"/>
              <w:bottom w:val="single" w:sz="8" w:space="0" w:color="auto"/>
              <w:right w:val="nil"/>
            </w:tcBorders>
            <w:vAlign w:val="bottom"/>
          </w:tcPr>
          <w:p w14:paraId="56541B11" w14:textId="77777777" w:rsidR="0082315A" w:rsidRPr="00CD4005" w:rsidRDefault="0082315A" w:rsidP="001009C3">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Operating Income</w:t>
            </w:r>
          </w:p>
        </w:tc>
        <w:tc>
          <w:tcPr>
            <w:tcW w:w="1152" w:type="dxa"/>
            <w:gridSpan w:val="2"/>
            <w:tcBorders>
              <w:top w:val="nil"/>
              <w:left w:val="nil"/>
              <w:bottom w:val="single" w:sz="8" w:space="0" w:color="auto"/>
              <w:right w:val="nil"/>
            </w:tcBorders>
            <w:vAlign w:val="bottom"/>
          </w:tcPr>
          <w:p w14:paraId="739F2CEB" w14:textId="77777777" w:rsidR="0082315A" w:rsidRPr="00CD4005" w:rsidRDefault="002E23B2" w:rsidP="00066D3A">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Earnings per Share</w:t>
            </w:r>
          </w:p>
        </w:tc>
      </w:tr>
      <w:tr w:rsidR="0082315A" w14:paraId="71D1BEBD" w14:textId="77777777" w:rsidTr="003D3D46">
        <w:trPr>
          <w:trHeight w:val="288"/>
        </w:trPr>
        <w:tc>
          <w:tcPr>
            <w:tcW w:w="4050" w:type="dxa"/>
            <w:gridSpan w:val="2"/>
            <w:tcBorders>
              <w:top w:val="nil"/>
              <w:left w:val="nil"/>
              <w:bottom w:val="single" w:sz="4" w:space="0" w:color="auto"/>
              <w:right w:val="nil"/>
            </w:tcBorders>
            <w:noWrap/>
            <w:vAlign w:val="center"/>
          </w:tcPr>
          <w:p w14:paraId="444074F9" w14:textId="77777777" w:rsidR="0082315A" w:rsidRDefault="0082315A" w:rsidP="001009C3">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2014 As Reported (GAAP)</w:t>
            </w:r>
          </w:p>
        </w:tc>
        <w:tc>
          <w:tcPr>
            <w:tcW w:w="1152" w:type="dxa"/>
            <w:tcBorders>
              <w:top w:val="nil"/>
              <w:left w:val="nil"/>
              <w:bottom w:val="single" w:sz="4" w:space="0" w:color="auto"/>
              <w:right w:val="nil"/>
            </w:tcBorders>
            <w:vAlign w:val="center"/>
          </w:tcPr>
          <w:p w14:paraId="77D44E85" w14:textId="77777777" w:rsidR="0082315A" w:rsidRPr="00305CCE" w:rsidRDefault="0082315A" w:rsidP="0082315A">
            <w:pPr>
              <w:spacing w:after="0" w:line="240" w:lineRule="auto"/>
              <w:ind w:firstLine="82"/>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666666"/>
                <w:sz w:val="16"/>
                <w:szCs w:val="16"/>
              </w:rPr>
              <w:t>$86,833</w:t>
            </w:r>
          </w:p>
        </w:tc>
        <w:tc>
          <w:tcPr>
            <w:tcW w:w="1152" w:type="dxa"/>
            <w:tcBorders>
              <w:top w:val="nil"/>
              <w:left w:val="nil"/>
              <w:bottom w:val="single" w:sz="4" w:space="0" w:color="auto"/>
              <w:right w:val="nil"/>
            </w:tcBorders>
            <w:vAlign w:val="center"/>
          </w:tcPr>
          <w:p w14:paraId="26D52AE5" w14:textId="77777777" w:rsidR="0082315A" w:rsidRPr="00305CCE" w:rsidRDefault="0082315A" w:rsidP="0082315A">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$59,</w:t>
            </w:r>
            <w:r w:rsidR="00A1121A">
              <w:rPr>
                <w:rFonts w:ascii="Segoe UI" w:eastAsia="Times New Roman" w:hAnsi="Segoe UI" w:cs="Segoe UI"/>
                <w:b/>
                <w:bCs/>
                <w:color w:val="595959" w:themeColor="text1" w:themeTint="A6"/>
                <w:sz w:val="16"/>
                <w:szCs w:val="16"/>
              </w:rPr>
              <w:t>755</w:t>
            </w:r>
          </w:p>
        </w:tc>
        <w:tc>
          <w:tcPr>
            <w:tcW w:w="1152" w:type="dxa"/>
            <w:tcBorders>
              <w:top w:val="nil"/>
              <w:left w:val="nil"/>
              <w:bottom w:val="single" w:sz="4" w:space="0" w:color="auto"/>
              <w:right w:val="nil"/>
            </w:tcBorders>
            <w:vAlign w:val="center"/>
          </w:tcPr>
          <w:p w14:paraId="5ADB604B" w14:textId="77777777" w:rsidR="0082315A" w:rsidRPr="00305CCE" w:rsidRDefault="0082315A" w:rsidP="001009C3">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$27,759</w:t>
            </w:r>
          </w:p>
        </w:tc>
        <w:tc>
          <w:tcPr>
            <w:tcW w:w="1152" w:type="dxa"/>
            <w:gridSpan w:val="2"/>
            <w:tcBorders>
              <w:top w:val="nil"/>
              <w:left w:val="nil"/>
              <w:bottom w:val="single" w:sz="4" w:space="0" w:color="auto"/>
              <w:right w:val="nil"/>
            </w:tcBorders>
            <w:vAlign w:val="center"/>
          </w:tcPr>
          <w:p w14:paraId="2D09F391" w14:textId="77777777" w:rsidR="0082315A" w:rsidRDefault="0082315A" w:rsidP="001009C3">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$2.63</w:t>
            </w:r>
          </w:p>
        </w:tc>
      </w:tr>
      <w:tr w:rsidR="0082315A" w:rsidRPr="002865EB" w14:paraId="75622B8F" w14:textId="77777777" w:rsidTr="003D3D46">
        <w:trPr>
          <w:trHeight w:val="288"/>
        </w:trPr>
        <w:tc>
          <w:tcPr>
            <w:tcW w:w="4050" w:type="dxa"/>
            <w:gridSpan w:val="2"/>
            <w:tcBorders>
              <w:top w:val="nil"/>
              <w:left w:val="nil"/>
              <w:bottom w:val="single" w:sz="4" w:space="0" w:color="auto"/>
              <w:right w:val="nil"/>
            </w:tcBorders>
            <w:noWrap/>
            <w:vAlign w:val="center"/>
          </w:tcPr>
          <w:p w14:paraId="168F5A4A" w14:textId="5357C560" w:rsidR="0082315A" w:rsidRPr="008E6106" w:rsidRDefault="0082315A" w:rsidP="001009C3">
            <w:pPr>
              <w:spacing w:after="0" w:line="240" w:lineRule="auto"/>
              <w:rPr>
                <w:rFonts w:ascii="Segoe UI" w:eastAsia="Times New Roman" w:hAnsi="Segoe UI" w:cs="Segoe UI"/>
                <w:bCs/>
                <w:color w:val="666666"/>
                <w:sz w:val="16"/>
                <w:szCs w:val="16"/>
              </w:rPr>
            </w:pPr>
            <w:r>
              <w:rPr>
                <w:rFonts w:ascii="Segoe UI" w:eastAsia="Times New Roman" w:hAnsi="Segoe UI" w:cs="Segoe UI"/>
                <w:bCs/>
                <w:color w:val="666666"/>
                <w:sz w:val="16"/>
                <w:szCs w:val="16"/>
              </w:rPr>
              <w:t xml:space="preserve">  </w:t>
            </w:r>
            <w:r w:rsidR="002E23B2">
              <w:rPr>
                <w:rFonts w:ascii="Segoe UI" w:eastAsia="Times New Roman" w:hAnsi="Segoe UI" w:cs="Segoe UI"/>
                <w:bCs/>
                <w:color w:val="666666"/>
                <w:sz w:val="16"/>
                <w:szCs w:val="16"/>
              </w:rPr>
              <w:t xml:space="preserve">Impairment, </w:t>
            </w:r>
            <w:r>
              <w:rPr>
                <w:rFonts w:ascii="Segoe UI" w:eastAsia="Times New Roman" w:hAnsi="Segoe UI" w:cs="Segoe UI"/>
                <w:bCs/>
                <w:color w:val="666666"/>
                <w:sz w:val="16"/>
                <w:szCs w:val="16"/>
              </w:rPr>
              <w:t>Integration</w:t>
            </w:r>
            <w:r w:rsidR="00146582">
              <w:rPr>
                <w:rFonts w:ascii="Segoe UI" w:eastAsia="Times New Roman" w:hAnsi="Segoe UI" w:cs="Segoe UI"/>
                <w:bCs/>
                <w:color w:val="666666"/>
                <w:sz w:val="16"/>
                <w:szCs w:val="16"/>
              </w:rPr>
              <w:t>,</w:t>
            </w:r>
            <w:r>
              <w:rPr>
                <w:rFonts w:ascii="Segoe UI" w:eastAsia="Times New Roman" w:hAnsi="Segoe UI" w:cs="Segoe UI"/>
                <w:bCs/>
                <w:color w:val="666666"/>
                <w:sz w:val="16"/>
                <w:szCs w:val="16"/>
              </w:rPr>
              <w:t xml:space="preserve"> and Restructuring Charges</w:t>
            </w:r>
          </w:p>
        </w:tc>
        <w:tc>
          <w:tcPr>
            <w:tcW w:w="1152" w:type="dxa"/>
            <w:tcBorders>
              <w:top w:val="nil"/>
              <w:left w:val="nil"/>
              <w:bottom w:val="single" w:sz="4" w:space="0" w:color="auto"/>
              <w:right w:val="nil"/>
            </w:tcBorders>
            <w:vAlign w:val="center"/>
          </w:tcPr>
          <w:p w14:paraId="148785A7" w14:textId="7DE01C33" w:rsidR="0082315A" w:rsidRPr="002865EB" w:rsidRDefault="00146582" w:rsidP="001009C3">
            <w:pPr>
              <w:spacing w:after="0" w:line="240" w:lineRule="auto"/>
              <w:jc w:val="right"/>
              <w:rPr>
                <w:rFonts w:ascii="Segoe UI" w:eastAsia="Times New Roman" w:hAnsi="Segoe UI" w:cs="Segoe UI"/>
                <w:bCs/>
                <w:color w:val="595959" w:themeColor="text1" w:themeTint="A6"/>
                <w:sz w:val="16"/>
                <w:szCs w:val="16"/>
              </w:rPr>
            </w:pPr>
            <w:r w:rsidRPr="00305CCE">
              <w:rPr>
                <w:rFonts w:ascii="Segoe UI" w:eastAsia="Times New Roman" w:hAnsi="Segoe UI" w:cs="Segoe UI"/>
                <w:b/>
                <w:bCs/>
                <w:color w:val="595959" w:themeColor="text1" w:themeTint="A6"/>
                <w:sz w:val="16"/>
                <w:szCs w:val="16"/>
              </w:rPr>
              <w:t>-</w:t>
            </w:r>
          </w:p>
        </w:tc>
        <w:tc>
          <w:tcPr>
            <w:tcW w:w="1152" w:type="dxa"/>
            <w:tcBorders>
              <w:top w:val="nil"/>
              <w:left w:val="nil"/>
              <w:bottom w:val="single" w:sz="4" w:space="0" w:color="auto"/>
              <w:right w:val="nil"/>
            </w:tcBorders>
            <w:vAlign w:val="center"/>
          </w:tcPr>
          <w:p w14:paraId="2E1F170F" w14:textId="1C5DF52C" w:rsidR="0082315A" w:rsidRPr="002865EB" w:rsidRDefault="00146582" w:rsidP="001009C3">
            <w:pPr>
              <w:spacing w:after="0" w:line="240" w:lineRule="auto"/>
              <w:jc w:val="right"/>
              <w:rPr>
                <w:rFonts w:ascii="Segoe UI" w:eastAsia="Times New Roman" w:hAnsi="Segoe UI" w:cs="Segoe UI"/>
                <w:bCs/>
                <w:color w:val="595959" w:themeColor="text1" w:themeTint="A6"/>
                <w:sz w:val="16"/>
                <w:szCs w:val="16"/>
              </w:rPr>
            </w:pPr>
            <w:r w:rsidRPr="00305CCE">
              <w:rPr>
                <w:rFonts w:ascii="Segoe UI" w:eastAsia="Times New Roman" w:hAnsi="Segoe UI" w:cs="Segoe UI"/>
                <w:b/>
                <w:bCs/>
                <w:color w:val="595959" w:themeColor="text1" w:themeTint="A6"/>
                <w:sz w:val="16"/>
                <w:szCs w:val="16"/>
              </w:rPr>
              <w:t>-</w:t>
            </w:r>
          </w:p>
        </w:tc>
        <w:tc>
          <w:tcPr>
            <w:tcW w:w="1152" w:type="dxa"/>
            <w:tcBorders>
              <w:top w:val="nil"/>
              <w:left w:val="nil"/>
              <w:bottom w:val="single" w:sz="4" w:space="0" w:color="auto"/>
              <w:right w:val="nil"/>
            </w:tcBorders>
            <w:vAlign w:val="center"/>
          </w:tcPr>
          <w:p w14:paraId="79C4678C" w14:textId="77777777" w:rsidR="0082315A" w:rsidRPr="002865EB" w:rsidRDefault="0082315A" w:rsidP="001009C3">
            <w:pPr>
              <w:spacing w:after="0" w:line="240" w:lineRule="auto"/>
              <w:jc w:val="right"/>
              <w:rPr>
                <w:rFonts w:ascii="Segoe UI" w:eastAsia="Times New Roman" w:hAnsi="Segoe UI" w:cs="Segoe UI"/>
                <w:bCs/>
                <w:color w:val="595959" w:themeColor="text1" w:themeTint="A6"/>
                <w:sz w:val="16"/>
                <w:szCs w:val="16"/>
              </w:rPr>
            </w:pPr>
            <w:r w:rsidRPr="002865EB">
              <w:rPr>
                <w:rFonts w:ascii="Segoe UI" w:eastAsia="Times New Roman" w:hAnsi="Segoe UI" w:cs="Segoe UI"/>
                <w:bCs/>
                <w:color w:val="595959" w:themeColor="text1" w:themeTint="A6"/>
                <w:sz w:val="16"/>
                <w:szCs w:val="16"/>
              </w:rPr>
              <w:t>127</w:t>
            </w:r>
          </w:p>
        </w:tc>
        <w:tc>
          <w:tcPr>
            <w:tcW w:w="1152" w:type="dxa"/>
            <w:gridSpan w:val="2"/>
            <w:tcBorders>
              <w:top w:val="nil"/>
              <w:left w:val="nil"/>
              <w:bottom w:val="single" w:sz="4" w:space="0" w:color="auto"/>
              <w:right w:val="nil"/>
            </w:tcBorders>
            <w:vAlign w:val="center"/>
          </w:tcPr>
          <w:p w14:paraId="7EC56289" w14:textId="77777777" w:rsidR="0082315A" w:rsidRPr="006A04B9" w:rsidRDefault="0082315A" w:rsidP="00A061D5">
            <w:pPr>
              <w:spacing w:after="0" w:line="240" w:lineRule="auto"/>
              <w:jc w:val="right"/>
              <w:rPr>
                <w:rFonts w:ascii="Segoe UI" w:eastAsia="Times New Roman" w:hAnsi="Segoe UI" w:cs="Segoe UI"/>
                <w:bCs/>
                <w:color w:val="FF0000"/>
                <w:sz w:val="16"/>
                <w:szCs w:val="16"/>
              </w:rPr>
            </w:pPr>
            <w:r w:rsidRPr="00A57215">
              <w:rPr>
                <w:rFonts w:ascii="Segoe UI" w:eastAsia="Times New Roman" w:hAnsi="Segoe UI" w:cs="Segoe UI"/>
                <w:bCs/>
                <w:color w:val="595959" w:themeColor="text1" w:themeTint="A6"/>
                <w:sz w:val="16"/>
                <w:szCs w:val="16"/>
              </w:rPr>
              <w:t>0.</w:t>
            </w:r>
            <w:r w:rsidR="00A061D5" w:rsidRPr="00A57215">
              <w:rPr>
                <w:rFonts w:ascii="Segoe UI" w:eastAsia="Times New Roman" w:hAnsi="Segoe UI" w:cs="Segoe UI"/>
                <w:bCs/>
                <w:color w:val="595959" w:themeColor="text1" w:themeTint="A6"/>
                <w:sz w:val="16"/>
                <w:szCs w:val="16"/>
              </w:rPr>
              <w:t>0</w:t>
            </w:r>
            <w:r w:rsidR="004A2162">
              <w:rPr>
                <w:rFonts w:ascii="Segoe UI" w:eastAsia="Times New Roman" w:hAnsi="Segoe UI" w:cs="Segoe UI"/>
                <w:bCs/>
                <w:color w:val="595959" w:themeColor="text1" w:themeTint="A6"/>
                <w:sz w:val="16"/>
                <w:szCs w:val="16"/>
              </w:rPr>
              <w:t>1</w:t>
            </w:r>
          </w:p>
        </w:tc>
      </w:tr>
      <w:tr w:rsidR="00F01152" w:rsidRPr="00305CCE" w14:paraId="49C6D79C" w14:textId="77777777" w:rsidTr="003D3D46">
        <w:trPr>
          <w:trHeight w:val="288"/>
        </w:trPr>
        <w:tc>
          <w:tcPr>
            <w:tcW w:w="4050" w:type="dxa"/>
            <w:gridSpan w:val="2"/>
            <w:tcBorders>
              <w:top w:val="nil"/>
              <w:left w:val="nil"/>
              <w:bottom w:val="single" w:sz="4" w:space="0" w:color="auto"/>
              <w:right w:val="nil"/>
            </w:tcBorders>
            <w:noWrap/>
            <w:vAlign w:val="center"/>
          </w:tcPr>
          <w:p w14:paraId="522E0EA6" w14:textId="77777777" w:rsidR="00F01152" w:rsidRPr="0082315A" w:rsidRDefault="00F01152" w:rsidP="00F01152">
            <w:pPr>
              <w:spacing w:after="0" w:line="240" w:lineRule="auto"/>
              <w:rPr>
                <w:rFonts w:ascii="Segoe UI" w:eastAsia="Times New Roman" w:hAnsi="Segoe UI" w:cs="Segoe UI"/>
                <w:b/>
                <w:bCs/>
                <w:color w:val="666666"/>
                <w:sz w:val="16"/>
                <w:szCs w:val="16"/>
              </w:rPr>
            </w:pPr>
            <w:r w:rsidRPr="0082315A">
              <w:rPr>
                <w:rFonts w:ascii="Segoe UI" w:eastAsia="Times New Roman" w:hAnsi="Segoe UI" w:cs="Segoe UI"/>
                <w:b/>
                <w:bCs/>
                <w:color w:val="666666"/>
                <w:sz w:val="16"/>
                <w:szCs w:val="16"/>
              </w:rPr>
              <w:t>2014 As Adjusted (Non-GAAP)</w:t>
            </w:r>
          </w:p>
        </w:tc>
        <w:tc>
          <w:tcPr>
            <w:tcW w:w="1152" w:type="dxa"/>
            <w:tcBorders>
              <w:top w:val="nil"/>
              <w:left w:val="nil"/>
              <w:bottom w:val="single" w:sz="4" w:space="0" w:color="auto"/>
              <w:right w:val="nil"/>
            </w:tcBorders>
            <w:vAlign w:val="center"/>
          </w:tcPr>
          <w:p w14:paraId="4BF4E054" w14:textId="77777777" w:rsidR="00F01152" w:rsidRDefault="00F01152">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4A2162">
              <w:rPr>
                <w:rFonts w:ascii="Segoe UI" w:eastAsia="Times New Roman" w:hAnsi="Segoe UI" w:cs="Segoe UI"/>
                <w:b/>
                <w:bCs/>
                <w:color w:val="666666"/>
                <w:sz w:val="16"/>
                <w:szCs w:val="16"/>
              </w:rPr>
              <w:t>86,833</w:t>
            </w:r>
          </w:p>
        </w:tc>
        <w:tc>
          <w:tcPr>
            <w:tcW w:w="1152" w:type="dxa"/>
            <w:tcBorders>
              <w:top w:val="nil"/>
              <w:left w:val="nil"/>
              <w:bottom w:val="single" w:sz="4" w:space="0" w:color="auto"/>
              <w:right w:val="nil"/>
            </w:tcBorders>
            <w:vAlign w:val="center"/>
          </w:tcPr>
          <w:p w14:paraId="0C4ED12F" w14:textId="77777777" w:rsidR="00F01152" w:rsidRPr="00305CCE" w:rsidRDefault="00F01152" w:rsidP="00CE7ED2">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w:t>
            </w:r>
            <w:r w:rsidR="004A2162">
              <w:rPr>
                <w:rFonts w:ascii="Segoe UI" w:eastAsia="Times New Roman" w:hAnsi="Segoe UI" w:cs="Segoe UI"/>
                <w:b/>
                <w:bCs/>
                <w:color w:val="595959" w:themeColor="text1" w:themeTint="A6"/>
                <w:sz w:val="16"/>
                <w:szCs w:val="16"/>
              </w:rPr>
              <w:t>59,755</w:t>
            </w:r>
          </w:p>
        </w:tc>
        <w:tc>
          <w:tcPr>
            <w:tcW w:w="1152" w:type="dxa"/>
            <w:tcBorders>
              <w:top w:val="nil"/>
              <w:left w:val="nil"/>
              <w:bottom w:val="single" w:sz="4" w:space="0" w:color="auto"/>
              <w:right w:val="nil"/>
            </w:tcBorders>
            <w:vAlign w:val="center"/>
          </w:tcPr>
          <w:p w14:paraId="46BBA34F" w14:textId="77777777" w:rsidR="00F01152" w:rsidRPr="00305CCE" w:rsidRDefault="00F01152" w:rsidP="00CE7ED2">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w:t>
            </w:r>
            <w:r w:rsidR="00CE7ED2">
              <w:rPr>
                <w:rFonts w:ascii="Segoe UI" w:eastAsia="Times New Roman" w:hAnsi="Segoe UI" w:cs="Segoe UI"/>
                <w:b/>
                <w:bCs/>
                <w:color w:val="595959" w:themeColor="text1" w:themeTint="A6"/>
                <w:sz w:val="16"/>
                <w:szCs w:val="16"/>
              </w:rPr>
              <w:t>2</w:t>
            </w:r>
            <w:r w:rsidR="004A2162">
              <w:rPr>
                <w:rFonts w:ascii="Segoe UI" w:eastAsia="Times New Roman" w:hAnsi="Segoe UI" w:cs="Segoe UI"/>
                <w:b/>
                <w:bCs/>
                <w:color w:val="595959" w:themeColor="text1" w:themeTint="A6"/>
                <w:sz w:val="16"/>
                <w:szCs w:val="16"/>
              </w:rPr>
              <w:t>7,886</w:t>
            </w:r>
          </w:p>
        </w:tc>
        <w:tc>
          <w:tcPr>
            <w:tcW w:w="1152" w:type="dxa"/>
            <w:gridSpan w:val="2"/>
            <w:tcBorders>
              <w:top w:val="nil"/>
              <w:left w:val="nil"/>
              <w:bottom w:val="single" w:sz="4" w:space="0" w:color="auto"/>
              <w:right w:val="nil"/>
            </w:tcBorders>
            <w:vAlign w:val="center"/>
          </w:tcPr>
          <w:p w14:paraId="2774E01F" w14:textId="77777777" w:rsidR="00F01152" w:rsidRPr="00305CCE" w:rsidRDefault="00F01152" w:rsidP="00CE7ED2">
            <w:pPr>
              <w:spacing w:after="0" w:line="240" w:lineRule="auto"/>
              <w:jc w:val="right"/>
              <w:rPr>
                <w:rFonts w:ascii="Segoe UI" w:eastAsia="Times New Roman" w:hAnsi="Segoe UI" w:cs="Segoe UI"/>
                <w:b/>
                <w:bCs/>
                <w:color w:val="595959" w:themeColor="text1" w:themeTint="A6"/>
                <w:sz w:val="16"/>
                <w:szCs w:val="16"/>
              </w:rPr>
            </w:pPr>
            <w:r>
              <w:rPr>
                <w:rFonts w:ascii="Segoe UI" w:eastAsia="Times New Roman" w:hAnsi="Segoe UI" w:cs="Segoe UI"/>
                <w:b/>
                <w:bCs/>
                <w:color w:val="595959" w:themeColor="text1" w:themeTint="A6"/>
                <w:sz w:val="16"/>
                <w:szCs w:val="16"/>
              </w:rPr>
              <w:t>$2.</w:t>
            </w:r>
            <w:r w:rsidR="00CE7ED2">
              <w:rPr>
                <w:rFonts w:ascii="Segoe UI" w:eastAsia="Times New Roman" w:hAnsi="Segoe UI" w:cs="Segoe UI"/>
                <w:b/>
                <w:bCs/>
                <w:color w:val="595959" w:themeColor="text1" w:themeTint="A6"/>
                <w:sz w:val="16"/>
                <w:szCs w:val="16"/>
              </w:rPr>
              <w:t>6</w:t>
            </w:r>
            <w:r w:rsidR="004A2162">
              <w:rPr>
                <w:rFonts w:ascii="Segoe UI" w:eastAsia="Times New Roman" w:hAnsi="Segoe UI" w:cs="Segoe UI"/>
                <w:b/>
                <w:bCs/>
                <w:color w:val="595959" w:themeColor="text1" w:themeTint="A6"/>
                <w:sz w:val="16"/>
                <w:szCs w:val="16"/>
              </w:rPr>
              <w:t>4</w:t>
            </w:r>
          </w:p>
        </w:tc>
      </w:tr>
      <w:tr w:rsidR="00F01152" w:rsidRPr="0055494E" w14:paraId="73807C4D" w14:textId="77777777" w:rsidTr="003D3D46">
        <w:trPr>
          <w:trHeight w:val="288"/>
        </w:trPr>
        <w:tc>
          <w:tcPr>
            <w:tcW w:w="4050" w:type="dxa"/>
            <w:gridSpan w:val="2"/>
            <w:tcBorders>
              <w:top w:val="nil"/>
              <w:left w:val="nil"/>
              <w:bottom w:val="single" w:sz="4" w:space="0" w:color="auto"/>
              <w:right w:val="nil"/>
            </w:tcBorders>
            <w:noWrap/>
            <w:vAlign w:val="center"/>
          </w:tcPr>
          <w:p w14:paraId="6C4A470C" w14:textId="77777777" w:rsidR="00F01152" w:rsidRPr="00CD4005" w:rsidRDefault="00F01152" w:rsidP="00F01152">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2015 As Reported (GAAP)</w:t>
            </w:r>
          </w:p>
        </w:tc>
        <w:tc>
          <w:tcPr>
            <w:tcW w:w="1152" w:type="dxa"/>
            <w:tcBorders>
              <w:top w:val="nil"/>
              <w:left w:val="nil"/>
              <w:bottom w:val="single" w:sz="4" w:space="0" w:color="auto"/>
              <w:right w:val="nil"/>
            </w:tcBorders>
            <w:vAlign w:val="center"/>
          </w:tcPr>
          <w:p w14:paraId="78948D38" w14:textId="77777777" w:rsidR="00F01152" w:rsidRPr="006A04B9" w:rsidRDefault="00F01152" w:rsidP="00F01152">
            <w:pPr>
              <w:spacing w:after="0" w:line="240" w:lineRule="auto"/>
              <w:jc w:val="right"/>
              <w:rPr>
                <w:rFonts w:ascii="Segoe UI" w:eastAsia="Times New Roman" w:hAnsi="Segoe UI" w:cs="Segoe UI"/>
                <w:b/>
                <w:bCs/>
                <w:color w:val="666666"/>
                <w:sz w:val="16"/>
                <w:szCs w:val="16"/>
              </w:rPr>
            </w:pPr>
            <w:r w:rsidRPr="006A04B9">
              <w:rPr>
                <w:rFonts w:ascii="Segoe UI" w:eastAsia="Times New Roman" w:hAnsi="Segoe UI" w:cs="Segoe UI"/>
                <w:b/>
                <w:bCs/>
                <w:color w:val="666666"/>
                <w:sz w:val="16"/>
                <w:szCs w:val="16"/>
              </w:rPr>
              <w:t>$93,580</w:t>
            </w:r>
          </w:p>
        </w:tc>
        <w:tc>
          <w:tcPr>
            <w:tcW w:w="1152" w:type="dxa"/>
            <w:tcBorders>
              <w:top w:val="nil"/>
              <w:left w:val="nil"/>
              <w:bottom w:val="single" w:sz="4" w:space="0" w:color="auto"/>
              <w:right w:val="nil"/>
            </w:tcBorders>
            <w:vAlign w:val="center"/>
          </w:tcPr>
          <w:p w14:paraId="75FA92E7" w14:textId="77777777" w:rsidR="00F01152" w:rsidRPr="006A04B9" w:rsidRDefault="00F01152" w:rsidP="00F01152">
            <w:pPr>
              <w:spacing w:after="0" w:line="240" w:lineRule="auto"/>
              <w:jc w:val="right"/>
              <w:rPr>
                <w:rFonts w:ascii="Segoe UI" w:eastAsia="Times New Roman" w:hAnsi="Segoe UI" w:cs="Segoe UI"/>
                <w:b/>
                <w:bCs/>
                <w:color w:val="666666"/>
                <w:sz w:val="16"/>
                <w:szCs w:val="16"/>
              </w:rPr>
            </w:pPr>
            <w:r w:rsidRPr="006A04B9">
              <w:rPr>
                <w:rFonts w:ascii="Segoe UI" w:eastAsia="Times New Roman" w:hAnsi="Segoe UI" w:cs="Segoe UI"/>
                <w:b/>
                <w:bCs/>
                <w:color w:val="666666"/>
                <w:sz w:val="16"/>
                <w:szCs w:val="16"/>
              </w:rPr>
              <w:t>$60,542</w:t>
            </w:r>
          </w:p>
        </w:tc>
        <w:tc>
          <w:tcPr>
            <w:tcW w:w="1152" w:type="dxa"/>
            <w:tcBorders>
              <w:top w:val="nil"/>
              <w:left w:val="nil"/>
              <w:bottom w:val="single" w:sz="4" w:space="0" w:color="auto"/>
              <w:right w:val="nil"/>
            </w:tcBorders>
            <w:vAlign w:val="center"/>
          </w:tcPr>
          <w:p w14:paraId="28E2A7F9" w14:textId="77777777" w:rsidR="00F01152" w:rsidRPr="006A04B9" w:rsidRDefault="00F01152" w:rsidP="00F01152">
            <w:pPr>
              <w:spacing w:after="0" w:line="240" w:lineRule="auto"/>
              <w:jc w:val="right"/>
              <w:rPr>
                <w:rFonts w:ascii="Segoe UI" w:eastAsia="Times New Roman" w:hAnsi="Segoe UI" w:cs="Segoe UI"/>
                <w:b/>
                <w:bCs/>
                <w:color w:val="666666"/>
                <w:sz w:val="16"/>
                <w:szCs w:val="16"/>
              </w:rPr>
            </w:pPr>
            <w:r w:rsidRPr="006A04B9">
              <w:rPr>
                <w:rFonts w:ascii="Segoe UI" w:eastAsia="Times New Roman" w:hAnsi="Segoe UI" w:cs="Segoe UI"/>
                <w:b/>
                <w:bCs/>
                <w:color w:val="666666"/>
                <w:sz w:val="16"/>
                <w:szCs w:val="16"/>
              </w:rPr>
              <w:t>$18,161</w:t>
            </w:r>
          </w:p>
        </w:tc>
        <w:tc>
          <w:tcPr>
            <w:tcW w:w="1152" w:type="dxa"/>
            <w:gridSpan w:val="2"/>
            <w:tcBorders>
              <w:top w:val="nil"/>
              <w:left w:val="nil"/>
              <w:bottom w:val="single" w:sz="4" w:space="0" w:color="auto"/>
              <w:right w:val="nil"/>
            </w:tcBorders>
            <w:vAlign w:val="center"/>
          </w:tcPr>
          <w:p w14:paraId="1A52BF45" w14:textId="77777777" w:rsidR="00F01152" w:rsidRPr="006A04B9" w:rsidRDefault="00F01152" w:rsidP="00F01152">
            <w:pPr>
              <w:spacing w:after="0" w:line="240" w:lineRule="auto"/>
              <w:jc w:val="right"/>
              <w:rPr>
                <w:rFonts w:ascii="Segoe UI" w:eastAsia="Times New Roman" w:hAnsi="Segoe UI" w:cs="Segoe UI"/>
                <w:b/>
                <w:bCs/>
                <w:color w:val="666666"/>
                <w:sz w:val="16"/>
                <w:szCs w:val="16"/>
              </w:rPr>
            </w:pPr>
            <w:r w:rsidRPr="006A04B9">
              <w:rPr>
                <w:rFonts w:ascii="Segoe UI" w:eastAsia="Times New Roman" w:hAnsi="Segoe UI" w:cs="Segoe UI"/>
                <w:b/>
                <w:bCs/>
                <w:color w:val="666666"/>
                <w:sz w:val="16"/>
                <w:szCs w:val="16"/>
              </w:rPr>
              <w:t>$1.</w:t>
            </w:r>
            <w:r>
              <w:rPr>
                <w:rFonts w:ascii="Segoe UI" w:eastAsia="Times New Roman" w:hAnsi="Segoe UI" w:cs="Segoe UI"/>
                <w:b/>
                <w:bCs/>
                <w:color w:val="666666"/>
                <w:sz w:val="16"/>
                <w:szCs w:val="16"/>
              </w:rPr>
              <w:t>4</w:t>
            </w:r>
            <w:r w:rsidR="004A2162">
              <w:rPr>
                <w:rFonts w:ascii="Segoe UI" w:eastAsia="Times New Roman" w:hAnsi="Segoe UI" w:cs="Segoe UI"/>
                <w:b/>
                <w:bCs/>
                <w:color w:val="666666"/>
                <w:sz w:val="16"/>
                <w:szCs w:val="16"/>
              </w:rPr>
              <w:t>8</w:t>
            </w:r>
          </w:p>
        </w:tc>
      </w:tr>
      <w:tr w:rsidR="00F01152" w:rsidRPr="0055494E" w14:paraId="372E609E" w14:textId="77777777" w:rsidTr="003D3D46">
        <w:trPr>
          <w:trHeight w:val="288"/>
        </w:trPr>
        <w:tc>
          <w:tcPr>
            <w:tcW w:w="4050" w:type="dxa"/>
            <w:gridSpan w:val="2"/>
            <w:tcBorders>
              <w:top w:val="nil"/>
              <w:left w:val="nil"/>
              <w:bottom w:val="single" w:sz="4" w:space="0" w:color="auto"/>
              <w:right w:val="nil"/>
            </w:tcBorders>
            <w:noWrap/>
            <w:vAlign w:val="center"/>
          </w:tcPr>
          <w:p w14:paraId="232D85B1" w14:textId="17B0CF7E" w:rsidR="00F01152" w:rsidRPr="008E6106" w:rsidRDefault="00F01152" w:rsidP="00F01152">
            <w:pPr>
              <w:spacing w:after="0" w:line="240" w:lineRule="auto"/>
              <w:rPr>
                <w:rFonts w:ascii="Segoe UI" w:eastAsia="Times New Roman" w:hAnsi="Segoe UI" w:cs="Segoe UI"/>
                <w:bCs/>
                <w:color w:val="666666"/>
                <w:sz w:val="16"/>
                <w:szCs w:val="16"/>
              </w:rPr>
            </w:pPr>
            <w:r>
              <w:rPr>
                <w:rFonts w:ascii="Segoe UI" w:eastAsia="Times New Roman" w:hAnsi="Segoe UI" w:cs="Segoe UI"/>
                <w:bCs/>
                <w:color w:val="666666"/>
                <w:sz w:val="16"/>
                <w:szCs w:val="16"/>
              </w:rPr>
              <w:t xml:space="preserve">  Impairment, Integration</w:t>
            </w:r>
            <w:r w:rsidR="00146582">
              <w:rPr>
                <w:rFonts w:ascii="Segoe UI" w:eastAsia="Times New Roman" w:hAnsi="Segoe UI" w:cs="Segoe UI"/>
                <w:bCs/>
                <w:color w:val="666666"/>
                <w:sz w:val="16"/>
                <w:szCs w:val="16"/>
              </w:rPr>
              <w:t>,</w:t>
            </w:r>
            <w:r>
              <w:rPr>
                <w:rFonts w:ascii="Segoe UI" w:eastAsia="Times New Roman" w:hAnsi="Segoe UI" w:cs="Segoe UI"/>
                <w:bCs/>
                <w:color w:val="666666"/>
                <w:sz w:val="16"/>
                <w:szCs w:val="16"/>
              </w:rPr>
              <w:t xml:space="preserve"> and Restructuring Charges</w:t>
            </w:r>
          </w:p>
        </w:tc>
        <w:tc>
          <w:tcPr>
            <w:tcW w:w="1152" w:type="dxa"/>
            <w:tcBorders>
              <w:top w:val="nil"/>
              <w:left w:val="nil"/>
              <w:bottom w:val="single" w:sz="4" w:space="0" w:color="auto"/>
              <w:right w:val="nil"/>
            </w:tcBorders>
            <w:vAlign w:val="center"/>
          </w:tcPr>
          <w:p w14:paraId="246EAA8C" w14:textId="4052382E" w:rsidR="00F01152" w:rsidRPr="006A04B9" w:rsidRDefault="00146582" w:rsidP="00F01152">
            <w:pPr>
              <w:spacing w:after="0" w:line="240" w:lineRule="auto"/>
              <w:jc w:val="right"/>
              <w:rPr>
                <w:rFonts w:ascii="Segoe UI" w:eastAsia="Times New Roman" w:hAnsi="Segoe UI" w:cs="Segoe UI"/>
                <w:bCs/>
                <w:color w:val="595959" w:themeColor="text1" w:themeTint="A6"/>
                <w:sz w:val="16"/>
                <w:szCs w:val="16"/>
              </w:rPr>
            </w:pPr>
            <w:r w:rsidRPr="00305CCE">
              <w:rPr>
                <w:rFonts w:ascii="Segoe UI" w:eastAsia="Times New Roman" w:hAnsi="Segoe UI" w:cs="Segoe UI"/>
                <w:b/>
                <w:bCs/>
                <w:color w:val="595959" w:themeColor="text1" w:themeTint="A6"/>
                <w:sz w:val="16"/>
                <w:szCs w:val="16"/>
              </w:rPr>
              <w:t>-</w:t>
            </w:r>
          </w:p>
        </w:tc>
        <w:tc>
          <w:tcPr>
            <w:tcW w:w="1152" w:type="dxa"/>
            <w:tcBorders>
              <w:top w:val="nil"/>
              <w:left w:val="nil"/>
              <w:bottom w:val="single" w:sz="4" w:space="0" w:color="auto"/>
              <w:right w:val="nil"/>
            </w:tcBorders>
            <w:vAlign w:val="center"/>
          </w:tcPr>
          <w:p w14:paraId="44918F21" w14:textId="0CAED4D0" w:rsidR="00F01152" w:rsidRPr="006A04B9" w:rsidRDefault="00146582" w:rsidP="00F01152">
            <w:pPr>
              <w:spacing w:after="0" w:line="240" w:lineRule="auto"/>
              <w:jc w:val="right"/>
              <w:rPr>
                <w:rFonts w:ascii="Segoe UI" w:eastAsia="Times New Roman" w:hAnsi="Segoe UI" w:cs="Segoe UI"/>
                <w:bCs/>
                <w:color w:val="595959" w:themeColor="text1" w:themeTint="A6"/>
                <w:sz w:val="16"/>
                <w:szCs w:val="16"/>
              </w:rPr>
            </w:pPr>
            <w:r w:rsidRPr="00305CCE">
              <w:rPr>
                <w:rFonts w:ascii="Segoe UI" w:eastAsia="Times New Roman" w:hAnsi="Segoe UI" w:cs="Segoe UI"/>
                <w:b/>
                <w:bCs/>
                <w:color w:val="595959" w:themeColor="text1" w:themeTint="A6"/>
                <w:sz w:val="16"/>
                <w:szCs w:val="16"/>
              </w:rPr>
              <w:t>-</w:t>
            </w:r>
          </w:p>
        </w:tc>
        <w:tc>
          <w:tcPr>
            <w:tcW w:w="1152" w:type="dxa"/>
            <w:tcBorders>
              <w:top w:val="nil"/>
              <w:left w:val="nil"/>
              <w:bottom w:val="single" w:sz="4" w:space="0" w:color="auto"/>
              <w:right w:val="nil"/>
            </w:tcBorders>
            <w:vAlign w:val="center"/>
          </w:tcPr>
          <w:p w14:paraId="1F2CCFC3" w14:textId="77777777" w:rsidR="00F01152" w:rsidRPr="006A04B9" w:rsidRDefault="00F01152" w:rsidP="00F01152">
            <w:pPr>
              <w:spacing w:after="0" w:line="240" w:lineRule="auto"/>
              <w:jc w:val="right"/>
              <w:rPr>
                <w:rFonts w:ascii="Segoe UI" w:eastAsia="Times New Roman" w:hAnsi="Segoe UI" w:cs="Segoe UI"/>
                <w:bCs/>
                <w:color w:val="595959" w:themeColor="text1" w:themeTint="A6"/>
                <w:sz w:val="16"/>
                <w:szCs w:val="16"/>
              </w:rPr>
            </w:pPr>
            <w:r w:rsidRPr="006A04B9">
              <w:rPr>
                <w:rFonts w:ascii="Segoe UI" w:eastAsia="Times New Roman" w:hAnsi="Segoe UI" w:cs="Segoe UI"/>
                <w:bCs/>
                <w:color w:val="595959" w:themeColor="text1" w:themeTint="A6"/>
                <w:sz w:val="16"/>
                <w:szCs w:val="16"/>
              </w:rPr>
              <w:t>10,011</w:t>
            </w:r>
          </w:p>
        </w:tc>
        <w:tc>
          <w:tcPr>
            <w:tcW w:w="1152" w:type="dxa"/>
            <w:gridSpan w:val="2"/>
            <w:tcBorders>
              <w:top w:val="nil"/>
              <w:left w:val="nil"/>
              <w:bottom w:val="single" w:sz="4" w:space="0" w:color="auto"/>
              <w:right w:val="nil"/>
            </w:tcBorders>
            <w:vAlign w:val="center"/>
          </w:tcPr>
          <w:p w14:paraId="152B3F76" w14:textId="77777777" w:rsidR="00F01152" w:rsidRPr="00A57215" w:rsidRDefault="00F01152" w:rsidP="00F01152">
            <w:pPr>
              <w:spacing w:after="0" w:line="240" w:lineRule="auto"/>
              <w:jc w:val="right"/>
              <w:rPr>
                <w:rFonts w:ascii="Segoe UI" w:eastAsia="Times New Roman" w:hAnsi="Segoe UI" w:cs="Segoe UI"/>
                <w:bCs/>
                <w:color w:val="FF0000"/>
                <w:sz w:val="16"/>
                <w:szCs w:val="16"/>
              </w:rPr>
            </w:pPr>
            <w:r w:rsidRPr="00A57215">
              <w:rPr>
                <w:rFonts w:ascii="Segoe UI" w:eastAsia="Times New Roman" w:hAnsi="Segoe UI" w:cs="Segoe UI"/>
                <w:bCs/>
                <w:color w:val="595959" w:themeColor="text1" w:themeTint="A6"/>
                <w:sz w:val="16"/>
                <w:szCs w:val="16"/>
              </w:rPr>
              <w:t>1.15</w:t>
            </w:r>
          </w:p>
        </w:tc>
      </w:tr>
      <w:tr w:rsidR="00F01152" w:rsidRPr="0055494E" w14:paraId="4FE88610" w14:textId="77777777" w:rsidTr="003D3D46">
        <w:trPr>
          <w:trHeight w:val="288"/>
        </w:trPr>
        <w:tc>
          <w:tcPr>
            <w:tcW w:w="4050" w:type="dxa"/>
            <w:gridSpan w:val="2"/>
            <w:tcBorders>
              <w:top w:val="single" w:sz="4" w:space="0" w:color="auto"/>
              <w:left w:val="nil"/>
              <w:bottom w:val="single" w:sz="4" w:space="0" w:color="auto"/>
              <w:right w:val="nil"/>
            </w:tcBorders>
            <w:noWrap/>
            <w:vAlign w:val="center"/>
          </w:tcPr>
          <w:p w14:paraId="093D6392" w14:textId="77777777" w:rsidR="00F01152" w:rsidRPr="00CD4005" w:rsidRDefault="00F01152" w:rsidP="00F01152">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2015 As Adjusted (Non-GAAP)</w:t>
            </w:r>
          </w:p>
        </w:tc>
        <w:tc>
          <w:tcPr>
            <w:tcW w:w="1152" w:type="dxa"/>
            <w:tcBorders>
              <w:top w:val="single" w:sz="4" w:space="0" w:color="auto"/>
              <w:left w:val="nil"/>
              <w:bottom w:val="single" w:sz="4" w:space="0" w:color="auto"/>
              <w:right w:val="nil"/>
            </w:tcBorders>
            <w:vAlign w:val="center"/>
          </w:tcPr>
          <w:p w14:paraId="1321872C" w14:textId="77777777" w:rsidR="00F01152" w:rsidRPr="006A04B9" w:rsidRDefault="00F01152" w:rsidP="00F01152">
            <w:pPr>
              <w:spacing w:after="0" w:line="240" w:lineRule="auto"/>
              <w:jc w:val="right"/>
              <w:rPr>
                <w:rFonts w:ascii="Segoe UI" w:eastAsia="Times New Roman" w:hAnsi="Segoe UI" w:cs="Segoe UI"/>
                <w:b/>
                <w:bCs/>
                <w:color w:val="666666"/>
                <w:sz w:val="16"/>
                <w:szCs w:val="16"/>
              </w:rPr>
            </w:pPr>
            <w:r w:rsidRPr="006A04B9">
              <w:rPr>
                <w:rFonts w:ascii="Segoe UI" w:eastAsia="Times New Roman" w:hAnsi="Segoe UI" w:cs="Segoe UI"/>
                <w:b/>
                <w:bCs/>
                <w:color w:val="666666"/>
                <w:sz w:val="16"/>
                <w:szCs w:val="16"/>
              </w:rPr>
              <w:t>$93,580</w:t>
            </w:r>
          </w:p>
        </w:tc>
        <w:tc>
          <w:tcPr>
            <w:tcW w:w="1152" w:type="dxa"/>
            <w:tcBorders>
              <w:top w:val="single" w:sz="4" w:space="0" w:color="auto"/>
              <w:left w:val="nil"/>
              <w:bottom w:val="single" w:sz="4" w:space="0" w:color="auto"/>
              <w:right w:val="nil"/>
            </w:tcBorders>
            <w:vAlign w:val="center"/>
          </w:tcPr>
          <w:p w14:paraId="084B6021" w14:textId="77777777" w:rsidR="00F01152" w:rsidRPr="006A04B9" w:rsidRDefault="00F01152" w:rsidP="00F01152">
            <w:pPr>
              <w:spacing w:after="0" w:line="240" w:lineRule="auto"/>
              <w:jc w:val="right"/>
              <w:rPr>
                <w:rFonts w:ascii="Segoe UI" w:eastAsia="Times New Roman" w:hAnsi="Segoe UI" w:cs="Segoe UI"/>
                <w:b/>
                <w:bCs/>
                <w:color w:val="666666"/>
                <w:sz w:val="16"/>
                <w:szCs w:val="16"/>
              </w:rPr>
            </w:pPr>
            <w:r w:rsidRPr="006A04B9">
              <w:rPr>
                <w:rFonts w:ascii="Segoe UI" w:eastAsia="Times New Roman" w:hAnsi="Segoe UI" w:cs="Segoe UI"/>
                <w:b/>
                <w:bCs/>
                <w:color w:val="666666"/>
                <w:sz w:val="16"/>
                <w:szCs w:val="16"/>
              </w:rPr>
              <w:t>$60,542</w:t>
            </w:r>
          </w:p>
        </w:tc>
        <w:tc>
          <w:tcPr>
            <w:tcW w:w="1152" w:type="dxa"/>
            <w:tcBorders>
              <w:top w:val="single" w:sz="4" w:space="0" w:color="auto"/>
              <w:left w:val="nil"/>
              <w:bottom w:val="single" w:sz="4" w:space="0" w:color="auto"/>
              <w:right w:val="nil"/>
            </w:tcBorders>
            <w:vAlign w:val="center"/>
          </w:tcPr>
          <w:p w14:paraId="4EB38DDB" w14:textId="77777777" w:rsidR="00F01152" w:rsidRPr="006A04B9" w:rsidRDefault="00F01152" w:rsidP="00F01152">
            <w:pPr>
              <w:spacing w:after="0" w:line="240" w:lineRule="auto"/>
              <w:jc w:val="right"/>
              <w:rPr>
                <w:rFonts w:ascii="Segoe UI" w:eastAsia="Times New Roman" w:hAnsi="Segoe UI" w:cs="Segoe UI"/>
                <w:b/>
                <w:bCs/>
                <w:color w:val="666666"/>
                <w:sz w:val="16"/>
                <w:szCs w:val="16"/>
              </w:rPr>
            </w:pPr>
            <w:r w:rsidRPr="006A04B9">
              <w:rPr>
                <w:rFonts w:ascii="Segoe UI" w:eastAsia="Times New Roman" w:hAnsi="Segoe UI" w:cs="Segoe UI"/>
                <w:b/>
                <w:bCs/>
                <w:color w:val="666666"/>
                <w:sz w:val="16"/>
                <w:szCs w:val="16"/>
              </w:rPr>
              <w:t>$28,172</w:t>
            </w:r>
          </w:p>
        </w:tc>
        <w:tc>
          <w:tcPr>
            <w:tcW w:w="1152" w:type="dxa"/>
            <w:gridSpan w:val="2"/>
            <w:tcBorders>
              <w:top w:val="single" w:sz="4" w:space="0" w:color="auto"/>
              <w:left w:val="nil"/>
              <w:bottom w:val="single" w:sz="4" w:space="0" w:color="auto"/>
              <w:right w:val="nil"/>
            </w:tcBorders>
            <w:vAlign w:val="center"/>
          </w:tcPr>
          <w:p w14:paraId="5955E96B" w14:textId="77777777" w:rsidR="00F01152" w:rsidRPr="006A04B9" w:rsidRDefault="00F01152" w:rsidP="00F01152">
            <w:pPr>
              <w:spacing w:after="0" w:line="240" w:lineRule="auto"/>
              <w:jc w:val="right"/>
              <w:rPr>
                <w:rFonts w:ascii="Segoe UI" w:eastAsia="Times New Roman" w:hAnsi="Segoe UI" w:cs="Segoe UI"/>
                <w:b/>
                <w:bCs/>
                <w:color w:val="666666"/>
                <w:sz w:val="16"/>
                <w:szCs w:val="16"/>
              </w:rPr>
            </w:pPr>
            <w:r w:rsidRPr="006A04B9">
              <w:rPr>
                <w:rFonts w:ascii="Segoe UI" w:eastAsia="Times New Roman" w:hAnsi="Segoe UI" w:cs="Segoe UI"/>
                <w:b/>
                <w:bCs/>
                <w:color w:val="666666"/>
                <w:sz w:val="16"/>
                <w:szCs w:val="16"/>
              </w:rPr>
              <w:t>$2.6</w:t>
            </w:r>
            <w:r w:rsidR="004A2162">
              <w:rPr>
                <w:rFonts w:ascii="Segoe UI" w:eastAsia="Times New Roman" w:hAnsi="Segoe UI" w:cs="Segoe UI"/>
                <w:b/>
                <w:bCs/>
                <w:color w:val="666666"/>
                <w:sz w:val="16"/>
                <w:szCs w:val="16"/>
              </w:rPr>
              <w:t>3</w:t>
            </w:r>
          </w:p>
        </w:tc>
      </w:tr>
      <w:tr w:rsidR="00F01152" w:rsidRPr="006A04B9" w14:paraId="5D91A59F" w14:textId="77777777" w:rsidTr="003D3D46">
        <w:trPr>
          <w:trHeight w:val="288"/>
        </w:trPr>
        <w:tc>
          <w:tcPr>
            <w:tcW w:w="4050" w:type="dxa"/>
            <w:gridSpan w:val="2"/>
            <w:tcBorders>
              <w:top w:val="single" w:sz="4" w:space="0" w:color="auto"/>
              <w:left w:val="nil"/>
              <w:right w:val="nil"/>
            </w:tcBorders>
            <w:noWrap/>
            <w:vAlign w:val="center"/>
          </w:tcPr>
          <w:p w14:paraId="266BE5A3" w14:textId="77777777" w:rsidR="00F01152" w:rsidRPr="0067133E" w:rsidRDefault="00F01152" w:rsidP="00F01152">
            <w:pPr>
              <w:spacing w:after="0" w:line="240" w:lineRule="auto"/>
              <w:rPr>
                <w:rFonts w:ascii="Segoe UI" w:eastAsia="Times New Roman" w:hAnsi="Segoe UI" w:cs="Segoe UI"/>
                <w:bCs/>
                <w:color w:val="666666"/>
                <w:sz w:val="16"/>
                <w:szCs w:val="16"/>
              </w:rPr>
            </w:pPr>
            <w:r w:rsidRPr="0067133E">
              <w:rPr>
                <w:rFonts w:ascii="Segoe UI" w:eastAsia="Times New Roman" w:hAnsi="Segoe UI" w:cs="Segoe UI"/>
                <w:bCs/>
                <w:color w:val="666666"/>
                <w:sz w:val="16"/>
                <w:szCs w:val="16"/>
              </w:rPr>
              <w:t>Percentage Change Y/Y (GAAP)</w:t>
            </w:r>
          </w:p>
        </w:tc>
        <w:tc>
          <w:tcPr>
            <w:tcW w:w="1152" w:type="dxa"/>
            <w:tcBorders>
              <w:top w:val="single" w:sz="4" w:space="0" w:color="auto"/>
              <w:left w:val="nil"/>
              <w:right w:val="nil"/>
            </w:tcBorders>
            <w:vAlign w:val="center"/>
          </w:tcPr>
          <w:p w14:paraId="14555F2E" w14:textId="77777777" w:rsidR="00F01152" w:rsidRPr="006A04B9" w:rsidRDefault="00F01152" w:rsidP="00F01152">
            <w:pPr>
              <w:spacing w:after="0" w:line="240" w:lineRule="auto"/>
              <w:jc w:val="right"/>
              <w:rPr>
                <w:rFonts w:ascii="Segoe UI" w:eastAsia="Times New Roman" w:hAnsi="Segoe UI" w:cs="Segoe UI"/>
                <w:bCs/>
                <w:color w:val="595959" w:themeColor="text1" w:themeTint="A6"/>
                <w:sz w:val="16"/>
                <w:szCs w:val="16"/>
              </w:rPr>
            </w:pPr>
            <w:r w:rsidRPr="006A04B9">
              <w:rPr>
                <w:rFonts w:ascii="Segoe UI" w:eastAsia="Times New Roman" w:hAnsi="Segoe UI" w:cs="Segoe UI"/>
                <w:bCs/>
                <w:color w:val="595959" w:themeColor="text1" w:themeTint="A6"/>
                <w:sz w:val="16"/>
                <w:szCs w:val="16"/>
              </w:rPr>
              <w:t>8%</w:t>
            </w:r>
          </w:p>
        </w:tc>
        <w:tc>
          <w:tcPr>
            <w:tcW w:w="1152" w:type="dxa"/>
            <w:tcBorders>
              <w:top w:val="single" w:sz="4" w:space="0" w:color="auto"/>
              <w:left w:val="nil"/>
              <w:right w:val="nil"/>
            </w:tcBorders>
            <w:vAlign w:val="center"/>
          </w:tcPr>
          <w:p w14:paraId="2A312DB2" w14:textId="77777777" w:rsidR="00F01152" w:rsidRPr="006A04B9" w:rsidRDefault="00F01152" w:rsidP="00F01152">
            <w:pPr>
              <w:spacing w:after="0" w:line="240" w:lineRule="auto"/>
              <w:jc w:val="right"/>
              <w:rPr>
                <w:rFonts w:ascii="Segoe UI" w:eastAsia="Times New Roman" w:hAnsi="Segoe UI" w:cs="Segoe UI"/>
                <w:bCs/>
                <w:color w:val="595959" w:themeColor="text1" w:themeTint="A6"/>
                <w:sz w:val="16"/>
                <w:szCs w:val="16"/>
              </w:rPr>
            </w:pPr>
            <w:r w:rsidRPr="006A04B9">
              <w:rPr>
                <w:rFonts w:ascii="Segoe UI" w:eastAsia="Times New Roman" w:hAnsi="Segoe UI" w:cs="Segoe UI"/>
                <w:bCs/>
                <w:color w:val="595959" w:themeColor="text1" w:themeTint="A6"/>
                <w:sz w:val="16"/>
                <w:szCs w:val="16"/>
              </w:rPr>
              <w:t>1%</w:t>
            </w:r>
          </w:p>
        </w:tc>
        <w:tc>
          <w:tcPr>
            <w:tcW w:w="1152" w:type="dxa"/>
            <w:tcBorders>
              <w:top w:val="single" w:sz="4" w:space="0" w:color="auto"/>
              <w:left w:val="nil"/>
              <w:right w:val="nil"/>
            </w:tcBorders>
            <w:vAlign w:val="center"/>
          </w:tcPr>
          <w:p w14:paraId="3BB2D22B" w14:textId="77777777" w:rsidR="00F01152" w:rsidRPr="006A04B9" w:rsidRDefault="00F01152" w:rsidP="00F01152">
            <w:pPr>
              <w:spacing w:after="0" w:line="240" w:lineRule="auto"/>
              <w:jc w:val="right"/>
              <w:rPr>
                <w:rFonts w:ascii="Segoe UI" w:eastAsia="Times New Roman" w:hAnsi="Segoe UI" w:cs="Segoe UI"/>
                <w:bCs/>
                <w:color w:val="595959" w:themeColor="text1" w:themeTint="A6"/>
                <w:sz w:val="16"/>
                <w:szCs w:val="16"/>
              </w:rPr>
            </w:pPr>
            <w:r w:rsidRPr="006A04B9">
              <w:rPr>
                <w:rFonts w:ascii="Segoe UI" w:eastAsia="Times New Roman" w:hAnsi="Segoe UI" w:cs="Segoe UI"/>
                <w:bCs/>
                <w:color w:val="595959" w:themeColor="text1" w:themeTint="A6"/>
                <w:sz w:val="16"/>
                <w:szCs w:val="16"/>
              </w:rPr>
              <w:t>(35)%</w:t>
            </w:r>
          </w:p>
        </w:tc>
        <w:tc>
          <w:tcPr>
            <w:tcW w:w="1152" w:type="dxa"/>
            <w:gridSpan w:val="2"/>
            <w:tcBorders>
              <w:top w:val="single" w:sz="4" w:space="0" w:color="auto"/>
              <w:left w:val="nil"/>
              <w:right w:val="nil"/>
            </w:tcBorders>
            <w:vAlign w:val="center"/>
          </w:tcPr>
          <w:p w14:paraId="5635808E" w14:textId="77777777" w:rsidR="00F01152" w:rsidRPr="006A04B9" w:rsidRDefault="00F01152">
            <w:pPr>
              <w:spacing w:after="0" w:line="240" w:lineRule="auto"/>
              <w:jc w:val="right"/>
              <w:rPr>
                <w:rFonts w:ascii="Segoe UI" w:eastAsia="Times New Roman" w:hAnsi="Segoe UI" w:cs="Segoe UI"/>
                <w:bCs/>
                <w:color w:val="595959" w:themeColor="text1" w:themeTint="A6"/>
                <w:sz w:val="16"/>
                <w:szCs w:val="16"/>
              </w:rPr>
            </w:pPr>
            <w:r w:rsidRPr="006A04B9">
              <w:rPr>
                <w:rFonts w:ascii="Segoe UI" w:eastAsia="Times New Roman" w:hAnsi="Segoe UI" w:cs="Segoe UI"/>
                <w:bCs/>
                <w:color w:val="595959" w:themeColor="text1" w:themeTint="A6"/>
                <w:sz w:val="16"/>
                <w:szCs w:val="16"/>
              </w:rPr>
              <w:t>(</w:t>
            </w:r>
            <w:r w:rsidR="004A2162" w:rsidRPr="006A04B9">
              <w:rPr>
                <w:rFonts w:ascii="Segoe UI" w:eastAsia="Times New Roman" w:hAnsi="Segoe UI" w:cs="Segoe UI"/>
                <w:bCs/>
                <w:color w:val="595959" w:themeColor="text1" w:themeTint="A6"/>
                <w:sz w:val="16"/>
                <w:szCs w:val="16"/>
              </w:rPr>
              <w:t>4</w:t>
            </w:r>
            <w:r w:rsidR="004A2162">
              <w:rPr>
                <w:rFonts w:ascii="Segoe UI" w:eastAsia="Times New Roman" w:hAnsi="Segoe UI" w:cs="Segoe UI"/>
                <w:bCs/>
                <w:color w:val="595959" w:themeColor="text1" w:themeTint="A6"/>
                <w:sz w:val="16"/>
                <w:szCs w:val="16"/>
              </w:rPr>
              <w:t>4</w:t>
            </w:r>
            <w:r w:rsidRPr="006A04B9">
              <w:rPr>
                <w:rFonts w:ascii="Segoe UI" w:eastAsia="Times New Roman" w:hAnsi="Segoe UI" w:cs="Segoe UI"/>
                <w:bCs/>
                <w:color w:val="595959" w:themeColor="text1" w:themeTint="A6"/>
                <w:sz w:val="16"/>
                <w:szCs w:val="16"/>
              </w:rPr>
              <w:t>)%</w:t>
            </w:r>
          </w:p>
        </w:tc>
      </w:tr>
      <w:tr w:rsidR="00F01152" w:rsidRPr="006A04B9" w14:paraId="4BD1DCD6" w14:textId="77777777" w:rsidTr="003D3D46">
        <w:trPr>
          <w:trHeight w:val="288"/>
        </w:trPr>
        <w:tc>
          <w:tcPr>
            <w:tcW w:w="4050" w:type="dxa"/>
            <w:gridSpan w:val="2"/>
            <w:tcBorders>
              <w:top w:val="nil"/>
              <w:left w:val="nil"/>
              <w:bottom w:val="single" w:sz="4" w:space="0" w:color="auto"/>
              <w:right w:val="nil"/>
            </w:tcBorders>
            <w:noWrap/>
            <w:vAlign w:val="center"/>
          </w:tcPr>
          <w:p w14:paraId="378B9D07" w14:textId="77777777" w:rsidR="00F01152" w:rsidRPr="0067133E" w:rsidRDefault="00F01152" w:rsidP="00F01152">
            <w:pPr>
              <w:spacing w:after="0" w:line="240" w:lineRule="auto"/>
              <w:rPr>
                <w:rFonts w:ascii="Segoe UI" w:eastAsia="Times New Roman" w:hAnsi="Segoe UI" w:cs="Segoe UI"/>
                <w:bCs/>
                <w:color w:val="666666"/>
                <w:sz w:val="16"/>
                <w:szCs w:val="16"/>
              </w:rPr>
            </w:pPr>
            <w:r w:rsidRPr="0067133E">
              <w:rPr>
                <w:rFonts w:ascii="Segoe UI" w:eastAsia="Times New Roman" w:hAnsi="Segoe UI" w:cs="Segoe UI"/>
                <w:bCs/>
                <w:color w:val="666666"/>
                <w:sz w:val="16"/>
                <w:szCs w:val="16"/>
              </w:rPr>
              <w:t>Percentage Change Y/Y (Non-GAAP)</w:t>
            </w:r>
          </w:p>
        </w:tc>
        <w:tc>
          <w:tcPr>
            <w:tcW w:w="1152" w:type="dxa"/>
            <w:tcBorders>
              <w:top w:val="nil"/>
              <w:left w:val="nil"/>
              <w:bottom w:val="single" w:sz="4" w:space="0" w:color="auto"/>
              <w:right w:val="nil"/>
            </w:tcBorders>
            <w:vAlign w:val="center"/>
          </w:tcPr>
          <w:p w14:paraId="0213EE56" w14:textId="77777777" w:rsidR="00F01152" w:rsidRPr="006A04B9" w:rsidRDefault="004A2162" w:rsidP="00F01152">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8</w:t>
            </w:r>
            <w:r w:rsidR="00F01152" w:rsidRPr="006A04B9">
              <w:rPr>
                <w:rFonts w:ascii="Segoe UI" w:eastAsia="Times New Roman" w:hAnsi="Segoe UI" w:cs="Segoe UI"/>
                <w:bCs/>
                <w:color w:val="595959" w:themeColor="text1" w:themeTint="A6"/>
                <w:sz w:val="16"/>
                <w:szCs w:val="16"/>
              </w:rPr>
              <w:t>%</w:t>
            </w:r>
          </w:p>
        </w:tc>
        <w:tc>
          <w:tcPr>
            <w:tcW w:w="1152" w:type="dxa"/>
            <w:tcBorders>
              <w:top w:val="nil"/>
              <w:left w:val="nil"/>
              <w:bottom w:val="single" w:sz="4" w:space="0" w:color="auto"/>
              <w:right w:val="nil"/>
            </w:tcBorders>
            <w:vAlign w:val="center"/>
          </w:tcPr>
          <w:p w14:paraId="51AB1615" w14:textId="77777777" w:rsidR="00F01152" w:rsidRPr="006A04B9" w:rsidRDefault="004A2162" w:rsidP="00C9071C">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1</w:t>
            </w:r>
            <w:r w:rsidR="00F01152" w:rsidRPr="006A04B9">
              <w:rPr>
                <w:rFonts w:ascii="Segoe UI" w:eastAsia="Times New Roman" w:hAnsi="Segoe UI" w:cs="Segoe UI"/>
                <w:bCs/>
                <w:color w:val="595959" w:themeColor="text1" w:themeTint="A6"/>
                <w:sz w:val="16"/>
                <w:szCs w:val="16"/>
              </w:rPr>
              <w:t>%</w:t>
            </w:r>
          </w:p>
        </w:tc>
        <w:tc>
          <w:tcPr>
            <w:tcW w:w="1152" w:type="dxa"/>
            <w:tcBorders>
              <w:top w:val="nil"/>
              <w:left w:val="nil"/>
              <w:bottom w:val="single" w:sz="4" w:space="0" w:color="auto"/>
              <w:right w:val="nil"/>
            </w:tcBorders>
            <w:vAlign w:val="center"/>
          </w:tcPr>
          <w:p w14:paraId="2B7B105B" w14:textId="77777777" w:rsidR="00F01152" w:rsidRPr="006A04B9" w:rsidRDefault="004A2162" w:rsidP="00F01152">
            <w:pPr>
              <w:spacing w:after="0" w:line="240" w:lineRule="auto"/>
              <w:jc w:val="right"/>
              <w:rPr>
                <w:rFonts w:ascii="Segoe UI" w:eastAsia="Times New Roman" w:hAnsi="Segoe UI" w:cs="Segoe UI"/>
                <w:bCs/>
                <w:color w:val="595959" w:themeColor="text1" w:themeTint="A6"/>
                <w:sz w:val="16"/>
                <w:szCs w:val="16"/>
              </w:rPr>
            </w:pPr>
            <w:r>
              <w:rPr>
                <w:rFonts w:ascii="Segoe UI" w:eastAsia="Times New Roman" w:hAnsi="Segoe UI" w:cs="Segoe UI"/>
                <w:bCs/>
                <w:color w:val="595959" w:themeColor="text1" w:themeTint="A6"/>
                <w:sz w:val="16"/>
                <w:szCs w:val="16"/>
              </w:rPr>
              <w:t>1</w:t>
            </w:r>
            <w:r w:rsidR="00F01152" w:rsidRPr="006A04B9">
              <w:rPr>
                <w:rFonts w:ascii="Segoe UI" w:eastAsia="Times New Roman" w:hAnsi="Segoe UI" w:cs="Segoe UI"/>
                <w:bCs/>
                <w:color w:val="595959" w:themeColor="text1" w:themeTint="A6"/>
                <w:sz w:val="16"/>
                <w:szCs w:val="16"/>
              </w:rPr>
              <w:t>%</w:t>
            </w:r>
          </w:p>
        </w:tc>
        <w:tc>
          <w:tcPr>
            <w:tcW w:w="1152" w:type="dxa"/>
            <w:gridSpan w:val="2"/>
            <w:tcBorders>
              <w:top w:val="nil"/>
              <w:left w:val="nil"/>
              <w:bottom w:val="single" w:sz="4" w:space="0" w:color="auto"/>
              <w:right w:val="nil"/>
            </w:tcBorders>
            <w:vAlign w:val="center"/>
          </w:tcPr>
          <w:p w14:paraId="2B2F2CAE" w14:textId="77777777" w:rsidR="00F01152" w:rsidRPr="006A04B9" w:rsidRDefault="00F01152" w:rsidP="00CE7ED2">
            <w:pPr>
              <w:spacing w:after="0" w:line="240" w:lineRule="auto"/>
              <w:jc w:val="right"/>
              <w:rPr>
                <w:rFonts w:ascii="Segoe UI" w:eastAsia="Times New Roman" w:hAnsi="Segoe UI" w:cs="Segoe UI"/>
                <w:bCs/>
                <w:color w:val="595959" w:themeColor="text1" w:themeTint="A6"/>
                <w:sz w:val="16"/>
                <w:szCs w:val="16"/>
              </w:rPr>
            </w:pPr>
            <w:r w:rsidRPr="006A04B9">
              <w:rPr>
                <w:rFonts w:ascii="Segoe UI" w:eastAsia="Times New Roman" w:hAnsi="Segoe UI" w:cs="Segoe UI"/>
                <w:bCs/>
                <w:color w:val="595959" w:themeColor="text1" w:themeTint="A6"/>
                <w:sz w:val="16"/>
                <w:szCs w:val="16"/>
              </w:rPr>
              <w:t>(</w:t>
            </w:r>
            <w:r w:rsidR="004A2162">
              <w:rPr>
                <w:rFonts w:ascii="Segoe UI" w:eastAsia="Times New Roman" w:hAnsi="Segoe UI" w:cs="Segoe UI"/>
                <w:bCs/>
                <w:color w:val="595959" w:themeColor="text1" w:themeTint="A6"/>
                <w:sz w:val="16"/>
                <w:szCs w:val="16"/>
              </w:rPr>
              <w:t>0</w:t>
            </w:r>
            <w:r w:rsidRPr="006A04B9">
              <w:rPr>
                <w:rFonts w:ascii="Segoe UI" w:eastAsia="Times New Roman" w:hAnsi="Segoe UI" w:cs="Segoe UI"/>
                <w:bCs/>
                <w:color w:val="595959" w:themeColor="text1" w:themeTint="A6"/>
                <w:sz w:val="16"/>
                <w:szCs w:val="16"/>
              </w:rPr>
              <w:t>)%</w:t>
            </w:r>
          </w:p>
        </w:tc>
      </w:tr>
      <w:tr w:rsidR="00F01152" w:rsidRPr="001F0EB6" w14:paraId="32380157" w14:textId="77777777" w:rsidTr="003D3D46">
        <w:trPr>
          <w:trHeight w:val="105"/>
        </w:trPr>
        <w:tc>
          <w:tcPr>
            <w:tcW w:w="4050" w:type="dxa"/>
            <w:gridSpan w:val="2"/>
            <w:tcBorders>
              <w:top w:val="single" w:sz="4" w:space="0" w:color="auto"/>
              <w:left w:val="nil"/>
              <w:bottom w:val="nil"/>
              <w:right w:val="nil"/>
            </w:tcBorders>
            <w:noWrap/>
            <w:vAlign w:val="center"/>
          </w:tcPr>
          <w:p w14:paraId="4D11DE79" w14:textId="77777777" w:rsidR="00F01152" w:rsidRPr="0067133E" w:rsidRDefault="00F01152" w:rsidP="00F01152">
            <w:pPr>
              <w:spacing w:after="0" w:line="240" w:lineRule="auto"/>
              <w:rPr>
                <w:rFonts w:ascii="Segoe UI" w:eastAsia="Times New Roman" w:hAnsi="Segoe UI" w:cs="Segoe UI"/>
                <w:bCs/>
                <w:color w:val="666666"/>
                <w:sz w:val="16"/>
                <w:szCs w:val="16"/>
              </w:rPr>
            </w:pPr>
          </w:p>
        </w:tc>
        <w:tc>
          <w:tcPr>
            <w:tcW w:w="1152" w:type="dxa"/>
            <w:tcBorders>
              <w:top w:val="single" w:sz="4" w:space="0" w:color="auto"/>
              <w:left w:val="nil"/>
              <w:bottom w:val="nil"/>
              <w:right w:val="nil"/>
            </w:tcBorders>
            <w:vAlign w:val="center"/>
          </w:tcPr>
          <w:p w14:paraId="4190B4E7" w14:textId="77777777" w:rsidR="00F01152" w:rsidRPr="006A04B9" w:rsidRDefault="00F01152" w:rsidP="00F01152">
            <w:pPr>
              <w:spacing w:after="0" w:line="240" w:lineRule="auto"/>
              <w:jc w:val="right"/>
              <w:rPr>
                <w:rFonts w:ascii="Segoe UI" w:eastAsia="Times New Roman" w:hAnsi="Segoe UI" w:cs="Segoe UI"/>
                <w:bCs/>
                <w:color w:val="595959" w:themeColor="text1" w:themeTint="A6"/>
                <w:sz w:val="16"/>
                <w:szCs w:val="16"/>
              </w:rPr>
            </w:pPr>
          </w:p>
        </w:tc>
        <w:tc>
          <w:tcPr>
            <w:tcW w:w="1152" w:type="dxa"/>
            <w:tcBorders>
              <w:top w:val="single" w:sz="4" w:space="0" w:color="auto"/>
              <w:left w:val="nil"/>
              <w:bottom w:val="nil"/>
              <w:right w:val="nil"/>
            </w:tcBorders>
            <w:vAlign w:val="center"/>
          </w:tcPr>
          <w:p w14:paraId="6778DFCD" w14:textId="77777777" w:rsidR="00F01152" w:rsidRPr="006A04B9" w:rsidRDefault="00F01152" w:rsidP="00F01152">
            <w:pPr>
              <w:spacing w:after="0" w:line="240" w:lineRule="auto"/>
              <w:jc w:val="right"/>
              <w:rPr>
                <w:rFonts w:ascii="Segoe UI" w:eastAsia="Times New Roman" w:hAnsi="Segoe UI" w:cs="Segoe UI"/>
                <w:bCs/>
                <w:color w:val="595959" w:themeColor="text1" w:themeTint="A6"/>
                <w:sz w:val="16"/>
                <w:szCs w:val="16"/>
              </w:rPr>
            </w:pPr>
          </w:p>
        </w:tc>
        <w:tc>
          <w:tcPr>
            <w:tcW w:w="1152" w:type="dxa"/>
            <w:tcBorders>
              <w:top w:val="single" w:sz="4" w:space="0" w:color="auto"/>
              <w:left w:val="nil"/>
              <w:bottom w:val="nil"/>
              <w:right w:val="nil"/>
            </w:tcBorders>
            <w:vAlign w:val="center"/>
          </w:tcPr>
          <w:p w14:paraId="232EAC2B" w14:textId="77777777" w:rsidR="00F01152" w:rsidRPr="006A04B9" w:rsidRDefault="00F01152" w:rsidP="00F01152">
            <w:pPr>
              <w:spacing w:after="0" w:line="240" w:lineRule="auto"/>
              <w:jc w:val="right"/>
              <w:rPr>
                <w:rFonts w:ascii="Segoe UI" w:eastAsia="Times New Roman" w:hAnsi="Segoe UI" w:cs="Segoe UI"/>
                <w:bCs/>
                <w:color w:val="595959" w:themeColor="text1" w:themeTint="A6"/>
                <w:sz w:val="16"/>
                <w:szCs w:val="16"/>
              </w:rPr>
            </w:pPr>
          </w:p>
        </w:tc>
        <w:tc>
          <w:tcPr>
            <w:tcW w:w="1152" w:type="dxa"/>
            <w:gridSpan w:val="2"/>
            <w:tcBorders>
              <w:top w:val="single" w:sz="4" w:space="0" w:color="auto"/>
              <w:left w:val="nil"/>
              <w:bottom w:val="nil"/>
              <w:right w:val="nil"/>
            </w:tcBorders>
            <w:vAlign w:val="center"/>
          </w:tcPr>
          <w:p w14:paraId="508FA84A" w14:textId="77777777" w:rsidR="00F01152" w:rsidRPr="006A04B9" w:rsidRDefault="00F01152" w:rsidP="00F01152">
            <w:pPr>
              <w:spacing w:after="0" w:line="240" w:lineRule="auto"/>
              <w:jc w:val="right"/>
              <w:rPr>
                <w:rFonts w:ascii="Segoe UI" w:eastAsia="Times New Roman" w:hAnsi="Segoe UI" w:cs="Segoe UI"/>
                <w:bCs/>
                <w:color w:val="595959" w:themeColor="text1" w:themeTint="A6"/>
                <w:sz w:val="16"/>
                <w:szCs w:val="16"/>
              </w:rPr>
            </w:pPr>
          </w:p>
        </w:tc>
      </w:tr>
    </w:tbl>
    <w:p w14:paraId="29983402" w14:textId="77777777" w:rsidR="00B25AB2" w:rsidRPr="009F6692" w:rsidRDefault="00B25AB2" w:rsidP="00B25AB2">
      <w:pPr>
        <w:spacing w:before="240" w:line="280" w:lineRule="exact"/>
        <w:rPr>
          <w:rFonts w:ascii="Segoe UI" w:eastAsia="Times New Roman" w:hAnsi="Segoe UI" w:cs="Segoe UI"/>
          <w:b/>
          <w:bCs/>
          <w:color w:val="666666"/>
          <w:sz w:val="20"/>
          <w:szCs w:val="20"/>
        </w:rPr>
      </w:pPr>
      <w:r w:rsidRPr="009F6692">
        <w:rPr>
          <w:rFonts w:ascii="Segoe UI" w:eastAsia="Times New Roman" w:hAnsi="Segoe UI" w:cs="Segoe UI"/>
          <w:b/>
          <w:bCs/>
          <w:color w:val="666666"/>
          <w:sz w:val="20"/>
          <w:szCs w:val="20"/>
        </w:rPr>
        <w:t>Business Outlook</w:t>
      </w:r>
    </w:p>
    <w:p w14:paraId="4F0FFC8E" w14:textId="77777777" w:rsidR="00B25AB2" w:rsidRPr="00EA786C" w:rsidRDefault="00B25AB2" w:rsidP="00B25AB2">
      <w:pPr>
        <w:spacing w:line="280" w:lineRule="exact"/>
        <w:rPr>
          <w:rFonts w:ascii="Segoe UI" w:hAnsi="Segoe UI" w:cs="Segoe UI"/>
          <w:color w:val="666666"/>
          <w:sz w:val="20"/>
          <w:szCs w:val="20"/>
        </w:rPr>
      </w:pPr>
      <w:r w:rsidRPr="00EA786C">
        <w:rPr>
          <w:rFonts w:ascii="Segoe UI" w:hAnsi="Segoe UI" w:cs="Segoe UI"/>
          <w:color w:val="666666"/>
          <w:sz w:val="20"/>
          <w:szCs w:val="20"/>
        </w:rPr>
        <w:t>Microsoft will provide forward-looking guidance in connection with this quarterly earnings announcement on its earnings conference call and webcast.</w:t>
      </w:r>
    </w:p>
    <w:p w14:paraId="3358A688" w14:textId="77777777" w:rsidR="00B25AB2" w:rsidRPr="009F6692" w:rsidRDefault="00B25AB2" w:rsidP="00B25AB2">
      <w:pPr>
        <w:spacing w:before="240" w:line="280" w:lineRule="exact"/>
        <w:rPr>
          <w:rFonts w:ascii="Segoe UI" w:eastAsia="Times New Roman" w:hAnsi="Segoe UI" w:cs="Segoe UI"/>
          <w:b/>
          <w:bCs/>
          <w:color w:val="666666"/>
          <w:sz w:val="20"/>
          <w:szCs w:val="20"/>
        </w:rPr>
      </w:pPr>
      <w:bookmarkStart w:id="2" w:name="RANGE!A1:D14"/>
      <w:bookmarkEnd w:id="2"/>
      <w:r w:rsidRPr="009F6692">
        <w:rPr>
          <w:rFonts w:ascii="Segoe UI" w:eastAsia="Times New Roman" w:hAnsi="Segoe UI" w:cs="Segoe UI"/>
          <w:b/>
          <w:bCs/>
          <w:color w:val="666666"/>
          <w:sz w:val="20"/>
          <w:szCs w:val="20"/>
        </w:rPr>
        <w:t>Webcast Details</w:t>
      </w:r>
    </w:p>
    <w:p w14:paraId="6AF98C2A" w14:textId="77777777" w:rsidR="00B25AB2" w:rsidRDefault="00B25AB2" w:rsidP="00B25AB2">
      <w:pPr>
        <w:spacing w:line="280" w:lineRule="exact"/>
        <w:rPr>
          <w:rFonts w:ascii="Segoe UI" w:hAnsi="Segoe UI" w:cs="Segoe UI"/>
          <w:color w:val="666666"/>
          <w:sz w:val="20"/>
          <w:szCs w:val="20"/>
        </w:rPr>
      </w:pPr>
      <w:r w:rsidRPr="00EA786C">
        <w:rPr>
          <w:rFonts w:ascii="Segoe UI" w:hAnsi="Segoe UI" w:cs="Segoe UI"/>
          <w:color w:val="666666"/>
          <w:sz w:val="20"/>
          <w:szCs w:val="20"/>
        </w:rPr>
        <w:t>Satya Nadella, chief executive officer, Amy Hood, executive vice president and chief financial officer, Frank Brod, chief accounting officer, John Seethoff, deputy general counsel, and Chris Suh, general manager of Investor Relations, will host a conference call and webcast at 2:30 p.m. P</w:t>
      </w:r>
      <w:r w:rsidR="00443912">
        <w:rPr>
          <w:rFonts w:ascii="Segoe UI" w:hAnsi="Segoe UI" w:cs="Segoe UI"/>
          <w:color w:val="666666"/>
          <w:sz w:val="20"/>
          <w:szCs w:val="20"/>
        </w:rPr>
        <w:t>D</w:t>
      </w:r>
      <w:r w:rsidRPr="00EA786C">
        <w:rPr>
          <w:rFonts w:ascii="Segoe UI" w:hAnsi="Segoe UI" w:cs="Segoe UI"/>
          <w:color w:val="666666"/>
          <w:sz w:val="20"/>
          <w:szCs w:val="20"/>
        </w:rPr>
        <w:t>T (5:30 p.m. E</w:t>
      </w:r>
      <w:r w:rsidR="00443912">
        <w:rPr>
          <w:rFonts w:ascii="Segoe UI" w:hAnsi="Segoe UI" w:cs="Segoe UI"/>
          <w:color w:val="666666"/>
          <w:sz w:val="20"/>
          <w:szCs w:val="20"/>
        </w:rPr>
        <w:t>D</w:t>
      </w:r>
      <w:r w:rsidRPr="00EA786C">
        <w:rPr>
          <w:rFonts w:ascii="Segoe UI" w:hAnsi="Segoe UI" w:cs="Segoe UI"/>
          <w:color w:val="666666"/>
          <w:sz w:val="20"/>
          <w:szCs w:val="20"/>
        </w:rPr>
        <w:t xml:space="preserve">T) today to discuss details of the company’s performance for the quarter and certain forward-looking information. The session may be accessed at </w:t>
      </w:r>
      <w:hyperlink r:id="rId11" w:tgtFrame="_blank" w:history="1">
        <w:r w:rsidRPr="00EA786C">
          <w:rPr>
            <w:color w:val="666666"/>
          </w:rPr>
          <w:t>http://www.microsoft.com/investor</w:t>
        </w:r>
      </w:hyperlink>
      <w:r w:rsidRPr="00EA786C">
        <w:rPr>
          <w:rFonts w:ascii="Segoe UI" w:hAnsi="Segoe UI" w:cs="Segoe UI"/>
          <w:color w:val="666666"/>
          <w:sz w:val="20"/>
          <w:szCs w:val="20"/>
        </w:rPr>
        <w:t xml:space="preserve">. The webcast will be available for replay through the close of business on </w:t>
      </w:r>
      <w:r w:rsidR="006A04B9">
        <w:rPr>
          <w:rFonts w:ascii="Segoe UI" w:hAnsi="Segoe UI" w:cs="Segoe UI"/>
          <w:color w:val="666666"/>
          <w:sz w:val="20"/>
          <w:szCs w:val="20"/>
        </w:rPr>
        <w:t>July 21</w:t>
      </w:r>
      <w:r w:rsidR="00DA02ED">
        <w:rPr>
          <w:rFonts w:ascii="Segoe UI" w:hAnsi="Segoe UI" w:cs="Segoe UI"/>
          <w:color w:val="666666"/>
          <w:sz w:val="20"/>
          <w:szCs w:val="20"/>
        </w:rPr>
        <w:t>, 2016</w:t>
      </w:r>
      <w:r w:rsidRPr="00EA786C">
        <w:rPr>
          <w:rFonts w:ascii="Segoe UI" w:hAnsi="Segoe UI" w:cs="Segoe UI"/>
          <w:color w:val="666666"/>
          <w:sz w:val="20"/>
          <w:szCs w:val="20"/>
        </w:rPr>
        <w:t>.</w:t>
      </w:r>
    </w:p>
    <w:p w14:paraId="02832285" w14:textId="77777777" w:rsidR="009F6692" w:rsidRPr="00514C86" w:rsidRDefault="009F6692" w:rsidP="009F6692">
      <w:pPr>
        <w:pStyle w:val="NormalWeb"/>
        <w:keepNext/>
        <w:rPr>
          <w:rFonts w:ascii="Segoe UI" w:hAnsi="Segoe UI" w:cs="Segoe UI"/>
          <w:b/>
          <w:bCs/>
          <w:color w:val="666666"/>
          <w:sz w:val="20"/>
          <w:szCs w:val="20"/>
        </w:rPr>
      </w:pPr>
      <w:r w:rsidRPr="00514C86">
        <w:rPr>
          <w:rFonts w:ascii="Segoe UI" w:hAnsi="Segoe UI" w:cs="Segoe UI"/>
          <w:b/>
          <w:bCs/>
          <w:color w:val="666666"/>
          <w:sz w:val="20"/>
          <w:szCs w:val="20"/>
        </w:rPr>
        <w:t xml:space="preserve">Adjusted Financial Results and Non-GAAP Measures </w:t>
      </w:r>
    </w:p>
    <w:p w14:paraId="7BCFF425" w14:textId="62111B83" w:rsidR="009F6692" w:rsidRPr="00514C86" w:rsidRDefault="009F6692" w:rsidP="009F6692">
      <w:pPr>
        <w:spacing w:after="0" w:line="280" w:lineRule="exact"/>
        <w:rPr>
          <w:rFonts w:ascii="Segoe UI" w:hAnsi="Segoe UI" w:cs="Segoe UI"/>
          <w:color w:val="666666"/>
          <w:sz w:val="20"/>
          <w:szCs w:val="20"/>
        </w:rPr>
      </w:pPr>
      <w:r w:rsidRPr="00514C86">
        <w:rPr>
          <w:rFonts w:ascii="Segoe UI" w:hAnsi="Segoe UI" w:cs="Segoe UI"/>
          <w:color w:val="666666"/>
          <w:sz w:val="20"/>
          <w:szCs w:val="20"/>
        </w:rPr>
        <w:t>During the fourth quarter of fiscal year 201</w:t>
      </w:r>
      <w:r>
        <w:rPr>
          <w:rFonts w:ascii="Segoe UI" w:hAnsi="Segoe UI" w:cs="Segoe UI"/>
          <w:color w:val="666666"/>
          <w:sz w:val="20"/>
          <w:szCs w:val="20"/>
        </w:rPr>
        <w:t>5</w:t>
      </w:r>
      <w:r w:rsidRPr="00514C86">
        <w:rPr>
          <w:rFonts w:ascii="Segoe UI" w:hAnsi="Segoe UI" w:cs="Segoe UI"/>
          <w:color w:val="666666"/>
          <w:sz w:val="20"/>
          <w:szCs w:val="20"/>
        </w:rPr>
        <w:t xml:space="preserve">, GAAP revenue, gross margin, operating </w:t>
      </w:r>
      <w:r w:rsidR="00146582">
        <w:rPr>
          <w:rFonts w:ascii="Segoe UI" w:hAnsi="Segoe UI" w:cs="Segoe UI"/>
          <w:color w:val="666666"/>
          <w:sz w:val="20"/>
          <w:szCs w:val="20"/>
        </w:rPr>
        <w:t>loss</w:t>
      </w:r>
      <w:r w:rsidRPr="00514C86">
        <w:rPr>
          <w:rFonts w:ascii="Segoe UI" w:hAnsi="Segoe UI" w:cs="Segoe UI"/>
          <w:color w:val="666666"/>
          <w:sz w:val="20"/>
          <w:szCs w:val="20"/>
        </w:rPr>
        <w:t xml:space="preserve">, and </w:t>
      </w:r>
      <w:r w:rsidR="00146582">
        <w:rPr>
          <w:rFonts w:ascii="Segoe UI" w:hAnsi="Segoe UI" w:cs="Segoe UI"/>
          <w:color w:val="666666"/>
          <w:sz w:val="20"/>
          <w:szCs w:val="20"/>
        </w:rPr>
        <w:t>loss per share</w:t>
      </w:r>
      <w:r w:rsidRPr="00514C86">
        <w:rPr>
          <w:rFonts w:ascii="Segoe UI" w:hAnsi="Segoe UI" w:cs="Segoe UI"/>
          <w:color w:val="666666"/>
          <w:sz w:val="20"/>
          <w:szCs w:val="20"/>
        </w:rPr>
        <w:t xml:space="preserve"> included </w:t>
      </w:r>
      <w:r>
        <w:rPr>
          <w:rFonts w:ascii="Segoe UI" w:hAnsi="Segoe UI" w:cs="Segoe UI"/>
          <w:color w:val="666666"/>
          <w:sz w:val="20"/>
          <w:szCs w:val="20"/>
        </w:rPr>
        <w:t>impairment, integration</w:t>
      </w:r>
      <w:r w:rsidR="00146582">
        <w:rPr>
          <w:rFonts w:ascii="Segoe UI" w:hAnsi="Segoe UI" w:cs="Segoe UI"/>
          <w:color w:val="666666"/>
          <w:sz w:val="20"/>
          <w:szCs w:val="20"/>
        </w:rPr>
        <w:t>,</w:t>
      </w:r>
      <w:r>
        <w:rPr>
          <w:rFonts w:ascii="Segoe UI" w:hAnsi="Segoe UI" w:cs="Segoe UI"/>
          <w:color w:val="666666"/>
          <w:sz w:val="20"/>
          <w:szCs w:val="20"/>
        </w:rPr>
        <w:t xml:space="preserve"> and restructuring </w:t>
      </w:r>
      <w:r w:rsidR="002D5198">
        <w:rPr>
          <w:rFonts w:ascii="Segoe UI" w:hAnsi="Segoe UI" w:cs="Segoe UI"/>
          <w:color w:val="666666"/>
          <w:sz w:val="20"/>
          <w:szCs w:val="20"/>
        </w:rPr>
        <w:t>charges</w:t>
      </w:r>
      <w:r>
        <w:rPr>
          <w:rFonts w:ascii="Segoe UI" w:hAnsi="Segoe UI" w:cs="Segoe UI"/>
          <w:color w:val="666666"/>
          <w:sz w:val="20"/>
          <w:szCs w:val="20"/>
        </w:rPr>
        <w:t>.</w:t>
      </w:r>
      <w:r w:rsidRPr="00514C86">
        <w:rPr>
          <w:rFonts w:ascii="Segoe UI" w:hAnsi="Segoe UI" w:cs="Segoe UI"/>
          <w:color w:val="666666"/>
          <w:sz w:val="20"/>
          <w:szCs w:val="20"/>
        </w:rPr>
        <w:t xml:space="preserve"> For </w:t>
      </w:r>
      <w:r w:rsidR="00146582">
        <w:rPr>
          <w:rFonts w:ascii="Segoe UI" w:hAnsi="Segoe UI" w:cs="Segoe UI"/>
          <w:color w:val="666666"/>
          <w:sz w:val="20"/>
          <w:szCs w:val="20"/>
        </w:rPr>
        <w:t>the fourth quarter of fiscal year</w:t>
      </w:r>
      <w:r w:rsidRPr="00514C86">
        <w:rPr>
          <w:rFonts w:ascii="Segoe UI" w:hAnsi="Segoe UI" w:cs="Segoe UI"/>
          <w:color w:val="666666"/>
          <w:sz w:val="20"/>
          <w:szCs w:val="20"/>
        </w:rPr>
        <w:t xml:space="preserve"> </w:t>
      </w:r>
      <w:r>
        <w:rPr>
          <w:rFonts w:ascii="Segoe UI" w:hAnsi="Segoe UI" w:cs="Segoe UI"/>
          <w:color w:val="666666"/>
          <w:sz w:val="20"/>
          <w:szCs w:val="20"/>
        </w:rPr>
        <w:t>2014</w:t>
      </w:r>
      <w:r w:rsidRPr="00514C86">
        <w:rPr>
          <w:rFonts w:ascii="Segoe UI" w:hAnsi="Segoe UI" w:cs="Segoe UI"/>
          <w:color w:val="666666"/>
          <w:sz w:val="20"/>
          <w:szCs w:val="20"/>
        </w:rPr>
        <w:t xml:space="preserve">, the financial results included the </w:t>
      </w:r>
      <w:r>
        <w:rPr>
          <w:rFonts w:ascii="Segoe UI" w:hAnsi="Segoe UI" w:cs="Segoe UI"/>
          <w:color w:val="666666"/>
          <w:sz w:val="20"/>
          <w:szCs w:val="20"/>
        </w:rPr>
        <w:t>charges rel</w:t>
      </w:r>
      <w:r w:rsidRPr="00514C86">
        <w:rPr>
          <w:rFonts w:ascii="Segoe UI" w:hAnsi="Segoe UI" w:cs="Segoe UI"/>
          <w:color w:val="666666"/>
          <w:sz w:val="20"/>
          <w:szCs w:val="20"/>
        </w:rPr>
        <w:t xml:space="preserve">ated to the </w:t>
      </w:r>
      <w:r>
        <w:rPr>
          <w:rFonts w:ascii="Segoe UI" w:hAnsi="Segoe UI" w:cs="Segoe UI"/>
          <w:color w:val="666666"/>
          <w:sz w:val="20"/>
          <w:szCs w:val="20"/>
        </w:rPr>
        <w:t xml:space="preserve">integration expenses associated with the acquisition of NDS </w:t>
      </w:r>
      <w:r w:rsidRPr="00514C86">
        <w:rPr>
          <w:rFonts w:ascii="Segoe UI" w:hAnsi="Segoe UI" w:cs="Segoe UI"/>
          <w:color w:val="666666"/>
          <w:sz w:val="20"/>
          <w:szCs w:val="20"/>
        </w:rPr>
        <w:t>. These items are defined below. In addition to these financial results repor</w:t>
      </w:r>
      <w:r w:rsidR="000A42D9">
        <w:rPr>
          <w:rFonts w:ascii="Segoe UI" w:hAnsi="Segoe UI" w:cs="Segoe UI"/>
          <w:color w:val="666666"/>
          <w:sz w:val="20"/>
          <w:szCs w:val="20"/>
        </w:rPr>
        <w:t>ted in accordance with GAAP, Microsoft has</w:t>
      </w:r>
      <w:r w:rsidRPr="00514C86">
        <w:rPr>
          <w:rFonts w:ascii="Segoe UI" w:hAnsi="Segoe UI" w:cs="Segoe UI"/>
          <w:color w:val="666666"/>
          <w:sz w:val="20"/>
          <w:szCs w:val="20"/>
        </w:rPr>
        <w:t xml:space="preserve"> provided certain Non-GAAP financial information to aid investors in better understanding the company’s performance. Presenting these measures without the impact of these items gives additional insight into operational performance and helps clarify trends affecting the company’s business. For comparability of reporting, management considers this information in conjunction with GAAP amounts in evaluating business performance. These Non-GAAP financial measures should not be considered as a substitute for, or superior to, the measures of financial performance prepared in accordance with GAAP.</w:t>
      </w:r>
    </w:p>
    <w:p w14:paraId="73D6399C" w14:textId="77777777" w:rsidR="009F6692" w:rsidRDefault="009F6692" w:rsidP="009F6692">
      <w:pPr>
        <w:keepNext/>
        <w:spacing w:before="270" w:after="270" w:line="240" w:lineRule="auto"/>
        <w:rPr>
          <w:rFonts w:ascii="Segoe UI" w:eastAsia="Times New Roman" w:hAnsi="Segoe UI" w:cs="Segoe UI"/>
          <w:b/>
          <w:bCs/>
          <w:color w:val="666666"/>
          <w:sz w:val="20"/>
          <w:szCs w:val="20"/>
        </w:rPr>
      </w:pPr>
      <w:r w:rsidRPr="00514C86">
        <w:rPr>
          <w:rFonts w:ascii="Segoe UI" w:eastAsia="Times New Roman" w:hAnsi="Segoe UI" w:cs="Segoe UI"/>
          <w:b/>
          <w:bCs/>
          <w:color w:val="666666"/>
          <w:sz w:val="20"/>
          <w:szCs w:val="20"/>
        </w:rPr>
        <w:t>Non-GAAP Definitions</w:t>
      </w:r>
    </w:p>
    <w:p w14:paraId="7C6D047D" w14:textId="499C739C" w:rsidR="000A3796" w:rsidRDefault="000A3796" w:rsidP="009F6692">
      <w:pPr>
        <w:spacing w:after="0" w:line="280" w:lineRule="exact"/>
        <w:rPr>
          <w:rFonts w:ascii="Segoe UI" w:hAnsi="Segoe UI" w:cs="Segoe UI"/>
          <w:color w:val="666666"/>
          <w:sz w:val="20"/>
          <w:szCs w:val="20"/>
        </w:rPr>
      </w:pPr>
      <w:r>
        <w:rPr>
          <w:rFonts w:ascii="Segoe UI" w:hAnsi="Segoe UI" w:cs="Segoe UI"/>
          <w:color w:val="666666"/>
          <w:sz w:val="20"/>
          <w:szCs w:val="20"/>
        </w:rPr>
        <w:t>During the fourth quarter of fiscal year 2015, i</w:t>
      </w:r>
      <w:r w:rsidR="009F6692">
        <w:rPr>
          <w:rFonts w:ascii="Segoe UI" w:hAnsi="Segoe UI" w:cs="Segoe UI"/>
          <w:color w:val="666666"/>
          <w:sz w:val="20"/>
          <w:szCs w:val="20"/>
        </w:rPr>
        <w:t>mpairment, integration</w:t>
      </w:r>
      <w:r w:rsidR="00146582">
        <w:rPr>
          <w:rFonts w:ascii="Segoe UI" w:hAnsi="Segoe UI" w:cs="Segoe UI"/>
          <w:color w:val="666666"/>
          <w:sz w:val="20"/>
          <w:szCs w:val="20"/>
        </w:rPr>
        <w:t>,</w:t>
      </w:r>
      <w:r w:rsidR="009F6692">
        <w:rPr>
          <w:rFonts w:ascii="Segoe UI" w:hAnsi="Segoe UI" w:cs="Segoe UI"/>
          <w:color w:val="666666"/>
          <w:sz w:val="20"/>
          <w:szCs w:val="20"/>
        </w:rPr>
        <w:t xml:space="preserve"> and restructuring </w:t>
      </w:r>
      <w:r w:rsidR="002D5198">
        <w:rPr>
          <w:rFonts w:ascii="Segoe UI" w:hAnsi="Segoe UI" w:cs="Segoe UI"/>
          <w:color w:val="666666"/>
          <w:sz w:val="20"/>
          <w:szCs w:val="20"/>
        </w:rPr>
        <w:t xml:space="preserve">charges </w:t>
      </w:r>
      <w:r w:rsidR="009F6692">
        <w:rPr>
          <w:rFonts w:ascii="Segoe UI" w:hAnsi="Segoe UI" w:cs="Segoe UI"/>
          <w:color w:val="666666"/>
          <w:sz w:val="20"/>
          <w:szCs w:val="20"/>
        </w:rPr>
        <w:t>were $8.</w:t>
      </w:r>
      <w:r w:rsidR="00BB2071">
        <w:rPr>
          <w:rFonts w:ascii="Segoe UI" w:hAnsi="Segoe UI" w:cs="Segoe UI"/>
          <w:color w:val="666666"/>
          <w:sz w:val="20"/>
          <w:szCs w:val="20"/>
        </w:rPr>
        <w:t xml:space="preserve">4 </w:t>
      </w:r>
      <w:r w:rsidR="009F6692">
        <w:rPr>
          <w:rFonts w:ascii="Segoe UI" w:hAnsi="Segoe UI" w:cs="Segoe UI"/>
          <w:color w:val="666666"/>
          <w:sz w:val="20"/>
          <w:szCs w:val="20"/>
        </w:rPr>
        <w:t>billion.  Microsoft recorded $7.5 billion of goodwill and asset impairment charges related to Phone Hardware, and $</w:t>
      </w:r>
      <w:r w:rsidR="00F01152">
        <w:rPr>
          <w:rFonts w:ascii="Segoe UI" w:hAnsi="Segoe UI" w:cs="Segoe UI"/>
          <w:color w:val="666666"/>
          <w:sz w:val="20"/>
          <w:szCs w:val="20"/>
        </w:rPr>
        <w:t xml:space="preserve">780 </w:t>
      </w:r>
      <w:r w:rsidR="009F6692">
        <w:rPr>
          <w:rFonts w:ascii="Segoe UI" w:hAnsi="Segoe UI" w:cs="Segoe UI"/>
          <w:color w:val="666666"/>
          <w:sz w:val="20"/>
          <w:szCs w:val="20"/>
        </w:rPr>
        <w:t xml:space="preserve">million </w:t>
      </w:r>
      <w:r w:rsidR="00F01152">
        <w:rPr>
          <w:rFonts w:ascii="Segoe UI" w:hAnsi="Segoe UI" w:cs="Segoe UI"/>
          <w:color w:val="666666"/>
          <w:sz w:val="20"/>
          <w:szCs w:val="20"/>
        </w:rPr>
        <w:t>of</w:t>
      </w:r>
      <w:r w:rsidR="009F6692">
        <w:rPr>
          <w:rFonts w:ascii="Segoe UI" w:hAnsi="Segoe UI" w:cs="Segoe UI"/>
          <w:color w:val="666666"/>
          <w:sz w:val="20"/>
          <w:szCs w:val="20"/>
        </w:rPr>
        <w:t xml:space="preserve"> restructuring expenses, primarily costs associated with the restructuring announced </w:t>
      </w:r>
      <w:r w:rsidR="002D5198">
        <w:rPr>
          <w:rFonts w:ascii="Segoe UI" w:hAnsi="Segoe UI" w:cs="Segoe UI"/>
          <w:color w:val="666666"/>
          <w:sz w:val="20"/>
          <w:szCs w:val="20"/>
        </w:rPr>
        <w:t xml:space="preserve">on </w:t>
      </w:r>
      <w:r w:rsidR="009F6692">
        <w:rPr>
          <w:rFonts w:ascii="Segoe UI" w:hAnsi="Segoe UI" w:cs="Segoe UI"/>
          <w:color w:val="666666"/>
          <w:sz w:val="20"/>
          <w:szCs w:val="20"/>
        </w:rPr>
        <w:t xml:space="preserve">July </w:t>
      </w:r>
      <w:r w:rsidR="002D5198">
        <w:rPr>
          <w:rFonts w:ascii="Segoe UI" w:hAnsi="Segoe UI" w:cs="Segoe UI"/>
          <w:color w:val="666666"/>
          <w:sz w:val="20"/>
          <w:szCs w:val="20"/>
        </w:rPr>
        <w:t>8,</w:t>
      </w:r>
      <w:r w:rsidR="009F6692">
        <w:rPr>
          <w:rFonts w:ascii="Segoe UI" w:hAnsi="Segoe UI" w:cs="Segoe UI"/>
          <w:color w:val="666666"/>
          <w:sz w:val="20"/>
          <w:szCs w:val="20"/>
        </w:rPr>
        <w:t xml:space="preserve"> 2015.  </w:t>
      </w:r>
      <w:r>
        <w:rPr>
          <w:rFonts w:ascii="Segoe UI" w:hAnsi="Segoe UI" w:cs="Segoe UI"/>
          <w:color w:val="666666"/>
          <w:sz w:val="20"/>
          <w:szCs w:val="20"/>
        </w:rPr>
        <w:t xml:space="preserve">There was also a charge of $160 million related to the previously announced integration and restructuring plan. </w:t>
      </w:r>
    </w:p>
    <w:p w14:paraId="7D52221F" w14:textId="77777777" w:rsidR="00FB0BED" w:rsidRDefault="00FB0BED" w:rsidP="009F6692">
      <w:pPr>
        <w:spacing w:after="0" w:line="280" w:lineRule="exact"/>
        <w:rPr>
          <w:rFonts w:ascii="Segoe UI" w:hAnsi="Segoe UI" w:cs="Segoe UI"/>
          <w:color w:val="666666"/>
          <w:sz w:val="20"/>
          <w:szCs w:val="20"/>
        </w:rPr>
      </w:pPr>
    </w:p>
    <w:p w14:paraId="52F4030F" w14:textId="72F2D77E" w:rsidR="00A629D8" w:rsidRDefault="00A629D8" w:rsidP="009F6692">
      <w:pPr>
        <w:spacing w:after="0" w:line="280" w:lineRule="exact"/>
        <w:rPr>
          <w:rFonts w:ascii="Segoe UI" w:hAnsi="Segoe UI" w:cs="Segoe UI"/>
          <w:color w:val="666666"/>
          <w:sz w:val="20"/>
          <w:szCs w:val="20"/>
        </w:rPr>
      </w:pPr>
      <w:r>
        <w:rPr>
          <w:rFonts w:ascii="Segoe UI" w:hAnsi="Segoe UI" w:cs="Segoe UI"/>
          <w:color w:val="666666"/>
          <w:sz w:val="20"/>
          <w:szCs w:val="20"/>
        </w:rPr>
        <w:t>For fiscal year 2015, impairment, integration</w:t>
      </w:r>
      <w:r w:rsidR="00146582">
        <w:rPr>
          <w:rFonts w:ascii="Segoe UI" w:hAnsi="Segoe UI" w:cs="Segoe UI"/>
          <w:color w:val="666666"/>
          <w:sz w:val="20"/>
          <w:szCs w:val="20"/>
        </w:rPr>
        <w:t>,</w:t>
      </w:r>
      <w:r>
        <w:rPr>
          <w:rFonts w:ascii="Segoe UI" w:hAnsi="Segoe UI" w:cs="Segoe UI"/>
          <w:color w:val="666666"/>
          <w:sz w:val="20"/>
          <w:szCs w:val="20"/>
        </w:rPr>
        <w:t xml:space="preserve"> and restructuring </w:t>
      </w:r>
      <w:r w:rsidR="002D5198">
        <w:rPr>
          <w:rFonts w:ascii="Segoe UI" w:hAnsi="Segoe UI" w:cs="Segoe UI"/>
          <w:color w:val="666666"/>
          <w:sz w:val="20"/>
          <w:szCs w:val="20"/>
        </w:rPr>
        <w:t xml:space="preserve">charges </w:t>
      </w:r>
      <w:r>
        <w:rPr>
          <w:rFonts w:ascii="Segoe UI" w:hAnsi="Segoe UI" w:cs="Segoe UI"/>
          <w:color w:val="666666"/>
          <w:sz w:val="20"/>
          <w:szCs w:val="20"/>
        </w:rPr>
        <w:t xml:space="preserve">were $10.0 billion, compared with $127 million in the prior year.  This includes $7.5 billion of goodwill and asset impairment charges related to Phone Hardware, and $780 million of restructuring expenses, primarily costs associated with the restructuring announced </w:t>
      </w:r>
      <w:r w:rsidR="00617306">
        <w:rPr>
          <w:rFonts w:ascii="Segoe UI" w:hAnsi="Segoe UI" w:cs="Segoe UI"/>
          <w:color w:val="666666"/>
          <w:sz w:val="20"/>
          <w:szCs w:val="20"/>
        </w:rPr>
        <w:t xml:space="preserve">on </w:t>
      </w:r>
      <w:r>
        <w:rPr>
          <w:rFonts w:ascii="Segoe UI" w:hAnsi="Segoe UI" w:cs="Segoe UI"/>
          <w:color w:val="666666"/>
          <w:sz w:val="20"/>
          <w:szCs w:val="20"/>
        </w:rPr>
        <w:t>July</w:t>
      </w:r>
      <w:r w:rsidR="00617306">
        <w:rPr>
          <w:rFonts w:ascii="Segoe UI" w:hAnsi="Segoe UI" w:cs="Segoe UI"/>
          <w:color w:val="666666"/>
          <w:sz w:val="20"/>
          <w:szCs w:val="20"/>
        </w:rPr>
        <w:t xml:space="preserve"> 8,</w:t>
      </w:r>
      <w:r>
        <w:rPr>
          <w:rFonts w:ascii="Segoe UI" w:hAnsi="Segoe UI" w:cs="Segoe UI"/>
          <w:color w:val="666666"/>
          <w:sz w:val="20"/>
          <w:szCs w:val="20"/>
        </w:rPr>
        <w:t xml:space="preserve"> 2015.  There was also a charge of approximately $1.</w:t>
      </w:r>
      <w:r w:rsidR="009856E6">
        <w:rPr>
          <w:rFonts w:ascii="Segoe UI" w:hAnsi="Segoe UI" w:cs="Segoe UI"/>
          <w:color w:val="666666"/>
          <w:sz w:val="20"/>
          <w:szCs w:val="20"/>
        </w:rPr>
        <w:t xml:space="preserve">7 </w:t>
      </w:r>
      <w:r>
        <w:rPr>
          <w:rFonts w:ascii="Segoe UI" w:hAnsi="Segoe UI" w:cs="Segoe UI"/>
          <w:color w:val="666666"/>
          <w:sz w:val="20"/>
          <w:szCs w:val="20"/>
        </w:rPr>
        <w:t xml:space="preserve">billion related to </w:t>
      </w:r>
      <w:r w:rsidR="00962DF4">
        <w:rPr>
          <w:rFonts w:ascii="Segoe UI" w:hAnsi="Segoe UI" w:cs="Segoe UI"/>
          <w:color w:val="666666"/>
          <w:sz w:val="20"/>
          <w:szCs w:val="20"/>
        </w:rPr>
        <w:t xml:space="preserve">the </w:t>
      </w:r>
      <w:r>
        <w:rPr>
          <w:rFonts w:ascii="Segoe UI" w:hAnsi="Segoe UI" w:cs="Segoe UI"/>
          <w:color w:val="666666"/>
          <w:sz w:val="20"/>
          <w:szCs w:val="20"/>
        </w:rPr>
        <w:t>previously announced integration and restructuring plan.</w:t>
      </w:r>
    </w:p>
    <w:p w14:paraId="762643C4" w14:textId="77777777" w:rsidR="00A629D8" w:rsidRDefault="00A629D8" w:rsidP="009F6692">
      <w:pPr>
        <w:spacing w:after="0" w:line="280" w:lineRule="exact"/>
        <w:rPr>
          <w:rFonts w:ascii="Segoe UI" w:hAnsi="Segoe UI" w:cs="Segoe UI"/>
          <w:color w:val="666666"/>
          <w:sz w:val="20"/>
          <w:szCs w:val="20"/>
        </w:rPr>
      </w:pPr>
    </w:p>
    <w:p w14:paraId="3502B6EE" w14:textId="0F40FBD9" w:rsidR="009F6692" w:rsidRPr="00514C86" w:rsidRDefault="009F6692" w:rsidP="009F6692">
      <w:pPr>
        <w:spacing w:after="0" w:line="280" w:lineRule="exact"/>
        <w:rPr>
          <w:rFonts w:ascii="Segoe UI" w:hAnsi="Segoe UI" w:cs="Segoe UI"/>
          <w:color w:val="666666"/>
          <w:sz w:val="20"/>
          <w:szCs w:val="20"/>
        </w:rPr>
      </w:pPr>
      <w:r>
        <w:rPr>
          <w:rFonts w:ascii="Segoe UI" w:hAnsi="Segoe UI" w:cs="Segoe UI"/>
          <w:color w:val="666666"/>
          <w:sz w:val="20"/>
          <w:szCs w:val="20"/>
        </w:rPr>
        <w:t>Prior year e</w:t>
      </w:r>
      <w:r w:rsidRPr="00514C86">
        <w:rPr>
          <w:rFonts w:ascii="Segoe UI" w:hAnsi="Segoe UI" w:cs="Segoe UI"/>
          <w:color w:val="666666"/>
          <w:sz w:val="20"/>
          <w:szCs w:val="20"/>
        </w:rPr>
        <w:t xml:space="preserve">xpenses of $127 million in the fourth quarter of fiscal year 2014 </w:t>
      </w:r>
      <w:r>
        <w:rPr>
          <w:rFonts w:ascii="Segoe UI" w:hAnsi="Segoe UI" w:cs="Segoe UI"/>
          <w:color w:val="666666"/>
          <w:sz w:val="20"/>
          <w:szCs w:val="20"/>
        </w:rPr>
        <w:t xml:space="preserve">were </w:t>
      </w:r>
      <w:r w:rsidRPr="00514C86">
        <w:rPr>
          <w:rFonts w:ascii="Segoe UI" w:hAnsi="Segoe UI" w:cs="Segoe UI"/>
          <w:color w:val="666666"/>
          <w:sz w:val="20"/>
          <w:szCs w:val="20"/>
        </w:rPr>
        <w:t>associated with the acquisition and integration of NDS. These expenses consist</w:t>
      </w:r>
      <w:r>
        <w:rPr>
          <w:rFonts w:ascii="Segoe UI" w:hAnsi="Segoe UI" w:cs="Segoe UI"/>
          <w:color w:val="666666"/>
          <w:sz w:val="20"/>
          <w:szCs w:val="20"/>
        </w:rPr>
        <w:t>ed</w:t>
      </w:r>
      <w:r w:rsidRPr="00514C86">
        <w:rPr>
          <w:rFonts w:ascii="Segoe UI" w:hAnsi="Segoe UI" w:cs="Segoe UI"/>
          <w:color w:val="666666"/>
          <w:sz w:val="20"/>
          <w:szCs w:val="20"/>
        </w:rPr>
        <w:t xml:space="preserve"> of transaction fees and direct acquisition costs, including legal, finance, consulting and other professional fees. These costs also include</w:t>
      </w:r>
      <w:r>
        <w:rPr>
          <w:rFonts w:ascii="Segoe UI" w:hAnsi="Segoe UI" w:cs="Segoe UI"/>
          <w:color w:val="666666"/>
          <w:sz w:val="20"/>
          <w:szCs w:val="20"/>
        </w:rPr>
        <w:t>d</w:t>
      </w:r>
      <w:r w:rsidRPr="00514C86">
        <w:rPr>
          <w:rFonts w:ascii="Segoe UI" w:hAnsi="Segoe UI" w:cs="Segoe UI"/>
          <w:color w:val="666666"/>
          <w:sz w:val="20"/>
          <w:szCs w:val="20"/>
        </w:rPr>
        <w:t xml:space="preserve"> employee compensation and termination costs associated with certain reorganization activities.</w:t>
      </w:r>
    </w:p>
    <w:p w14:paraId="4430A4B3" w14:textId="77777777" w:rsidR="00F01152" w:rsidRDefault="00F01152" w:rsidP="009F6692">
      <w:pPr>
        <w:spacing w:after="0" w:line="280" w:lineRule="exact"/>
        <w:rPr>
          <w:rFonts w:ascii="Segoe UI" w:hAnsi="Segoe UI" w:cs="Segoe UI"/>
          <w:b/>
          <w:bCs/>
          <w:color w:val="666666"/>
          <w:sz w:val="20"/>
          <w:szCs w:val="20"/>
        </w:rPr>
      </w:pPr>
    </w:p>
    <w:p w14:paraId="192B3182" w14:textId="77777777" w:rsidR="000810CB" w:rsidRPr="009F6692" w:rsidRDefault="000810CB" w:rsidP="00B25AB2">
      <w:pPr>
        <w:keepNext/>
        <w:spacing w:before="270" w:after="270" w:line="240" w:lineRule="auto"/>
        <w:rPr>
          <w:rFonts w:ascii="Segoe UI" w:eastAsia="Times New Roman" w:hAnsi="Segoe UI" w:cs="Segoe UI"/>
          <w:b/>
          <w:bCs/>
          <w:color w:val="666666"/>
          <w:sz w:val="20"/>
          <w:szCs w:val="20"/>
        </w:rPr>
      </w:pPr>
      <w:r w:rsidRPr="009F6692">
        <w:rPr>
          <w:rFonts w:ascii="Segoe UI" w:eastAsia="Times New Roman" w:hAnsi="Segoe UI" w:cs="Segoe UI"/>
          <w:b/>
          <w:bCs/>
          <w:color w:val="666666"/>
          <w:sz w:val="20"/>
          <w:szCs w:val="20"/>
        </w:rPr>
        <w:t>Constant Currency</w:t>
      </w:r>
    </w:p>
    <w:p w14:paraId="291710D5" w14:textId="77777777" w:rsidR="000810CB" w:rsidRPr="00EA786C" w:rsidRDefault="009F6692" w:rsidP="00EA786C">
      <w:pPr>
        <w:spacing w:line="280" w:lineRule="exact"/>
        <w:rPr>
          <w:rFonts w:ascii="Segoe UI" w:hAnsi="Segoe UI" w:cs="Segoe UI"/>
          <w:color w:val="666666"/>
          <w:sz w:val="20"/>
          <w:szCs w:val="20"/>
        </w:rPr>
      </w:pPr>
      <w:r>
        <w:rPr>
          <w:rFonts w:ascii="Segoe UI" w:hAnsi="Segoe UI" w:cs="Segoe UI"/>
          <w:color w:val="666666"/>
          <w:sz w:val="20"/>
          <w:szCs w:val="20"/>
        </w:rPr>
        <w:t>Microsoft</w:t>
      </w:r>
      <w:r w:rsidR="000810CB" w:rsidRPr="00EA786C">
        <w:rPr>
          <w:rFonts w:ascii="Segoe UI" w:hAnsi="Segoe UI" w:cs="Segoe UI"/>
          <w:color w:val="666666"/>
          <w:sz w:val="20"/>
          <w:szCs w:val="20"/>
        </w:rPr>
        <w:t xml:space="preserve"> present</w:t>
      </w:r>
      <w:r>
        <w:rPr>
          <w:rFonts w:ascii="Segoe UI" w:hAnsi="Segoe UI" w:cs="Segoe UI"/>
          <w:color w:val="666666"/>
          <w:sz w:val="20"/>
          <w:szCs w:val="20"/>
        </w:rPr>
        <w:t>s</w:t>
      </w:r>
      <w:r w:rsidR="000810CB" w:rsidRPr="00EA786C">
        <w:rPr>
          <w:rFonts w:ascii="Segoe UI" w:hAnsi="Segoe UI" w:cs="Segoe UI"/>
          <w:color w:val="666666"/>
          <w:sz w:val="20"/>
          <w:szCs w:val="20"/>
        </w:rPr>
        <w:t xml:space="preserve">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w:t>
      </w:r>
      <w:r w:rsidR="00C05196" w:rsidRPr="00EA786C">
        <w:rPr>
          <w:rFonts w:ascii="Segoe UI" w:hAnsi="Segoe UI" w:cs="Segoe UI"/>
          <w:color w:val="666666"/>
          <w:sz w:val="20"/>
          <w:szCs w:val="20"/>
        </w:rPr>
        <w:t xml:space="preserve">using the average exchange rates from the comparative period </w:t>
      </w:r>
      <w:r w:rsidR="000810CB" w:rsidRPr="00EA786C">
        <w:rPr>
          <w:rFonts w:ascii="Segoe UI" w:hAnsi="Segoe UI" w:cs="Segoe UI"/>
          <w:color w:val="666666"/>
          <w:sz w:val="20"/>
          <w:szCs w:val="20"/>
        </w:rPr>
        <w:t>rather than the actual exchange rates in effect during the respective periods.</w:t>
      </w:r>
      <w:r w:rsidR="00E331AF">
        <w:rPr>
          <w:rFonts w:ascii="Segoe UI" w:hAnsi="Segoe UI" w:cs="Segoe UI"/>
          <w:color w:val="666666"/>
          <w:sz w:val="20"/>
          <w:szCs w:val="20"/>
        </w:rPr>
        <w:t xml:space="preserve">  </w:t>
      </w:r>
      <w:r w:rsidR="00E331AF" w:rsidRPr="00245F37">
        <w:rPr>
          <w:rFonts w:ascii="Segoe UI" w:hAnsi="Segoe UI" w:cs="Segoe UI"/>
          <w:color w:val="666666"/>
          <w:sz w:val="20"/>
          <w:szCs w:val="20"/>
        </w:rPr>
        <w:t>The non-GAAP financial measures presented below should not be considered as a substitute for, or superior to, the measures of financial performance prepar</w:t>
      </w:r>
      <w:r w:rsidR="007E251B" w:rsidRPr="00245F37">
        <w:rPr>
          <w:rFonts w:ascii="Segoe UI" w:hAnsi="Segoe UI" w:cs="Segoe UI"/>
          <w:color w:val="666666"/>
          <w:sz w:val="20"/>
          <w:szCs w:val="20"/>
        </w:rPr>
        <w:t>e</w:t>
      </w:r>
      <w:r w:rsidR="00E331AF" w:rsidRPr="00245F37">
        <w:rPr>
          <w:rFonts w:ascii="Segoe UI" w:hAnsi="Segoe UI" w:cs="Segoe UI"/>
          <w:color w:val="666666"/>
          <w:sz w:val="20"/>
          <w:szCs w:val="20"/>
        </w:rPr>
        <w:t>d in accordance with GAAP.</w:t>
      </w:r>
      <w:r w:rsidR="000810CB" w:rsidRPr="00245F37">
        <w:rPr>
          <w:rFonts w:ascii="Segoe UI" w:hAnsi="Segoe UI" w:cs="Segoe UI"/>
          <w:color w:val="666666"/>
          <w:sz w:val="20"/>
          <w:szCs w:val="20"/>
        </w:rPr>
        <w:t xml:space="preserve"> </w:t>
      </w:r>
      <w:r w:rsidR="00CF6711" w:rsidRPr="00245F37">
        <w:rPr>
          <w:rFonts w:ascii="Segoe UI" w:hAnsi="Segoe UI" w:cs="Segoe UI"/>
          <w:color w:val="666666"/>
          <w:sz w:val="20"/>
          <w:szCs w:val="20"/>
        </w:rPr>
        <w:t>All growth comparisons relate to the corresponding period in the last fiscal year.</w:t>
      </w:r>
    </w:p>
    <w:p w14:paraId="74ED9597" w14:textId="77777777" w:rsidR="0041262B" w:rsidRPr="006F2DF8" w:rsidRDefault="0041262B" w:rsidP="00245F37">
      <w:pPr>
        <w:keepNext/>
        <w:spacing w:before="270" w:after="270" w:line="240" w:lineRule="auto"/>
        <w:rPr>
          <w:rFonts w:ascii="Segoe UI" w:hAnsi="Segoe UI" w:cs="Segoe UI"/>
          <w:b/>
          <w:color w:val="666666"/>
          <w:sz w:val="20"/>
          <w:szCs w:val="20"/>
        </w:rPr>
      </w:pPr>
      <w:r>
        <w:rPr>
          <w:rFonts w:ascii="Segoe UI" w:hAnsi="Segoe UI" w:cs="Segoe UI"/>
          <w:color w:val="666666"/>
          <w:sz w:val="20"/>
          <w:szCs w:val="20"/>
        </w:rPr>
        <w:tab/>
      </w:r>
      <w:r w:rsidR="0031761F" w:rsidRPr="009F6692">
        <w:rPr>
          <w:rFonts w:ascii="Segoe UI" w:eastAsia="Times New Roman" w:hAnsi="Segoe UI" w:cs="Segoe UI"/>
          <w:b/>
          <w:bCs/>
          <w:color w:val="666666"/>
          <w:sz w:val="20"/>
          <w:szCs w:val="20"/>
        </w:rPr>
        <w:t xml:space="preserve">Financial </w:t>
      </w:r>
      <w:r w:rsidR="00241390" w:rsidRPr="009F6692">
        <w:rPr>
          <w:rFonts w:ascii="Segoe UI" w:eastAsia="Times New Roman" w:hAnsi="Segoe UI" w:cs="Segoe UI"/>
          <w:b/>
          <w:bCs/>
          <w:color w:val="666666"/>
          <w:sz w:val="20"/>
          <w:szCs w:val="20"/>
        </w:rPr>
        <w:t>Performance</w:t>
      </w:r>
      <w:r w:rsidR="00166382" w:rsidRPr="009F6692">
        <w:rPr>
          <w:rFonts w:ascii="Segoe UI" w:eastAsia="Times New Roman" w:hAnsi="Segoe UI" w:cs="Segoe UI"/>
          <w:b/>
          <w:bCs/>
          <w:color w:val="666666"/>
          <w:sz w:val="20"/>
          <w:szCs w:val="20"/>
        </w:rPr>
        <w:t xml:space="preserve"> Constant Currency </w:t>
      </w:r>
      <w:r w:rsidR="0052771E" w:rsidRPr="009F6692">
        <w:rPr>
          <w:rFonts w:ascii="Segoe UI" w:eastAsia="Times New Roman" w:hAnsi="Segoe UI" w:cs="Segoe UI"/>
          <w:b/>
          <w:bCs/>
          <w:color w:val="666666"/>
          <w:sz w:val="20"/>
          <w:szCs w:val="20"/>
        </w:rPr>
        <w:t>Reconciliation</w:t>
      </w:r>
    </w:p>
    <w:tbl>
      <w:tblPr>
        <w:tblW w:w="5000" w:type="pct"/>
        <w:tblLayout w:type="fixed"/>
        <w:tblCellMar>
          <w:left w:w="0" w:type="dxa"/>
          <w:right w:w="0" w:type="dxa"/>
        </w:tblCellMar>
        <w:tblLook w:val="04A0" w:firstRow="1" w:lastRow="0" w:firstColumn="1" w:lastColumn="0" w:noHBand="0" w:noVBand="1"/>
      </w:tblPr>
      <w:tblGrid>
        <w:gridCol w:w="1534"/>
        <w:gridCol w:w="1023"/>
        <w:gridCol w:w="208"/>
        <w:gridCol w:w="808"/>
        <w:gridCol w:w="1016"/>
        <w:gridCol w:w="837"/>
        <w:gridCol w:w="857"/>
        <w:gridCol w:w="727"/>
        <w:gridCol w:w="671"/>
        <w:gridCol w:w="837"/>
        <w:gridCol w:w="725"/>
        <w:gridCol w:w="117"/>
      </w:tblGrid>
      <w:tr w:rsidR="00BB2071" w:rsidRPr="00B6572E" w14:paraId="283FD896" w14:textId="77777777" w:rsidTr="003D3D46">
        <w:trPr>
          <w:gridAfter w:val="1"/>
          <w:wAfter w:w="124" w:type="dxa"/>
          <w:trHeight w:val="340"/>
        </w:trPr>
        <w:tc>
          <w:tcPr>
            <w:tcW w:w="2939" w:type="dxa"/>
            <w:gridSpan w:val="3"/>
            <w:tcBorders>
              <w:top w:val="nil"/>
              <w:left w:val="nil"/>
              <w:bottom w:val="single" w:sz="8" w:space="0" w:color="auto"/>
              <w:right w:val="nil"/>
            </w:tcBorders>
            <w:vAlign w:val="center"/>
          </w:tcPr>
          <w:p w14:paraId="5990B65E" w14:textId="77777777" w:rsidR="00BB2071" w:rsidRPr="00A061D5" w:rsidRDefault="00BB2071" w:rsidP="004F610E">
            <w:pPr>
              <w:spacing w:after="0" w:line="240" w:lineRule="auto"/>
              <w:rPr>
                <w:rFonts w:ascii="Segoe UI" w:eastAsia="Times New Roman" w:hAnsi="Segoe UI" w:cs="Segoe UI"/>
                <w:color w:val="666666"/>
                <w:sz w:val="16"/>
                <w:szCs w:val="16"/>
              </w:rPr>
            </w:pPr>
          </w:p>
        </w:tc>
        <w:tc>
          <w:tcPr>
            <w:tcW w:w="6883" w:type="dxa"/>
            <w:gridSpan w:val="8"/>
            <w:tcBorders>
              <w:top w:val="nil"/>
              <w:left w:val="nil"/>
              <w:bottom w:val="single" w:sz="8" w:space="0" w:color="auto"/>
              <w:right w:val="nil"/>
            </w:tcBorders>
          </w:tcPr>
          <w:p w14:paraId="1FB11F60" w14:textId="77777777" w:rsidR="00BB2071" w:rsidRPr="00A061D5" w:rsidRDefault="00BB2071" w:rsidP="003F54C5">
            <w:pPr>
              <w:spacing w:after="0" w:line="240" w:lineRule="auto"/>
              <w:jc w:val="center"/>
              <w:rPr>
                <w:rFonts w:ascii="Segoe UI" w:eastAsia="Times New Roman" w:hAnsi="Segoe UI" w:cs="Segoe UI"/>
                <w:b/>
                <w:bCs/>
                <w:color w:val="666666"/>
                <w:sz w:val="16"/>
                <w:szCs w:val="16"/>
              </w:rPr>
            </w:pPr>
          </w:p>
          <w:p w14:paraId="690D5694" w14:textId="77777777" w:rsidR="00BB2071" w:rsidRPr="00A061D5" w:rsidRDefault="00BB2071" w:rsidP="003F54C5">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 xml:space="preserve">Three Months Ended June 30, </w:t>
            </w:r>
          </w:p>
          <w:p w14:paraId="3FBF4827" w14:textId="77777777" w:rsidR="00BB2071" w:rsidRPr="00A061D5" w:rsidRDefault="00BB2071" w:rsidP="00BB2071">
            <w:pPr>
              <w:spacing w:after="0" w:line="240" w:lineRule="auto"/>
              <w:jc w:val="center"/>
              <w:rPr>
                <w:rFonts w:ascii="Segoe UI" w:eastAsia="Times New Roman" w:hAnsi="Segoe UI" w:cs="Segoe UI"/>
                <w:b/>
                <w:bCs/>
                <w:color w:val="666666"/>
                <w:sz w:val="16"/>
                <w:szCs w:val="16"/>
              </w:rPr>
            </w:pPr>
          </w:p>
        </w:tc>
      </w:tr>
      <w:tr w:rsidR="00A061D5" w:rsidRPr="00A061D5" w14:paraId="0D35929D" w14:textId="77777777" w:rsidTr="003D3D46">
        <w:trPr>
          <w:trHeight w:val="468"/>
        </w:trPr>
        <w:tc>
          <w:tcPr>
            <w:tcW w:w="1631" w:type="dxa"/>
            <w:tcBorders>
              <w:top w:val="nil"/>
              <w:left w:val="nil"/>
              <w:bottom w:val="single" w:sz="8" w:space="0" w:color="auto"/>
              <w:right w:val="nil"/>
            </w:tcBorders>
            <w:vAlign w:val="bottom"/>
            <w:hideMark/>
          </w:tcPr>
          <w:p w14:paraId="3464B2DB" w14:textId="77777777" w:rsidR="00BB2071" w:rsidRPr="00A061D5" w:rsidRDefault="00BB2071" w:rsidP="00B422BA">
            <w:pPr>
              <w:spacing w:after="0" w:line="240" w:lineRule="auto"/>
              <w:rPr>
                <w:rFonts w:ascii="Segoe UI" w:eastAsia="Times New Roman" w:hAnsi="Segoe UI" w:cs="Segoe UI"/>
                <w:color w:val="666666"/>
                <w:sz w:val="16"/>
                <w:szCs w:val="16"/>
              </w:rPr>
            </w:pPr>
            <w:r w:rsidRPr="00A061D5">
              <w:rPr>
                <w:rFonts w:ascii="Segoe UI" w:eastAsia="Times New Roman" w:hAnsi="Segoe UI" w:cs="Segoe UI"/>
                <w:color w:val="666666"/>
                <w:sz w:val="16"/>
                <w:szCs w:val="16"/>
              </w:rPr>
              <w:t>($ in millions, except per share amounts)</w:t>
            </w:r>
          </w:p>
        </w:tc>
        <w:tc>
          <w:tcPr>
            <w:tcW w:w="1087" w:type="dxa"/>
            <w:tcBorders>
              <w:top w:val="nil"/>
              <w:left w:val="nil"/>
              <w:bottom w:val="single" w:sz="8" w:space="0" w:color="auto"/>
              <w:right w:val="nil"/>
            </w:tcBorders>
            <w:vAlign w:val="bottom"/>
          </w:tcPr>
          <w:p w14:paraId="162E5686" w14:textId="77777777" w:rsidR="00BB2071" w:rsidRPr="00A061D5" w:rsidRDefault="00BB2071" w:rsidP="00B422BA">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2014 As Reported (GAAP)</w:t>
            </w:r>
          </w:p>
        </w:tc>
        <w:tc>
          <w:tcPr>
            <w:tcW w:w="1080" w:type="dxa"/>
            <w:gridSpan w:val="2"/>
            <w:tcBorders>
              <w:top w:val="nil"/>
              <w:left w:val="nil"/>
              <w:bottom w:val="single" w:sz="8" w:space="0" w:color="auto"/>
              <w:right w:val="nil"/>
            </w:tcBorders>
            <w:vAlign w:val="bottom"/>
          </w:tcPr>
          <w:p w14:paraId="0ABA19CA" w14:textId="1DA65096" w:rsidR="00BB2071" w:rsidRPr="00A061D5" w:rsidRDefault="00BB2071" w:rsidP="004A6C6C">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2014 As Adjusted (Non-GAAP)</w:t>
            </w:r>
          </w:p>
        </w:tc>
        <w:tc>
          <w:tcPr>
            <w:tcW w:w="1080" w:type="dxa"/>
            <w:tcBorders>
              <w:top w:val="nil"/>
              <w:left w:val="nil"/>
              <w:bottom w:val="single" w:sz="8" w:space="0" w:color="auto"/>
              <w:right w:val="nil"/>
            </w:tcBorders>
            <w:vAlign w:val="bottom"/>
          </w:tcPr>
          <w:p w14:paraId="207C1C52" w14:textId="77777777" w:rsidR="00BB2071" w:rsidRPr="00A061D5" w:rsidRDefault="00BB2071" w:rsidP="00B422BA">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2015 As Reported (GAAP)</w:t>
            </w:r>
          </w:p>
        </w:tc>
        <w:tc>
          <w:tcPr>
            <w:tcW w:w="889" w:type="dxa"/>
            <w:tcBorders>
              <w:top w:val="nil"/>
              <w:left w:val="nil"/>
              <w:bottom w:val="single" w:sz="8" w:space="0" w:color="auto"/>
              <w:right w:val="nil"/>
            </w:tcBorders>
            <w:vAlign w:val="bottom"/>
          </w:tcPr>
          <w:p w14:paraId="545749A2" w14:textId="106E4384" w:rsidR="00BB2071" w:rsidRPr="00A061D5" w:rsidRDefault="00BB2071" w:rsidP="004A6C6C">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2015 As Adjusted (Non-GAAP)</w:t>
            </w:r>
          </w:p>
        </w:tc>
        <w:tc>
          <w:tcPr>
            <w:tcW w:w="911" w:type="dxa"/>
            <w:tcBorders>
              <w:top w:val="nil"/>
              <w:left w:val="nil"/>
              <w:bottom w:val="single" w:sz="8" w:space="0" w:color="auto"/>
              <w:right w:val="nil"/>
            </w:tcBorders>
            <w:vAlign w:val="bottom"/>
          </w:tcPr>
          <w:p w14:paraId="33B0AF82" w14:textId="77777777" w:rsidR="00BB2071" w:rsidRPr="00A061D5" w:rsidRDefault="00BB2071" w:rsidP="00B422BA">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Constant Currency Impact</w:t>
            </w:r>
          </w:p>
        </w:tc>
        <w:tc>
          <w:tcPr>
            <w:tcW w:w="772" w:type="dxa"/>
            <w:tcBorders>
              <w:top w:val="nil"/>
              <w:left w:val="nil"/>
              <w:bottom w:val="single" w:sz="8" w:space="0" w:color="auto"/>
              <w:right w:val="nil"/>
            </w:tcBorders>
            <w:vAlign w:val="bottom"/>
          </w:tcPr>
          <w:p w14:paraId="1C49D809" w14:textId="77777777" w:rsidR="00BB2071" w:rsidRPr="00A061D5" w:rsidRDefault="00BB2071" w:rsidP="00B422BA">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%Y/Y (GAAP)</w:t>
            </w:r>
          </w:p>
        </w:tc>
        <w:tc>
          <w:tcPr>
            <w:tcW w:w="713" w:type="dxa"/>
            <w:tcBorders>
              <w:top w:val="nil"/>
              <w:left w:val="nil"/>
              <w:bottom w:val="single" w:sz="8" w:space="0" w:color="auto"/>
              <w:right w:val="nil"/>
            </w:tcBorders>
            <w:vAlign w:val="bottom"/>
          </w:tcPr>
          <w:p w14:paraId="57F18186" w14:textId="7120DB31" w:rsidR="00BB2071" w:rsidRPr="00A061D5" w:rsidRDefault="00BB2071" w:rsidP="004A6C6C">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 Y/Y (Non-GAAP)</w:t>
            </w:r>
          </w:p>
        </w:tc>
        <w:tc>
          <w:tcPr>
            <w:tcW w:w="889" w:type="dxa"/>
            <w:tcBorders>
              <w:top w:val="nil"/>
              <w:left w:val="nil"/>
              <w:bottom w:val="single" w:sz="8" w:space="0" w:color="auto"/>
              <w:right w:val="nil"/>
            </w:tcBorders>
            <w:vAlign w:val="bottom"/>
          </w:tcPr>
          <w:p w14:paraId="6702CA9E" w14:textId="77777777" w:rsidR="00BB2071" w:rsidRPr="00A061D5" w:rsidRDefault="00BB2071" w:rsidP="00B422BA">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 Y/Y Constant Currency (GAAP)</w:t>
            </w:r>
          </w:p>
        </w:tc>
        <w:tc>
          <w:tcPr>
            <w:tcW w:w="894" w:type="dxa"/>
            <w:gridSpan w:val="2"/>
            <w:tcBorders>
              <w:top w:val="nil"/>
              <w:left w:val="nil"/>
              <w:bottom w:val="single" w:sz="8" w:space="0" w:color="auto"/>
              <w:right w:val="nil"/>
            </w:tcBorders>
            <w:vAlign w:val="bottom"/>
          </w:tcPr>
          <w:p w14:paraId="7124008A" w14:textId="1485E881" w:rsidR="00BB2071" w:rsidRPr="00A061D5" w:rsidRDefault="00BB2071" w:rsidP="004A6C6C">
            <w:pPr>
              <w:spacing w:after="0" w:line="240" w:lineRule="auto"/>
              <w:jc w:val="center"/>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 Y/Y Constant Currency (Non-GAAP)</w:t>
            </w:r>
          </w:p>
        </w:tc>
      </w:tr>
      <w:tr w:rsidR="00A061D5" w:rsidRPr="00A061D5" w14:paraId="329B1C9D" w14:textId="77777777" w:rsidTr="003D3D46">
        <w:trPr>
          <w:trHeight w:val="288"/>
        </w:trPr>
        <w:tc>
          <w:tcPr>
            <w:tcW w:w="1631" w:type="dxa"/>
            <w:tcBorders>
              <w:top w:val="nil"/>
              <w:left w:val="nil"/>
              <w:bottom w:val="single" w:sz="4" w:space="0" w:color="auto"/>
              <w:right w:val="nil"/>
            </w:tcBorders>
            <w:noWrap/>
            <w:vAlign w:val="center"/>
          </w:tcPr>
          <w:p w14:paraId="5B465AD7" w14:textId="77777777" w:rsidR="00BB2071" w:rsidRPr="00A061D5" w:rsidRDefault="00BB2071" w:rsidP="00B422BA">
            <w:pPr>
              <w:spacing w:after="0" w:line="240" w:lineRule="auto"/>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Revenue</w:t>
            </w:r>
          </w:p>
        </w:tc>
        <w:tc>
          <w:tcPr>
            <w:tcW w:w="1087" w:type="dxa"/>
            <w:tcBorders>
              <w:top w:val="nil"/>
              <w:left w:val="nil"/>
              <w:bottom w:val="single" w:sz="4" w:space="0" w:color="auto"/>
              <w:right w:val="nil"/>
            </w:tcBorders>
            <w:vAlign w:val="center"/>
          </w:tcPr>
          <w:p w14:paraId="3517C0B9" w14:textId="77777777" w:rsidR="00BB2071" w:rsidRPr="00A061D5" w:rsidRDefault="00BB2071" w:rsidP="003D3D46">
            <w:pPr>
              <w:spacing w:after="0" w:line="240" w:lineRule="auto"/>
              <w:jc w:val="right"/>
              <w:rPr>
                <w:rFonts w:ascii="Segoe UI" w:eastAsia="Times New Roman" w:hAnsi="Segoe UI" w:cs="Segoe UI"/>
                <w:b/>
                <w:bCs/>
                <w:color w:val="595959" w:themeColor="text1" w:themeTint="A6"/>
                <w:sz w:val="16"/>
                <w:szCs w:val="16"/>
              </w:rPr>
            </w:pPr>
            <w:r w:rsidRPr="00A061D5">
              <w:rPr>
                <w:rFonts w:ascii="Segoe UI" w:eastAsia="Times New Roman" w:hAnsi="Segoe UI" w:cs="Segoe UI"/>
                <w:b/>
                <w:bCs/>
                <w:color w:val="666666"/>
                <w:sz w:val="16"/>
                <w:szCs w:val="16"/>
              </w:rPr>
              <w:t>$23,382</w:t>
            </w:r>
          </w:p>
        </w:tc>
        <w:tc>
          <w:tcPr>
            <w:tcW w:w="1080" w:type="dxa"/>
            <w:gridSpan w:val="2"/>
            <w:tcBorders>
              <w:top w:val="nil"/>
              <w:left w:val="nil"/>
              <w:bottom w:val="single" w:sz="4" w:space="0" w:color="auto"/>
              <w:right w:val="nil"/>
            </w:tcBorders>
            <w:vAlign w:val="center"/>
          </w:tcPr>
          <w:p w14:paraId="6B495225" w14:textId="77777777" w:rsidR="00BB2071" w:rsidRPr="00A57215" w:rsidRDefault="00BB2071" w:rsidP="003D3D46">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$23,382</w:t>
            </w:r>
          </w:p>
        </w:tc>
        <w:tc>
          <w:tcPr>
            <w:tcW w:w="1080" w:type="dxa"/>
            <w:tcBorders>
              <w:top w:val="nil"/>
              <w:left w:val="nil"/>
              <w:bottom w:val="single" w:sz="4" w:space="0" w:color="auto"/>
              <w:right w:val="nil"/>
            </w:tcBorders>
            <w:vAlign w:val="center"/>
          </w:tcPr>
          <w:p w14:paraId="76E14695" w14:textId="77777777" w:rsidR="00BB2071" w:rsidRPr="00A57215" w:rsidRDefault="00BB2071" w:rsidP="003D3D46">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$22,</w:t>
            </w:r>
            <w:r w:rsidRPr="00A061D5">
              <w:rPr>
                <w:rFonts w:ascii="Segoe UI" w:eastAsia="Times New Roman" w:hAnsi="Segoe UI" w:cs="Segoe UI"/>
                <w:b/>
                <w:bCs/>
                <w:color w:val="666666"/>
                <w:sz w:val="16"/>
                <w:szCs w:val="16"/>
              </w:rPr>
              <w:t>180</w:t>
            </w:r>
          </w:p>
        </w:tc>
        <w:tc>
          <w:tcPr>
            <w:tcW w:w="889" w:type="dxa"/>
            <w:tcBorders>
              <w:top w:val="nil"/>
              <w:left w:val="nil"/>
              <w:bottom w:val="single" w:sz="4" w:space="0" w:color="auto"/>
              <w:right w:val="nil"/>
            </w:tcBorders>
            <w:vAlign w:val="center"/>
          </w:tcPr>
          <w:p w14:paraId="3B5DA6C2" w14:textId="77777777" w:rsidR="00BB2071" w:rsidRPr="00A57215" w:rsidRDefault="00BB2071" w:rsidP="003D3D46">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$22,180</w:t>
            </w:r>
          </w:p>
        </w:tc>
        <w:tc>
          <w:tcPr>
            <w:tcW w:w="911" w:type="dxa"/>
            <w:tcBorders>
              <w:top w:val="nil"/>
              <w:left w:val="nil"/>
              <w:bottom w:val="single" w:sz="4" w:space="0" w:color="auto"/>
              <w:right w:val="nil"/>
            </w:tcBorders>
            <w:vAlign w:val="center"/>
          </w:tcPr>
          <w:p w14:paraId="12D33838"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00A57215" w:rsidRPr="00A57215">
              <w:rPr>
                <w:rFonts w:ascii="Segoe UI" w:eastAsia="Times New Roman" w:hAnsi="Segoe UI" w:cs="Segoe UI"/>
                <w:b/>
                <w:bCs/>
                <w:color w:val="666666"/>
                <w:sz w:val="16"/>
                <w:szCs w:val="16"/>
              </w:rPr>
              <w:t>753</w:t>
            </w:r>
            <w:r w:rsidRPr="00A57215">
              <w:rPr>
                <w:rFonts w:ascii="Segoe UI" w:eastAsia="Times New Roman" w:hAnsi="Segoe UI" w:cs="Segoe UI"/>
                <w:b/>
                <w:bCs/>
                <w:color w:val="666666"/>
                <w:sz w:val="16"/>
                <w:szCs w:val="16"/>
              </w:rPr>
              <w:t>)</w:t>
            </w:r>
          </w:p>
        </w:tc>
        <w:tc>
          <w:tcPr>
            <w:tcW w:w="772" w:type="dxa"/>
            <w:tcBorders>
              <w:top w:val="nil"/>
              <w:left w:val="nil"/>
              <w:bottom w:val="single" w:sz="4" w:space="0" w:color="auto"/>
              <w:right w:val="nil"/>
            </w:tcBorders>
            <w:vAlign w:val="center"/>
          </w:tcPr>
          <w:p w14:paraId="4C208AB8"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w:t>
            </w:r>
          </w:p>
        </w:tc>
        <w:tc>
          <w:tcPr>
            <w:tcW w:w="713" w:type="dxa"/>
            <w:tcBorders>
              <w:top w:val="nil"/>
              <w:left w:val="nil"/>
              <w:bottom w:val="single" w:sz="4" w:space="0" w:color="auto"/>
              <w:right w:val="nil"/>
            </w:tcBorders>
            <w:vAlign w:val="center"/>
          </w:tcPr>
          <w:p w14:paraId="17768E89"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w:t>
            </w:r>
          </w:p>
        </w:tc>
        <w:tc>
          <w:tcPr>
            <w:tcW w:w="889" w:type="dxa"/>
            <w:tcBorders>
              <w:top w:val="nil"/>
              <w:left w:val="nil"/>
              <w:bottom w:val="single" w:sz="4" w:space="0" w:color="auto"/>
              <w:right w:val="nil"/>
            </w:tcBorders>
            <w:vAlign w:val="center"/>
          </w:tcPr>
          <w:p w14:paraId="3A46E181"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p>
        </w:tc>
        <w:tc>
          <w:tcPr>
            <w:tcW w:w="894" w:type="dxa"/>
            <w:gridSpan w:val="2"/>
            <w:tcBorders>
              <w:top w:val="nil"/>
              <w:left w:val="nil"/>
              <w:bottom w:val="single" w:sz="4" w:space="0" w:color="auto"/>
              <w:right w:val="nil"/>
            </w:tcBorders>
            <w:vAlign w:val="center"/>
          </w:tcPr>
          <w:p w14:paraId="4C45F37F"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p>
        </w:tc>
      </w:tr>
      <w:tr w:rsidR="00A061D5" w:rsidRPr="00A061D5" w14:paraId="6128A03E" w14:textId="77777777" w:rsidTr="003D3D46">
        <w:trPr>
          <w:trHeight w:val="288"/>
        </w:trPr>
        <w:tc>
          <w:tcPr>
            <w:tcW w:w="1631" w:type="dxa"/>
            <w:tcBorders>
              <w:top w:val="nil"/>
              <w:left w:val="nil"/>
              <w:bottom w:val="single" w:sz="4" w:space="0" w:color="auto"/>
              <w:right w:val="nil"/>
            </w:tcBorders>
            <w:noWrap/>
            <w:vAlign w:val="center"/>
          </w:tcPr>
          <w:p w14:paraId="03A585D6" w14:textId="77777777" w:rsidR="00BB2071" w:rsidRPr="00A061D5" w:rsidRDefault="00BB2071" w:rsidP="00B422BA">
            <w:pPr>
              <w:spacing w:after="0" w:line="240" w:lineRule="auto"/>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Gross Margin</w:t>
            </w:r>
          </w:p>
        </w:tc>
        <w:tc>
          <w:tcPr>
            <w:tcW w:w="1087" w:type="dxa"/>
            <w:tcBorders>
              <w:top w:val="nil"/>
              <w:left w:val="nil"/>
              <w:bottom w:val="single" w:sz="4" w:space="0" w:color="auto"/>
              <w:right w:val="nil"/>
            </w:tcBorders>
            <w:vAlign w:val="center"/>
          </w:tcPr>
          <w:p w14:paraId="000C0B35" w14:textId="77777777" w:rsidR="00BB2071" w:rsidRPr="00A061D5" w:rsidRDefault="00BB2071" w:rsidP="003D3D46">
            <w:pPr>
              <w:spacing w:after="0" w:line="240" w:lineRule="auto"/>
              <w:jc w:val="right"/>
              <w:rPr>
                <w:rFonts w:ascii="Segoe UI" w:eastAsia="Times New Roman" w:hAnsi="Segoe UI" w:cs="Segoe UI"/>
                <w:b/>
                <w:bCs/>
                <w:color w:val="595959" w:themeColor="text1" w:themeTint="A6"/>
                <w:sz w:val="16"/>
                <w:szCs w:val="16"/>
              </w:rPr>
            </w:pPr>
            <w:r w:rsidRPr="00A061D5">
              <w:rPr>
                <w:rFonts w:ascii="Segoe UI" w:eastAsia="Times New Roman" w:hAnsi="Segoe UI" w:cs="Segoe UI"/>
                <w:b/>
                <w:bCs/>
                <w:color w:val="666666"/>
                <w:sz w:val="16"/>
                <w:szCs w:val="16"/>
              </w:rPr>
              <w:t>$15,</w:t>
            </w:r>
            <w:r w:rsidR="008D1254" w:rsidRPr="00A061D5">
              <w:rPr>
                <w:rFonts w:ascii="Segoe UI" w:eastAsia="Times New Roman" w:hAnsi="Segoe UI" w:cs="Segoe UI"/>
                <w:b/>
                <w:bCs/>
                <w:color w:val="666666"/>
                <w:sz w:val="16"/>
                <w:szCs w:val="16"/>
              </w:rPr>
              <w:t>7</w:t>
            </w:r>
            <w:r w:rsidR="008D1254">
              <w:rPr>
                <w:rFonts w:ascii="Segoe UI" w:eastAsia="Times New Roman" w:hAnsi="Segoe UI" w:cs="Segoe UI"/>
                <w:b/>
                <w:bCs/>
                <w:color w:val="666666"/>
                <w:sz w:val="16"/>
                <w:szCs w:val="16"/>
              </w:rPr>
              <w:t>49</w:t>
            </w:r>
          </w:p>
        </w:tc>
        <w:tc>
          <w:tcPr>
            <w:tcW w:w="1080" w:type="dxa"/>
            <w:gridSpan w:val="2"/>
            <w:tcBorders>
              <w:top w:val="nil"/>
              <w:left w:val="nil"/>
              <w:bottom w:val="single" w:sz="4" w:space="0" w:color="auto"/>
              <w:right w:val="nil"/>
            </w:tcBorders>
            <w:vAlign w:val="center"/>
          </w:tcPr>
          <w:p w14:paraId="6916A706" w14:textId="77777777" w:rsidR="00BB2071" w:rsidRPr="00A57215" w:rsidRDefault="00BB2071" w:rsidP="003D3D46">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$15,7</w:t>
            </w:r>
            <w:r w:rsidR="008D1254">
              <w:rPr>
                <w:rFonts w:ascii="Segoe UI" w:eastAsia="Times New Roman" w:hAnsi="Segoe UI" w:cs="Segoe UI"/>
                <w:b/>
                <w:bCs/>
                <w:color w:val="666666"/>
                <w:sz w:val="16"/>
                <w:szCs w:val="16"/>
              </w:rPr>
              <w:t>49</w:t>
            </w:r>
          </w:p>
        </w:tc>
        <w:tc>
          <w:tcPr>
            <w:tcW w:w="1080" w:type="dxa"/>
            <w:tcBorders>
              <w:top w:val="nil"/>
              <w:left w:val="nil"/>
              <w:bottom w:val="single" w:sz="4" w:space="0" w:color="auto"/>
              <w:right w:val="nil"/>
            </w:tcBorders>
            <w:vAlign w:val="center"/>
          </w:tcPr>
          <w:p w14:paraId="251288EB" w14:textId="77777777" w:rsidR="00BB2071" w:rsidRPr="00A57215" w:rsidRDefault="00BB2071" w:rsidP="003D3D46">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00766303" w:rsidRPr="00A061D5">
              <w:rPr>
                <w:rFonts w:ascii="Segoe UI" w:eastAsia="Times New Roman" w:hAnsi="Segoe UI" w:cs="Segoe UI"/>
                <w:b/>
                <w:bCs/>
                <w:color w:val="666666"/>
                <w:sz w:val="16"/>
                <w:szCs w:val="16"/>
              </w:rPr>
              <w:t>14,712</w:t>
            </w:r>
          </w:p>
        </w:tc>
        <w:tc>
          <w:tcPr>
            <w:tcW w:w="889" w:type="dxa"/>
            <w:tcBorders>
              <w:top w:val="nil"/>
              <w:left w:val="nil"/>
              <w:bottom w:val="single" w:sz="4" w:space="0" w:color="auto"/>
              <w:right w:val="nil"/>
            </w:tcBorders>
            <w:vAlign w:val="center"/>
          </w:tcPr>
          <w:p w14:paraId="531B6A86"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$14,712</w:t>
            </w:r>
          </w:p>
        </w:tc>
        <w:tc>
          <w:tcPr>
            <w:tcW w:w="911" w:type="dxa"/>
            <w:tcBorders>
              <w:top w:val="nil"/>
              <w:left w:val="nil"/>
              <w:bottom w:val="single" w:sz="4" w:space="0" w:color="auto"/>
              <w:right w:val="nil"/>
            </w:tcBorders>
            <w:vAlign w:val="center"/>
          </w:tcPr>
          <w:p w14:paraId="5DD277A3"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00A57215" w:rsidRPr="00A57215">
              <w:rPr>
                <w:rFonts w:ascii="Segoe UI" w:eastAsia="Times New Roman" w:hAnsi="Segoe UI" w:cs="Segoe UI"/>
                <w:b/>
                <w:bCs/>
                <w:color w:val="666666"/>
                <w:sz w:val="16"/>
                <w:szCs w:val="16"/>
              </w:rPr>
              <w:t>557</w:t>
            </w:r>
            <w:r w:rsidRPr="00A57215">
              <w:rPr>
                <w:rFonts w:ascii="Segoe UI" w:eastAsia="Times New Roman" w:hAnsi="Segoe UI" w:cs="Segoe UI"/>
                <w:b/>
                <w:bCs/>
                <w:color w:val="666666"/>
                <w:sz w:val="16"/>
                <w:szCs w:val="16"/>
              </w:rPr>
              <w:t>)</w:t>
            </w:r>
          </w:p>
        </w:tc>
        <w:tc>
          <w:tcPr>
            <w:tcW w:w="772" w:type="dxa"/>
            <w:tcBorders>
              <w:top w:val="nil"/>
              <w:left w:val="nil"/>
              <w:bottom w:val="single" w:sz="4" w:space="0" w:color="auto"/>
              <w:right w:val="nil"/>
            </w:tcBorders>
            <w:vAlign w:val="center"/>
          </w:tcPr>
          <w:p w14:paraId="6E4483B3"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w:t>
            </w:r>
          </w:p>
        </w:tc>
        <w:tc>
          <w:tcPr>
            <w:tcW w:w="713" w:type="dxa"/>
            <w:tcBorders>
              <w:top w:val="nil"/>
              <w:left w:val="nil"/>
              <w:bottom w:val="single" w:sz="4" w:space="0" w:color="auto"/>
              <w:right w:val="nil"/>
            </w:tcBorders>
            <w:vAlign w:val="center"/>
          </w:tcPr>
          <w:p w14:paraId="557D61E9"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w:t>
            </w:r>
          </w:p>
        </w:tc>
        <w:tc>
          <w:tcPr>
            <w:tcW w:w="889" w:type="dxa"/>
            <w:tcBorders>
              <w:top w:val="nil"/>
              <w:left w:val="nil"/>
              <w:bottom w:val="single" w:sz="4" w:space="0" w:color="auto"/>
              <w:right w:val="nil"/>
            </w:tcBorders>
            <w:vAlign w:val="center"/>
          </w:tcPr>
          <w:p w14:paraId="46221976"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p>
        </w:tc>
        <w:tc>
          <w:tcPr>
            <w:tcW w:w="894" w:type="dxa"/>
            <w:gridSpan w:val="2"/>
            <w:tcBorders>
              <w:top w:val="nil"/>
              <w:left w:val="nil"/>
              <w:bottom w:val="single" w:sz="4" w:space="0" w:color="auto"/>
              <w:right w:val="nil"/>
            </w:tcBorders>
            <w:vAlign w:val="center"/>
          </w:tcPr>
          <w:p w14:paraId="25379A56"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p>
        </w:tc>
      </w:tr>
      <w:tr w:rsidR="00377A4A" w:rsidRPr="00A061D5" w14:paraId="6401E15D" w14:textId="77777777" w:rsidTr="00CE7632">
        <w:trPr>
          <w:trHeight w:val="288"/>
        </w:trPr>
        <w:tc>
          <w:tcPr>
            <w:tcW w:w="1631" w:type="dxa"/>
            <w:tcBorders>
              <w:top w:val="nil"/>
              <w:left w:val="nil"/>
              <w:bottom w:val="single" w:sz="4" w:space="0" w:color="auto"/>
              <w:right w:val="nil"/>
            </w:tcBorders>
            <w:noWrap/>
            <w:vAlign w:val="center"/>
          </w:tcPr>
          <w:p w14:paraId="6E9863E8" w14:textId="7B5334B6" w:rsidR="00377A4A" w:rsidRPr="00A061D5" w:rsidRDefault="00CE7632" w:rsidP="00E535EE">
            <w:pPr>
              <w:spacing w:after="0" w:line="240" w:lineRule="auto"/>
              <w:rPr>
                <w:rFonts w:ascii="Segoe UI" w:eastAsia="Times New Roman" w:hAnsi="Segoe UI" w:cs="Segoe UI"/>
                <w:b/>
                <w:bCs/>
                <w:color w:val="666666"/>
                <w:sz w:val="16"/>
                <w:szCs w:val="16"/>
              </w:rPr>
            </w:pPr>
            <w:r w:rsidRPr="00CE7632">
              <w:rPr>
                <w:rFonts w:ascii="Segoe UI" w:eastAsia="Times New Roman" w:hAnsi="Segoe UI" w:cs="Segoe UI"/>
                <w:b/>
                <w:bCs/>
                <w:color w:val="666666"/>
                <w:sz w:val="16"/>
                <w:szCs w:val="16"/>
              </w:rPr>
              <w:t xml:space="preserve">Research </w:t>
            </w:r>
            <w:r w:rsidR="00E535EE">
              <w:rPr>
                <w:rFonts w:ascii="Segoe UI" w:eastAsia="Times New Roman" w:hAnsi="Segoe UI" w:cs="Segoe UI"/>
                <w:b/>
                <w:bCs/>
                <w:color w:val="666666"/>
                <w:sz w:val="16"/>
                <w:szCs w:val="16"/>
              </w:rPr>
              <w:t>and</w:t>
            </w:r>
            <w:r w:rsidRPr="00CE7632">
              <w:rPr>
                <w:rFonts w:ascii="Segoe UI" w:eastAsia="Times New Roman" w:hAnsi="Segoe UI" w:cs="Segoe UI"/>
                <w:b/>
                <w:bCs/>
                <w:color w:val="666666"/>
                <w:sz w:val="16"/>
                <w:szCs w:val="16"/>
              </w:rPr>
              <w:t xml:space="preserve"> Development, Sales </w:t>
            </w:r>
            <w:r w:rsidR="00E535EE">
              <w:rPr>
                <w:rFonts w:ascii="Segoe UI" w:eastAsia="Times New Roman" w:hAnsi="Segoe UI" w:cs="Segoe UI"/>
                <w:b/>
                <w:bCs/>
                <w:color w:val="666666"/>
                <w:sz w:val="16"/>
                <w:szCs w:val="16"/>
              </w:rPr>
              <w:t>and</w:t>
            </w:r>
            <w:r w:rsidR="00E535EE" w:rsidRPr="00CE7632">
              <w:rPr>
                <w:rFonts w:ascii="Segoe UI" w:eastAsia="Times New Roman" w:hAnsi="Segoe UI" w:cs="Segoe UI"/>
                <w:b/>
                <w:bCs/>
                <w:color w:val="666666"/>
                <w:sz w:val="16"/>
                <w:szCs w:val="16"/>
              </w:rPr>
              <w:t xml:space="preserve"> </w:t>
            </w:r>
            <w:r w:rsidRPr="00CE7632">
              <w:rPr>
                <w:rFonts w:ascii="Segoe UI" w:eastAsia="Times New Roman" w:hAnsi="Segoe UI" w:cs="Segoe UI"/>
                <w:b/>
                <w:bCs/>
                <w:color w:val="666666"/>
                <w:sz w:val="16"/>
                <w:szCs w:val="16"/>
              </w:rPr>
              <w:t xml:space="preserve">Marketing and General </w:t>
            </w:r>
            <w:r w:rsidR="00E535EE">
              <w:rPr>
                <w:rFonts w:ascii="Segoe UI" w:eastAsia="Times New Roman" w:hAnsi="Segoe UI" w:cs="Segoe UI"/>
                <w:b/>
                <w:bCs/>
                <w:color w:val="666666"/>
                <w:sz w:val="16"/>
                <w:szCs w:val="16"/>
              </w:rPr>
              <w:t>and</w:t>
            </w:r>
            <w:r w:rsidR="00E535EE" w:rsidRPr="00CE7632">
              <w:rPr>
                <w:rFonts w:ascii="Segoe UI" w:eastAsia="Times New Roman" w:hAnsi="Segoe UI" w:cs="Segoe UI"/>
                <w:b/>
                <w:bCs/>
                <w:color w:val="666666"/>
                <w:sz w:val="16"/>
                <w:szCs w:val="16"/>
              </w:rPr>
              <w:t> </w:t>
            </w:r>
            <w:r w:rsidRPr="00CE7632">
              <w:rPr>
                <w:rFonts w:ascii="Segoe UI" w:eastAsia="Times New Roman" w:hAnsi="Segoe UI" w:cs="Segoe UI"/>
                <w:b/>
                <w:bCs/>
                <w:color w:val="666666"/>
                <w:sz w:val="16"/>
                <w:szCs w:val="16"/>
              </w:rPr>
              <w:t>Administrative Expenses</w:t>
            </w:r>
          </w:p>
        </w:tc>
        <w:tc>
          <w:tcPr>
            <w:tcW w:w="1087" w:type="dxa"/>
            <w:tcBorders>
              <w:top w:val="nil"/>
              <w:left w:val="nil"/>
              <w:bottom w:val="single" w:sz="4" w:space="0" w:color="auto"/>
              <w:right w:val="nil"/>
            </w:tcBorders>
            <w:vAlign w:val="center"/>
          </w:tcPr>
          <w:p w14:paraId="673D9F02" w14:textId="77777777" w:rsidR="00377A4A" w:rsidRPr="00A061D5" w:rsidRDefault="00377A4A"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$9,140</w:t>
            </w:r>
          </w:p>
        </w:tc>
        <w:tc>
          <w:tcPr>
            <w:tcW w:w="1080" w:type="dxa"/>
            <w:gridSpan w:val="2"/>
            <w:tcBorders>
              <w:top w:val="nil"/>
              <w:left w:val="nil"/>
              <w:bottom w:val="single" w:sz="4" w:space="0" w:color="auto"/>
              <w:right w:val="nil"/>
            </w:tcBorders>
            <w:vAlign w:val="center"/>
          </w:tcPr>
          <w:p w14:paraId="420A06F0" w14:textId="77777777" w:rsidR="00377A4A" w:rsidRPr="00A061D5" w:rsidRDefault="00377A4A"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$9,140</w:t>
            </w:r>
          </w:p>
        </w:tc>
        <w:tc>
          <w:tcPr>
            <w:tcW w:w="1080" w:type="dxa"/>
            <w:tcBorders>
              <w:top w:val="nil"/>
              <w:left w:val="nil"/>
              <w:bottom w:val="single" w:sz="4" w:space="0" w:color="auto"/>
              <w:right w:val="nil"/>
            </w:tcBorders>
            <w:vAlign w:val="center"/>
          </w:tcPr>
          <w:p w14:paraId="15B8FEA8" w14:textId="77777777" w:rsidR="00377A4A" w:rsidRPr="00A57215" w:rsidRDefault="00377A4A"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$8,327</w:t>
            </w:r>
          </w:p>
        </w:tc>
        <w:tc>
          <w:tcPr>
            <w:tcW w:w="889" w:type="dxa"/>
            <w:tcBorders>
              <w:top w:val="nil"/>
              <w:left w:val="nil"/>
              <w:bottom w:val="single" w:sz="4" w:space="0" w:color="auto"/>
              <w:right w:val="nil"/>
            </w:tcBorders>
            <w:vAlign w:val="center"/>
          </w:tcPr>
          <w:p w14:paraId="750E21DC" w14:textId="77777777" w:rsidR="00377A4A" w:rsidRDefault="00377A4A"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$8,327</w:t>
            </w:r>
          </w:p>
        </w:tc>
        <w:tc>
          <w:tcPr>
            <w:tcW w:w="911" w:type="dxa"/>
            <w:tcBorders>
              <w:top w:val="nil"/>
              <w:left w:val="nil"/>
              <w:bottom w:val="single" w:sz="4" w:space="0" w:color="auto"/>
              <w:right w:val="nil"/>
            </w:tcBorders>
            <w:vAlign w:val="center"/>
          </w:tcPr>
          <w:p w14:paraId="3A35E2EB" w14:textId="77777777" w:rsidR="00377A4A" w:rsidRPr="00A57215" w:rsidRDefault="00377A4A"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$(402)</w:t>
            </w:r>
          </w:p>
        </w:tc>
        <w:tc>
          <w:tcPr>
            <w:tcW w:w="772" w:type="dxa"/>
            <w:tcBorders>
              <w:top w:val="nil"/>
              <w:left w:val="nil"/>
              <w:bottom w:val="single" w:sz="4" w:space="0" w:color="auto"/>
              <w:right w:val="nil"/>
            </w:tcBorders>
            <w:vAlign w:val="center"/>
          </w:tcPr>
          <w:p w14:paraId="404F1DB9" w14:textId="77777777" w:rsidR="00377A4A" w:rsidRDefault="00377A4A"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w:t>
            </w:r>
          </w:p>
        </w:tc>
        <w:tc>
          <w:tcPr>
            <w:tcW w:w="713" w:type="dxa"/>
            <w:tcBorders>
              <w:top w:val="nil"/>
              <w:left w:val="nil"/>
              <w:bottom w:val="single" w:sz="4" w:space="0" w:color="auto"/>
              <w:right w:val="nil"/>
            </w:tcBorders>
            <w:vAlign w:val="center"/>
          </w:tcPr>
          <w:p w14:paraId="36341F92" w14:textId="77777777" w:rsidR="00377A4A" w:rsidRDefault="00377A4A"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w:t>
            </w:r>
          </w:p>
        </w:tc>
        <w:tc>
          <w:tcPr>
            <w:tcW w:w="889" w:type="dxa"/>
            <w:tcBorders>
              <w:top w:val="nil"/>
              <w:left w:val="nil"/>
              <w:bottom w:val="single" w:sz="4" w:space="0" w:color="auto"/>
              <w:right w:val="nil"/>
            </w:tcBorders>
            <w:vAlign w:val="center"/>
          </w:tcPr>
          <w:p w14:paraId="08ABE3F5" w14:textId="77777777" w:rsidR="00377A4A" w:rsidRDefault="00377A4A"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w:t>
            </w:r>
          </w:p>
        </w:tc>
        <w:tc>
          <w:tcPr>
            <w:tcW w:w="894" w:type="dxa"/>
            <w:gridSpan w:val="2"/>
            <w:tcBorders>
              <w:top w:val="nil"/>
              <w:left w:val="nil"/>
              <w:bottom w:val="single" w:sz="4" w:space="0" w:color="auto"/>
              <w:right w:val="nil"/>
            </w:tcBorders>
            <w:vAlign w:val="center"/>
          </w:tcPr>
          <w:p w14:paraId="4554DF28" w14:textId="77777777" w:rsidR="00377A4A" w:rsidRDefault="00377A4A"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w:t>
            </w:r>
          </w:p>
        </w:tc>
      </w:tr>
      <w:tr w:rsidR="00A061D5" w:rsidRPr="00A061D5" w14:paraId="4EE37881" w14:textId="77777777" w:rsidTr="003D3D46">
        <w:trPr>
          <w:trHeight w:val="288"/>
        </w:trPr>
        <w:tc>
          <w:tcPr>
            <w:tcW w:w="1631" w:type="dxa"/>
            <w:tcBorders>
              <w:top w:val="nil"/>
              <w:left w:val="nil"/>
              <w:bottom w:val="single" w:sz="4" w:space="0" w:color="auto"/>
              <w:right w:val="nil"/>
            </w:tcBorders>
            <w:noWrap/>
            <w:vAlign w:val="center"/>
          </w:tcPr>
          <w:p w14:paraId="372F92D7" w14:textId="77777777" w:rsidR="00BB2071" w:rsidRPr="00A061D5" w:rsidRDefault="00BB2071" w:rsidP="00B422BA">
            <w:pPr>
              <w:spacing w:after="0" w:line="240" w:lineRule="auto"/>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Operating Income</w:t>
            </w:r>
            <w:r w:rsidR="002E23B2">
              <w:rPr>
                <w:rFonts w:ascii="Segoe UI" w:eastAsia="Times New Roman" w:hAnsi="Segoe UI" w:cs="Segoe UI"/>
                <w:b/>
                <w:bCs/>
                <w:color w:val="666666"/>
                <w:sz w:val="16"/>
                <w:szCs w:val="16"/>
              </w:rPr>
              <w:t xml:space="preserve"> (Loss)</w:t>
            </w:r>
          </w:p>
        </w:tc>
        <w:tc>
          <w:tcPr>
            <w:tcW w:w="1087" w:type="dxa"/>
            <w:tcBorders>
              <w:top w:val="nil"/>
              <w:left w:val="nil"/>
              <w:bottom w:val="single" w:sz="4" w:space="0" w:color="auto"/>
              <w:right w:val="nil"/>
            </w:tcBorders>
            <w:vAlign w:val="center"/>
          </w:tcPr>
          <w:p w14:paraId="372104B8" w14:textId="77777777" w:rsidR="00BB2071" w:rsidRPr="00A061D5" w:rsidRDefault="00BB2071" w:rsidP="003D3D46">
            <w:pPr>
              <w:spacing w:after="0" w:line="240" w:lineRule="auto"/>
              <w:jc w:val="right"/>
              <w:rPr>
                <w:rFonts w:ascii="Segoe UI" w:eastAsia="Times New Roman" w:hAnsi="Segoe UI" w:cs="Segoe UI"/>
                <w:b/>
                <w:bCs/>
                <w:color w:val="595959" w:themeColor="text1" w:themeTint="A6"/>
                <w:sz w:val="16"/>
                <w:szCs w:val="16"/>
              </w:rPr>
            </w:pPr>
            <w:r w:rsidRPr="00A061D5">
              <w:rPr>
                <w:rFonts w:ascii="Segoe UI" w:eastAsia="Times New Roman" w:hAnsi="Segoe UI" w:cs="Segoe UI"/>
                <w:b/>
                <w:bCs/>
                <w:color w:val="666666"/>
                <w:sz w:val="16"/>
                <w:szCs w:val="16"/>
              </w:rPr>
              <w:t>$6,482</w:t>
            </w:r>
          </w:p>
        </w:tc>
        <w:tc>
          <w:tcPr>
            <w:tcW w:w="1080" w:type="dxa"/>
            <w:gridSpan w:val="2"/>
            <w:tcBorders>
              <w:top w:val="nil"/>
              <w:left w:val="nil"/>
              <w:bottom w:val="single" w:sz="4" w:space="0" w:color="auto"/>
              <w:right w:val="nil"/>
            </w:tcBorders>
            <w:vAlign w:val="center"/>
          </w:tcPr>
          <w:p w14:paraId="08BECCAE" w14:textId="77777777" w:rsidR="00BB2071" w:rsidRPr="00A57215" w:rsidRDefault="00BB2071" w:rsidP="003D3D46">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$6,609</w:t>
            </w:r>
          </w:p>
        </w:tc>
        <w:tc>
          <w:tcPr>
            <w:tcW w:w="1080" w:type="dxa"/>
            <w:tcBorders>
              <w:top w:val="nil"/>
              <w:left w:val="nil"/>
              <w:bottom w:val="single" w:sz="4" w:space="0" w:color="auto"/>
              <w:right w:val="nil"/>
            </w:tcBorders>
            <w:vAlign w:val="center"/>
          </w:tcPr>
          <w:p w14:paraId="1ABEEDC7" w14:textId="77777777" w:rsidR="00BB2071" w:rsidRPr="00A57215" w:rsidRDefault="00BB2071" w:rsidP="003D3D46">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Pr="00A061D5">
              <w:rPr>
                <w:rFonts w:ascii="Segoe UI" w:eastAsia="Times New Roman" w:hAnsi="Segoe UI" w:cs="Segoe UI"/>
                <w:b/>
                <w:bCs/>
                <w:color w:val="666666"/>
                <w:sz w:val="16"/>
                <w:szCs w:val="16"/>
              </w:rPr>
              <w:t>(2,053)</w:t>
            </w:r>
          </w:p>
        </w:tc>
        <w:tc>
          <w:tcPr>
            <w:tcW w:w="889" w:type="dxa"/>
            <w:tcBorders>
              <w:top w:val="nil"/>
              <w:left w:val="nil"/>
              <w:bottom w:val="single" w:sz="4" w:space="0" w:color="auto"/>
              <w:right w:val="nil"/>
            </w:tcBorders>
            <w:vAlign w:val="center"/>
          </w:tcPr>
          <w:p w14:paraId="29B4B879"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$6,385</w:t>
            </w:r>
          </w:p>
        </w:tc>
        <w:tc>
          <w:tcPr>
            <w:tcW w:w="911" w:type="dxa"/>
            <w:tcBorders>
              <w:top w:val="nil"/>
              <w:left w:val="nil"/>
              <w:bottom w:val="single" w:sz="4" w:space="0" w:color="auto"/>
              <w:right w:val="nil"/>
            </w:tcBorders>
            <w:vAlign w:val="center"/>
          </w:tcPr>
          <w:p w14:paraId="1515B0E2"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00A57215" w:rsidRPr="00A57215">
              <w:rPr>
                <w:rFonts w:ascii="Segoe UI" w:eastAsia="Times New Roman" w:hAnsi="Segoe UI" w:cs="Segoe UI"/>
                <w:b/>
                <w:bCs/>
                <w:color w:val="666666"/>
                <w:sz w:val="16"/>
                <w:szCs w:val="16"/>
              </w:rPr>
              <w:t>155</w:t>
            </w:r>
            <w:r w:rsidRPr="00A57215">
              <w:rPr>
                <w:rFonts w:ascii="Segoe UI" w:eastAsia="Times New Roman" w:hAnsi="Segoe UI" w:cs="Segoe UI"/>
                <w:b/>
                <w:bCs/>
                <w:color w:val="666666"/>
                <w:sz w:val="16"/>
                <w:szCs w:val="16"/>
              </w:rPr>
              <w:t>)</w:t>
            </w:r>
          </w:p>
        </w:tc>
        <w:tc>
          <w:tcPr>
            <w:tcW w:w="772" w:type="dxa"/>
            <w:tcBorders>
              <w:top w:val="nil"/>
              <w:left w:val="nil"/>
              <w:bottom w:val="single" w:sz="4" w:space="0" w:color="auto"/>
              <w:right w:val="nil"/>
            </w:tcBorders>
            <w:vAlign w:val="center"/>
          </w:tcPr>
          <w:p w14:paraId="7C2F870B"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(132)%</w:t>
            </w:r>
          </w:p>
        </w:tc>
        <w:tc>
          <w:tcPr>
            <w:tcW w:w="713" w:type="dxa"/>
            <w:tcBorders>
              <w:top w:val="nil"/>
              <w:left w:val="nil"/>
              <w:bottom w:val="single" w:sz="4" w:space="0" w:color="auto"/>
              <w:right w:val="nil"/>
            </w:tcBorders>
            <w:vAlign w:val="center"/>
          </w:tcPr>
          <w:p w14:paraId="465CB2FF"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p>
        </w:tc>
        <w:tc>
          <w:tcPr>
            <w:tcW w:w="889" w:type="dxa"/>
            <w:tcBorders>
              <w:top w:val="nil"/>
              <w:left w:val="nil"/>
              <w:bottom w:val="single" w:sz="4" w:space="0" w:color="auto"/>
              <w:right w:val="nil"/>
            </w:tcBorders>
            <w:vAlign w:val="center"/>
          </w:tcPr>
          <w:p w14:paraId="6D4BC02B"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8D1254">
              <w:rPr>
                <w:rFonts w:ascii="Segoe UI" w:eastAsia="Times New Roman" w:hAnsi="Segoe UI" w:cs="Segoe UI"/>
                <w:b/>
                <w:bCs/>
                <w:color w:val="666666"/>
                <w:sz w:val="16"/>
                <w:szCs w:val="16"/>
              </w:rPr>
              <w:t>129</w:t>
            </w:r>
            <w:r>
              <w:rPr>
                <w:rFonts w:ascii="Segoe UI" w:eastAsia="Times New Roman" w:hAnsi="Segoe UI" w:cs="Segoe UI"/>
                <w:b/>
                <w:bCs/>
                <w:color w:val="666666"/>
                <w:sz w:val="16"/>
                <w:szCs w:val="16"/>
              </w:rPr>
              <w:t>)%</w:t>
            </w:r>
          </w:p>
        </w:tc>
        <w:tc>
          <w:tcPr>
            <w:tcW w:w="894" w:type="dxa"/>
            <w:gridSpan w:val="2"/>
            <w:tcBorders>
              <w:top w:val="nil"/>
              <w:left w:val="nil"/>
              <w:bottom w:val="single" w:sz="4" w:space="0" w:color="auto"/>
              <w:right w:val="nil"/>
            </w:tcBorders>
            <w:vAlign w:val="center"/>
          </w:tcPr>
          <w:p w14:paraId="0E18222B" w14:textId="77777777" w:rsidR="00BB2071" w:rsidRPr="00A57215" w:rsidRDefault="008D1254"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A061D5">
              <w:rPr>
                <w:rFonts w:ascii="Segoe UI" w:eastAsia="Times New Roman" w:hAnsi="Segoe UI" w:cs="Segoe UI"/>
                <w:b/>
                <w:bCs/>
                <w:color w:val="666666"/>
                <w:sz w:val="16"/>
                <w:szCs w:val="16"/>
              </w:rPr>
              <w:t>%</w:t>
            </w:r>
          </w:p>
        </w:tc>
      </w:tr>
      <w:tr w:rsidR="00A061D5" w:rsidRPr="00A061D5" w14:paraId="7A11890B" w14:textId="77777777" w:rsidTr="003D3D46">
        <w:trPr>
          <w:trHeight w:val="288"/>
        </w:trPr>
        <w:tc>
          <w:tcPr>
            <w:tcW w:w="1631" w:type="dxa"/>
            <w:tcBorders>
              <w:top w:val="nil"/>
              <w:left w:val="nil"/>
              <w:bottom w:val="single" w:sz="4" w:space="0" w:color="auto"/>
              <w:right w:val="nil"/>
            </w:tcBorders>
            <w:noWrap/>
            <w:vAlign w:val="center"/>
            <w:hideMark/>
          </w:tcPr>
          <w:p w14:paraId="0792BF23" w14:textId="77777777" w:rsidR="00BB2071" w:rsidRPr="00A061D5" w:rsidRDefault="002E23B2" w:rsidP="00066D3A">
            <w:pPr>
              <w:spacing w:after="0" w:line="240" w:lineRule="auto"/>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Earnings (Loss) per Share</w:t>
            </w:r>
          </w:p>
        </w:tc>
        <w:tc>
          <w:tcPr>
            <w:tcW w:w="1087" w:type="dxa"/>
            <w:tcBorders>
              <w:top w:val="nil"/>
              <w:left w:val="nil"/>
              <w:bottom w:val="single" w:sz="4" w:space="0" w:color="auto"/>
              <w:right w:val="nil"/>
            </w:tcBorders>
            <w:vAlign w:val="center"/>
          </w:tcPr>
          <w:p w14:paraId="23BB6620" w14:textId="77777777" w:rsidR="00BB2071" w:rsidRPr="00A061D5" w:rsidRDefault="00BB2071" w:rsidP="003D3D46">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$0.55</w:t>
            </w:r>
          </w:p>
        </w:tc>
        <w:tc>
          <w:tcPr>
            <w:tcW w:w="1080" w:type="dxa"/>
            <w:gridSpan w:val="2"/>
            <w:tcBorders>
              <w:top w:val="nil"/>
              <w:left w:val="nil"/>
              <w:bottom w:val="single" w:sz="4" w:space="0" w:color="auto"/>
              <w:right w:val="nil"/>
            </w:tcBorders>
            <w:vAlign w:val="center"/>
          </w:tcPr>
          <w:p w14:paraId="6749AD3E" w14:textId="77777777" w:rsidR="00BB2071" w:rsidRPr="00A57215" w:rsidRDefault="00BB2071" w:rsidP="003D3D46">
            <w:pPr>
              <w:spacing w:after="0" w:line="240" w:lineRule="auto"/>
              <w:jc w:val="right"/>
              <w:rPr>
                <w:rFonts w:ascii="Segoe UI" w:eastAsia="Times New Roman" w:hAnsi="Segoe UI" w:cs="Segoe UI"/>
                <w:b/>
                <w:bCs/>
                <w:color w:val="666666"/>
                <w:sz w:val="16"/>
                <w:szCs w:val="16"/>
              </w:rPr>
            </w:pPr>
            <w:r w:rsidRPr="00A061D5">
              <w:rPr>
                <w:rFonts w:ascii="Segoe UI" w:eastAsia="Times New Roman" w:hAnsi="Segoe UI" w:cs="Segoe UI"/>
                <w:b/>
                <w:bCs/>
                <w:color w:val="666666"/>
                <w:sz w:val="16"/>
                <w:szCs w:val="16"/>
              </w:rPr>
              <w:t>$0.5</w:t>
            </w:r>
            <w:r w:rsidR="00F56A23">
              <w:rPr>
                <w:rFonts w:ascii="Segoe UI" w:eastAsia="Times New Roman" w:hAnsi="Segoe UI" w:cs="Segoe UI"/>
                <w:b/>
                <w:bCs/>
                <w:color w:val="666666"/>
                <w:sz w:val="16"/>
                <w:szCs w:val="16"/>
              </w:rPr>
              <w:t>6</w:t>
            </w:r>
          </w:p>
        </w:tc>
        <w:tc>
          <w:tcPr>
            <w:tcW w:w="1080" w:type="dxa"/>
            <w:tcBorders>
              <w:top w:val="nil"/>
              <w:left w:val="nil"/>
              <w:bottom w:val="single" w:sz="4" w:space="0" w:color="auto"/>
              <w:right w:val="nil"/>
            </w:tcBorders>
            <w:vAlign w:val="center"/>
          </w:tcPr>
          <w:p w14:paraId="108818A4" w14:textId="77777777" w:rsidR="00BB2071" w:rsidRPr="00A57215" w:rsidRDefault="00BB2071" w:rsidP="003D3D46">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Pr="00A061D5">
              <w:rPr>
                <w:rFonts w:ascii="Segoe UI" w:eastAsia="Times New Roman" w:hAnsi="Segoe UI" w:cs="Segoe UI"/>
                <w:b/>
                <w:bCs/>
                <w:color w:val="666666"/>
                <w:sz w:val="16"/>
                <w:szCs w:val="16"/>
              </w:rPr>
              <w:t>(</w:t>
            </w:r>
            <w:r w:rsidRPr="00A57215">
              <w:rPr>
                <w:rFonts w:ascii="Segoe UI" w:eastAsia="Times New Roman" w:hAnsi="Segoe UI" w:cs="Segoe UI"/>
                <w:b/>
                <w:bCs/>
                <w:color w:val="666666"/>
                <w:sz w:val="16"/>
                <w:szCs w:val="16"/>
              </w:rPr>
              <w:t>0.</w:t>
            </w:r>
            <w:r w:rsidRPr="00A061D5">
              <w:rPr>
                <w:rFonts w:ascii="Segoe UI" w:eastAsia="Times New Roman" w:hAnsi="Segoe UI" w:cs="Segoe UI"/>
                <w:b/>
                <w:bCs/>
                <w:color w:val="666666"/>
                <w:sz w:val="16"/>
                <w:szCs w:val="16"/>
              </w:rPr>
              <w:t>4</w:t>
            </w:r>
            <w:r w:rsidR="00F56A23">
              <w:rPr>
                <w:rFonts w:ascii="Segoe UI" w:eastAsia="Times New Roman" w:hAnsi="Segoe UI" w:cs="Segoe UI"/>
                <w:b/>
                <w:bCs/>
                <w:color w:val="666666"/>
                <w:sz w:val="16"/>
                <w:szCs w:val="16"/>
              </w:rPr>
              <w:t>0</w:t>
            </w:r>
            <w:r w:rsidRPr="00A061D5">
              <w:rPr>
                <w:rFonts w:ascii="Segoe UI" w:eastAsia="Times New Roman" w:hAnsi="Segoe UI" w:cs="Segoe UI"/>
                <w:b/>
                <w:bCs/>
                <w:color w:val="666666"/>
                <w:sz w:val="16"/>
                <w:szCs w:val="16"/>
              </w:rPr>
              <w:t>)</w:t>
            </w:r>
          </w:p>
        </w:tc>
        <w:tc>
          <w:tcPr>
            <w:tcW w:w="889" w:type="dxa"/>
            <w:tcBorders>
              <w:top w:val="nil"/>
              <w:left w:val="nil"/>
              <w:bottom w:val="single" w:sz="4" w:space="0" w:color="auto"/>
              <w:right w:val="nil"/>
            </w:tcBorders>
            <w:vAlign w:val="center"/>
          </w:tcPr>
          <w:p w14:paraId="5025FB62"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$0.6</w:t>
            </w:r>
            <w:r w:rsidR="00F56A23">
              <w:rPr>
                <w:rFonts w:ascii="Segoe UI" w:eastAsia="Times New Roman" w:hAnsi="Segoe UI" w:cs="Segoe UI"/>
                <w:b/>
                <w:bCs/>
                <w:color w:val="666666"/>
                <w:sz w:val="16"/>
                <w:szCs w:val="16"/>
              </w:rPr>
              <w:t>2</w:t>
            </w:r>
          </w:p>
        </w:tc>
        <w:tc>
          <w:tcPr>
            <w:tcW w:w="911" w:type="dxa"/>
            <w:tcBorders>
              <w:top w:val="nil"/>
              <w:left w:val="nil"/>
              <w:bottom w:val="single" w:sz="4" w:space="0" w:color="auto"/>
              <w:right w:val="nil"/>
            </w:tcBorders>
            <w:vAlign w:val="center"/>
          </w:tcPr>
          <w:p w14:paraId="5C29B418"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00A57215" w:rsidRPr="00A57215">
              <w:rPr>
                <w:rFonts w:ascii="Segoe UI" w:eastAsia="Times New Roman" w:hAnsi="Segoe UI" w:cs="Segoe UI"/>
                <w:b/>
                <w:bCs/>
                <w:color w:val="666666"/>
                <w:sz w:val="16"/>
                <w:szCs w:val="16"/>
              </w:rPr>
              <w:t>0</w:t>
            </w:r>
            <w:r w:rsidRPr="00A57215">
              <w:rPr>
                <w:rFonts w:ascii="Segoe UI" w:eastAsia="Times New Roman" w:hAnsi="Segoe UI" w:cs="Segoe UI"/>
                <w:b/>
                <w:bCs/>
                <w:color w:val="666666"/>
                <w:sz w:val="16"/>
                <w:szCs w:val="16"/>
              </w:rPr>
              <w:t>.</w:t>
            </w:r>
            <w:r w:rsidR="005F61DA" w:rsidRPr="00A57215">
              <w:rPr>
                <w:rFonts w:ascii="Segoe UI" w:eastAsia="Times New Roman" w:hAnsi="Segoe UI" w:cs="Segoe UI"/>
                <w:b/>
                <w:bCs/>
                <w:color w:val="666666"/>
                <w:sz w:val="16"/>
                <w:szCs w:val="16"/>
              </w:rPr>
              <w:t>0</w:t>
            </w:r>
            <w:r w:rsidR="005F61DA">
              <w:rPr>
                <w:rFonts w:ascii="Segoe UI" w:eastAsia="Times New Roman" w:hAnsi="Segoe UI" w:cs="Segoe UI"/>
                <w:b/>
                <w:bCs/>
                <w:color w:val="666666"/>
                <w:sz w:val="16"/>
                <w:szCs w:val="16"/>
              </w:rPr>
              <w:t>2</w:t>
            </w:r>
          </w:p>
        </w:tc>
        <w:tc>
          <w:tcPr>
            <w:tcW w:w="772" w:type="dxa"/>
            <w:tcBorders>
              <w:top w:val="nil"/>
              <w:left w:val="nil"/>
              <w:bottom w:val="single" w:sz="4" w:space="0" w:color="auto"/>
              <w:right w:val="nil"/>
            </w:tcBorders>
            <w:vAlign w:val="center"/>
          </w:tcPr>
          <w:p w14:paraId="46EEE039"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(17</w:t>
            </w:r>
            <w:r w:rsidR="00F56A23">
              <w:rPr>
                <w:rFonts w:ascii="Segoe UI" w:eastAsia="Times New Roman" w:hAnsi="Segoe UI" w:cs="Segoe UI"/>
                <w:b/>
                <w:bCs/>
                <w:color w:val="666666"/>
                <w:sz w:val="16"/>
                <w:szCs w:val="16"/>
              </w:rPr>
              <w:t>3</w:t>
            </w:r>
            <w:r>
              <w:rPr>
                <w:rFonts w:ascii="Segoe UI" w:eastAsia="Times New Roman" w:hAnsi="Segoe UI" w:cs="Segoe UI"/>
                <w:b/>
                <w:bCs/>
                <w:color w:val="666666"/>
                <w:sz w:val="16"/>
                <w:szCs w:val="16"/>
              </w:rPr>
              <w:t>)%</w:t>
            </w:r>
          </w:p>
        </w:tc>
        <w:tc>
          <w:tcPr>
            <w:tcW w:w="713" w:type="dxa"/>
            <w:tcBorders>
              <w:top w:val="nil"/>
              <w:left w:val="nil"/>
              <w:bottom w:val="single" w:sz="4" w:space="0" w:color="auto"/>
              <w:right w:val="nil"/>
            </w:tcBorders>
            <w:vAlign w:val="center"/>
          </w:tcPr>
          <w:p w14:paraId="551CCCF0" w14:textId="77777777" w:rsidR="00BB2071" w:rsidRPr="00A57215" w:rsidRDefault="00F56A23"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11</w:t>
            </w:r>
            <w:r w:rsidR="00A061D5">
              <w:rPr>
                <w:rFonts w:ascii="Segoe UI" w:eastAsia="Times New Roman" w:hAnsi="Segoe UI" w:cs="Segoe UI"/>
                <w:b/>
                <w:bCs/>
                <w:color w:val="666666"/>
                <w:sz w:val="16"/>
                <w:szCs w:val="16"/>
              </w:rPr>
              <w:t>%</w:t>
            </w:r>
          </w:p>
        </w:tc>
        <w:tc>
          <w:tcPr>
            <w:tcW w:w="889" w:type="dxa"/>
            <w:tcBorders>
              <w:top w:val="nil"/>
              <w:left w:val="nil"/>
              <w:bottom w:val="single" w:sz="4" w:space="0" w:color="auto"/>
              <w:right w:val="nil"/>
            </w:tcBorders>
            <w:vAlign w:val="center"/>
          </w:tcPr>
          <w:p w14:paraId="4CEEF20C" w14:textId="77777777" w:rsidR="00BB2071" w:rsidRPr="00A57215" w:rsidRDefault="00A061D5"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5F61DA">
              <w:rPr>
                <w:rFonts w:ascii="Segoe UI" w:eastAsia="Times New Roman" w:hAnsi="Segoe UI" w:cs="Segoe UI"/>
                <w:b/>
                <w:bCs/>
                <w:color w:val="666666"/>
                <w:sz w:val="16"/>
                <w:szCs w:val="16"/>
              </w:rPr>
              <w:t>176</w:t>
            </w:r>
            <w:r>
              <w:rPr>
                <w:rFonts w:ascii="Segoe UI" w:eastAsia="Times New Roman" w:hAnsi="Segoe UI" w:cs="Segoe UI"/>
                <w:b/>
                <w:bCs/>
                <w:color w:val="666666"/>
                <w:sz w:val="16"/>
                <w:szCs w:val="16"/>
              </w:rPr>
              <w:t>)%</w:t>
            </w:r>
          </w:p>
        </w:tc>
        <w:tc>
          <w:tcPr>
            <w:tcW w:w="894" w:type="dxa"/>
            <w:gridSpan w:val="2"/>
            <w:tcBorders>
              <w:top w:val="nil"/>
              <w:left w:val="nil"/>
              <w:bottom w:val="single" w:sz="4" w:space="0" w:color="auto"/>
              <w:right w:val="nil"/>
            </w:tcBorders>
            <w:vAlign w:val="center"/>
          </w:tcPr>
          <w:p w14:paraId="05C88E8E" w14:textId="77777777" w:rsidR="00BB2071" w:rsidRPr="00A57215" w:rsidRDefault="00650D3E" w:rsidP="003D3D46">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8</w:t>
            </w:r>
            <w:r w:rsidR="00F56A23" w:rsidRPr="00BD5B4F">
              <w:rPr>
                <w:rFonts w:ascii="Segoe UI" w:eastAsia="Times New Roman" w:hAnsi="Segoe UI" w:cs="Segoe UI"/>
                <w:b/>
                <w:bCs/>
                <w:color w:val="666666"/>
                <w:sz w:val="16"/>
                <w:szCs w:val="16"/>
              </w:rPr>
              <w:t>%</w:t>
            </w:r>
          </w:p>
        </w:tc>
      </w:tr>
    </w:tbl>
    <w:p w14:paraId="0DC35253" w14:textId="77777777" w:rsidR="0041262B" w:rsidRPr="009F6692" w:rsidRDefault="00241390" w:rsidP="009F6692">
      <w:pPr>
        <w:keepNext/>
        <w:spacing w:before="270" w:after="270" w:line="240" w:lineRule="auto"/>
        <w:ind w:firstLine="720"/>
        <w:rPr>
          <w:rFonts w:ascii="Segoe UI" w:eastAsia="Times New Roman" w:hAnsi="Segoe UI" w:cs="Segoe UI"/>
          <w:b/>
          <w:bCs/>
          <w:color w:val="666666"/>
          <w:sz w:val="20"/>
          <w:szCs w:val="20"/>
        </w:rPr>
      </w:pPr>
      <w:r w:rsidRPr="009F6692">
        <w:rPr>
          <w:rFonts w:ascii="Segoe UI" w:eastAsia="Times New Roman" w:hAnsi="Segoe UI" w:cs="Segoe UI"/>
          <w:b/>
          <w:bCs/>
          <w:color w:val="666666"/>
          <w:sz w:val="20"/>
          <w:szCs w:val="20"/>
        </w:rPr>
        <w:t xml:space="preserve">Segment Revenue </w:t>
      </w:r>
      <w:r w:rsidR="00166382" w:rsidRPr="009F6692">
        <w:rPr>
          <w:rFonts w:ascii="Segoe UI" w:eastAsia="Times New Roman" w:hAnsi="Segoe UI" w:cs="Segoe UI"/>
          <w:b/>
          <w:bCs/>
          <w:color w:val="666666"/>
          <w:sz w:val="20"/>
          <w:szCs w:val="20"/>
        </w:rPr>
        <w:t xml:space="preserve">Constant Currency </w:t>
      </w:r>
      <w:r w:rsidR="0052771E" w:rsidRPr="009F6692">
        <w:rPr>
          <w:rFonts w:ascii="Segoe UI" w:eastAsia="Times New Roman" w:hAnsi="Segoe UI" w:cs="Segoe UI"/>
          <w:b/>
          <w:bCs/>
          <w:color w:val="666666"/>
          <w:sz w:val="20"/>
          <w:szCs w:val="20"/>
        </w:rPr>
        <w:t>Reconciliation</w:t>
      </w:r>
    </w:p>
    <w:tbl>
      <w:tblPr>
        <w:tblW w:w="5000" w:type="pct"/>
        <w:tblLayout w:type="fixed"/>
        <w:tblCellMar>
          <w:left w:w="0" w:type="dxa"/>
          <w:right w:w="0" w:type="dxa"/>
        </w:tblCellMar>
        <w:tblLook w:val="04A0" w:firstRow="1" w:lastRow="0" w:firstColumn="1" w:lastColumn="0" w:noHBand="0" w:noVBand="1"/>
      </w:tblPr>
      <w:tblGrid>
        <w:gridCol w:w="2888"/>
        <w:gridCol w:w="308"/>
        <w:gridCol w:w="355"/>
        <w:gridCol w:w="877"/>
        <w:gridCol w:w="1232"/>
        <w:gridCol w:w="1232"/>
        <w:gridCol w:w="1232"/>
        <w:gridCol w:w="1194"/>
        <w:gridCol w:w="42"/>
      </w:tblGrid>
      <w:tr w:rsidR="00A7267D" w:rsidRPr="00CD4005" w14:paraId="2D15922C" w14:textId="77777777" w:rsidTr="003D3D46">
        <w:trPr>
          <w:gridAfter w:val="1"/>
          <w:wAfter w:w="39" w:type="dxa"/>
          <w:trHeight w:val="322"/>
        </w:trPr>
        <w:tc>
          <w:tcPr>
            <w:tcW w:w="3320" w:type="dxa"/>
            <w:gridSpan w:val="3"/>
            <w:tcBorders>
              <w:top w:val="nil"/>
              <w:left w:val="nil"/>
              <w:bottom w:val="single" w:sz="8" w:space="0" w:color="auto"/>
              <w:right w:val="nil"/>
            </w:tcBorders>
            <w:vAlign w:val="center"/>
          </w:tcPr>
          <w:p w14:paraId="193A0037" w14:textId="77777777" w:rsidR="00A7267D" w:rsidRPr="006F2DF8" w:rsidRDefault="00A7267D" w:rsidP="00FE4EB4">
            <w:pPr>
              <w:spacing w:after="0" w:line="240" w:lineRule="auto"/>
              <w:rPr>
                <w:rFonts w:ascii="Segoe UI" w:eastAsia="Times New Roman" w:hAnsi="Segoe UI" w:cs="Segoe UI"/>
                <w:b/>
                <w:color w:val="666666"/>
                <w:sz w:val="16"/>
                <w:szCs w:val="16"/>
              </w:rPr>
            </w:pPr>
          </w:p>
        </w:tc>
        <w:tc>
          <w:tcPr>
            <w:tcW w:w="5392" w:type="dxa"/>
            <w:gridSpan w:val="5"/>
            <w:tcBorders>
              <w:top w:val="nil"/>
              <w:left w:val="nil"/>
              <w:bottom w:val="single" w:sz="8" w:space="0" w:color="auto"/>
              <w:right w:val="nil"/>
            </w:tcBorders>
          </w:tcPr>
          <w:p w14:paraId="6126EB16" w14:textId="77777777" w:rsidR="00A7267D" w:rsidRPr="00CD4005" w:rsidRDefault="00A7267D" w:rsidP="003F54C5">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 xml:space="preserve">Three Months Ended </w:t>
            </w:r>
            <w:r w:rsidR="003F54C5">
              <w:rPr>
                <w:rFonts w:ascii="Segoe UI" w:eastAsia="Times New Roman" w:hAnsi="Segoe UI" w:cs="Segoe UI"/>
                <w:b/>
                <w:bCs/>
                <w:color w:val="666666"/>
                <w:sz w:val="16"/>
                <w:szCs w:val="16"/>
              </w:rPr>
              <w:t xml:space="preserve">June </w:t>
            </w:r>
            <w:r>
              <w:rPr>
                <w:rFonts w:ascii="Segoe UI" w:eastAsia="Times New Roman" w:hAnsi="Segoe UI" w:cs="Segoe UI"/>
                <w:b/>
                <w:bCs/>
                <w:color w:val="666666"/>
                <w:sz w:val="16"/>
                <w:szCs w:val="16"/>
              </w:rPr>
              <w:t>3</w:t>
            </w:r>
            <w:r w:rsidR="003F54C5">
              <w:rPr>
                <w:rFonts w:ascii="Segoe UI" w:eastAsia="Times New Roman" w:hAnsi="Segoe UI" w:cs="Segoe UI"/>
                <w:b/>
                <w:bCs/>
                <w:color w:val="666666"/>
                <w:sz w:val="16"/>
                <w:szCs w:val="16"/>
              </w:rPr>
              <w:t>0</w:t>
            </w:r>
            <w:r w:rsidRPr="00CD4005">
              <w:rPr>
                <w:rFonts w:ascii="Segoe UI" w:eastAsia="Times New Roman" w:hAnsi="Segoe UI" w:cs="Segoe UI"/>
                <w:b/>
                <w:bCs/>
                <w:color w:val="666666"/>
                <w:sz w:val="16"/>
                <w:szCs w:val="16"/>
              </w:rPr>
              <w:t>,</w:t>
            </w:r>
          </w:p>
        </w:tc>
      </w:tr>
      <w:tr w:rsidR="00A92D9F" w:rsidRPr="00CD4005" w14:paraId="5A4BCE65" w14:textId="77777777" w:rsidTr="003D3D46">
        <w:trPr>
          <w:trHeight w:val="468"/>
        </w:trPr>
        <w:tc>
          <w:tcPr>
            <w:tcW w:w="2700" w:type="dxa"/>
            <w:tcBorders>
              <w:top w:val="nil"/>
              <w:left w:val="nil"/>
              <w:bottom w:val="single" w:sz="8" w:space="0" w:color="auto"/>
              <w:right w:val="nil"/>
            </w:tcBorders>
            <w:vAlign w:val="bottom"/>
            <w:hideMark/>
          </w:tcPr>
          <w:p w14:paraId="2F955A08" w14:textId="77777777" w:rsidR="00A92D9F" w:rsidRPr="00CD4005" w:rsidRDefault="00A92D9F" w:rsidP="00A92D9F">
            <w:pPr>
              <w:spacing w:after="0" w:line="240" w:lineRule="auto"/>
              <w:rPr>
                <w:rFonts w:ascii="Segoe UI" w:eastAsia="Times New Roman" w:hAnsi="Segoe UI" w:cs="Segoe UI"/>
                <w:color w:val="666666"/>
                <w:sz w:val="16"/>
                <w:szCs w:val="16"/>
              </w:rPr>
            </w:pPr>
            <w:r w:rsidRPr="00CD4005">
              <w:rPr>
                <w:rFonts w:ascii="Segoe UI" w:eastAsia="Times New Roman" w:hAnsi="Segoe UI" w:cs="Segoe UI"/>
                <w:color w:val="666666"/>
                <w:sz w:val="16"/>
                <w:szCs w:val="16"/>
              </w:rPr>
              <w:t>($ in mi</w:t>
            </w:r>
            <w:r>
              <w:rPr>
                <w:rFonts w:ascii="Segoe UI" w:eastAsia="Times New Roman" w:hAnsi="Segoe UI" w:cs="Segoe UI"/>
                <w:color w:val="666666"/>
                <w:sz w:val="16"/>
                <w:szCs w:val="16"/>
              </w:rPr>
              <w:t>llions</w:t>
            </w:r>
            <w:r w:rsidRPr="00CD4005">
              <w:rPr>
                <w:rFonts w:ascii="Segoe UI" w:eastAsia="Times New Roman" w:hAnsi="Segoe UI" w:cs="Segoe UI"/>
                <w:color w:val="666666"/>
                <w:sz w:val="16"/>
                <w:szCs w:val="16"/>
              </w:rPr>
              <w:t>)</w:t>
            </w:r>
          </w:p>
        </w:tc>
        <w:tc>
          <w:tcPr>
            <w:tcW w:w="288" w:type="dxa"/>
            <w:tcBorders>
              <w:top w:val="nil"/>
              <w:left w:val="nil"/>
              <w:bottom w:val="single" w:sz="8" w:space="0" w:color="auto"/>
              <w:right w:val="nil"/>
            </w:tcBorders>
            <w:vAlign w:val="bottom"/>
          </w:tcPr>
          <w:p w14:paraId="0FABB9A7" w14:textId="77777777" w:rsidR="00A92D9F" w:rsidRDefault="00A92D9F" w:rsidP="00A92D9F">
            <w:pPr>
              <w:spacing w:after="0" w:line="240" w:lineRule="auto"/>
              <w:jc w:val="center"/>
              <w:rPr>
                <w:rFonts w:ascii="Segoe UI" w:eastAsia="Times New Roman" w:hAnsi="Segoe UI" w:cs="Segoe UI"/>
                <w:b/>
                <w:bCs/>
                <w:color w:val="666666"/>
                <w:sz w:val="16"/>
                <w:szCs w:val="16"/>
              </w:rPr>
            </w:pPr>
          </w:p>
        </w:tc>
        <w:tc>
          <w:tcPr>
            <w:tcW w:w="1152" w:type="dxa"/>
            <w:gridSpan w:val="2"/>
            <w:tcBorders>
              <w:top w:val="nil"/>
              <w:left w:val="nil"/>
              <w:bottom w:val="single" w:sz="8" w:space="0" w:color="auto"/>
              <w:right w:val="nil"/>
            </w:tcBorders>
            <w:vAlign w:val="bottom"/>
          </w:tcPr>
          <w:p w14:paraId="49FDFFDA" w14:textId="77777777" w:rsidR="00A92D9F" w:rsidRPr="00CD4005" w:rsidRDefault="00A92D9F" w:rsidP="00A92D9F">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4</w:t>
            </w:r>
            <w:r w:rsidRPr="00CD4005">
              <w:rPr>
                <w:rFonts w:ascii="Segoe UI" w:eastAsia="Times New Roman" w:hAnsi="Segoe UI" w:cs="Segoe UI"/>
                <w:b/>
                <w:bCs/>
                <w:color w:val="666666"/>
                <w:sz w:val="16"/>
                <w:szCs w:val="16"/>
              </w:rPr>
              <w:t xml:space="preserve"> As Reported (GAAP)</w:t>
            </w:r>
          </w:p>
        </w:tc>
        <w:tc>
          <w:tcPr>
            <w:tcW w:w="1152" w:type="dxa"/>
            <w:tcBorders>
              <w:top w:val="nil"/>
              <w:left w:val="nil"/>
              <w:bottom w:val="single" w:sz="8" w:space="0" w:color="auto"/>
              <w:right w:val="nil"/>
            </w:tcBorders>
            <w:vAlign w:val="bottom"/>
          </w:tcPr>
          <w:p w14:paraId="304D3346" w14:textId="77777777" w:rsidR="00A92D9F" w:rsidRPr="00CD4005" w:rsidRDefault="00A92D9F" w:rsidP="00A92D9F">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5</w:t>
            </w:r>
            <w:r w:rsidRPr="00CD4005">
              <w:rPr>
                <w:rFonts w:ascii="Segoe UI" w:eastAsia="Times New Roman" w:hAnsi="Segoe UI" w:cs="Segoe UI"/>
                <w:b/>
                <w:bCs/>
                <w:color w:val="666666"/>
                <w:sz w:val="16"/>
                <w:szCs w:val="16"/>
              </w:rPr>
              <w:t xml:space="preserve"> As Reported (GAAP)</w:t>
            </w:r>
          </w:p>
        </w:tc>
        <w:tc>
          <w:tcPr>
            <w:tcW w:w="1152" w:type="dxa"/>
            <w:tcBorders>
              <w:top w:val="nil"/>
              <w:left w:val="nil"/>
              <w:bottom w:val="single" w:sz="8" w:space="0" w:color="auto"/>
              <w:right w:val="nil"/>
            </w:tcBorders>
            <w:vAlign w:val="bottom"/>
          </w:tcPr>
          <w:p w14:paraId="1CB4DF8C" w14:textId="77777777" w:rsidR="00A92D9F" w:rsidRDefault="00A92D9F" w:rsidP="00A92D9F">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Constant Currency Impact</w:t>
            </w:r>
          </w:p>
        </w:tc>
        <w:tc>
          <w:tcPr>
            <w:tcW w:w="1152" w:type="dxa"/>
            <w:tcBorders>
              <w:top w:val="nil"/>
              <w:left w:val="nil"/>
              <w:bottom w:val="single" w:sz="8" w:space="0" w:color="auto"/>
              <w:right w:val="nil"/>
            </w:tcBorders>
            <w:vAlign w:val="bottom"/>
            <w:hideMark/>
          </w:tcPr>
          <w:p w14:paraId="61F0AC8A" w14:textId="77777777" w:rsidR="00A92D9F" w:rsidRPr="00CD4005" w:rsidRDefault="00A92D9F" w:rsidP="00A92D9F">
            <w:pPr>
              <w:spacing w:after="0" w:line="240" w:lineRule="auto"/>
              <w:jc w:val="center"/>
              <w:rPr>
                <w:rFonts w:ascii="Segoe UI" w:eastAsia="Times New Roman" w:hAnsi="Segoe UI" w:cs="Segoe UI"/>
                <w:b/>
                <w:bCs/>
                <w:color w:val="666666"/>
                <w:sz w:val="16"/>
                <w:szCs w:val="16"/>
              </w:rPr>
            </w:pPr>
            <w:r w:rsidRPr="00CD4005">
              <w:rPr>
                <w:rFonts w:ascii="Segoe UI" w:eastAsia="Times New Roman" w:hAnsi="Segoe UI" w:cs="Segoe UI"/>
                <w:b/>
                <w:bCs/>
                <w:color w:val="666666"/>
                <w:sz w:val="16"/>
                <w:szCs w:val="16"/>
              </w:rPr>
              <w:t>%Y/Y (GAAP)</w:t>
            </w:r>
          </w:p>
        </w:tc>
        <w:tc>
          <w:tcPr>
            <w:tcW w:w="1152" w:type="dxa"/>
            <w:gridSpan w:val="2"/>
            <w:tcBorders>
              <w:top w:val="nil"/>
              <w:left w:val="nil"/>
              <w:bottom w:val="single" w:sz="8" w:space="0" w:color="auto"/>
              <w:right w:val="nil"/>
            </w:tcBorders>
            <w:vAlign w:val="bottom"/>
            <w:hideMark/>
          </w:tcPr>
          <w:p w14:paraId="69180A30" w14:textId="77777777" w:rsidR="00A92D9F" w:rsidRPr="00CD4005" w:rsidRDefault="00A92D9F" w:rsidP="00A92D9F">
            <w:pPr>
              <w:spacing w:after="0" w:line="240" w:lineRule="auto"/>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Y/Y Constant Currency</w:t>
            </w:r>
            <w:r w:rsidR="00766303">
              <w:rPr>
                <w:rFonts w:ascii="Segoe UI" w:eastAsia="Times New Roman" w:hAnsi="Segoe UI" w:cs="Segoe UI"/>
                <w:b/>
                <w:bCs/>
                <w:color w:val="666666"/>
                <w:sz w:val="16"/>
                <w:szCs w:val="16"/>
              </w:rPr>
              <w:t xml:space="preserve"> (GAAP)</w:t>
            </w:r>
          </w:p>
        </w:tc>
      </w:tr>
      <w:tr w:rsidR="00A92D9F" w:rsidRPr="00305CCE" w14:paraId="78EA68B7" w14:textId="77777777" w:rsidTr="003D3D46">
        <w:trPr>
          <w:trHeight w:val="288"/>
        </w:trPr>
        <w:tc>
          <w:tcPr>
            <w:tcW w:w="2700" w:type="dxa"/>
            <w:tcBorders>
              <w:top w:val="nil"/>
              <w:left w:val="nil"/>
              <w:right w:val="nil"/>
            </w:tcBorders>
            <w:noWrap/>
            <w:vAlign w:val="center"/>
            <w:hideMark/>
          </w:tcPr>
          <w:p w14:paraId="2939D54E" w14:textId="77777777" w:rsidR="00A92D9F" w:rsidRPr="00A57215" w:rsidRDefault="00A92D9F" w:rsidP="00A92D9F">
            <w:pPr>
              <w:spacing w:after="0" w:line="240" w:lineRule="auto"/>
              <w:rPr>
                <w:rFonts w:ascii="Segoe UI" w:eastAsia="Times New Roman" w:hAnsi="Segoe UI" w:cs="Segoe UI"/>
                <w:color w:val="666666"/>
                <w:sz w:val="16"/>
                <w:szCs w:val="16"/>
              </w:rPr>
            </w:pPr>
            <w:r w:rsidRPr="00A57215">
              <w:rPr>
                <w:rFonts w:ascii="Segoe UI" w:eastAsia="Times New Roman" w:hAnsi="Segoe UI" w:cs="Segoe UI"/>
                <w:color w:val="666666"/>
                <w:sz w:val="16"/>
                <w:szCs w:val="16"/>
              </w:rPr>
              <w:t>Licensing</w:t>
            </w:r>
          </w:p>
        </w:tc>
        <w:tc>
          <w:tcPr>
            <w:tcW w:w="288" w:type="dxa"/>
            <w:tcBorders>
              <w:top w:val="nil"/>
              <w:left w:val="nil"/>
              <w:right w:val="nil"/>
            </w:tcBorders>
          </w:tcPr>
          <w:p w14:paraId="2AB8D84B" w14:textId="77777777" w:rsidR="00A92D9F" w:rsidRPr="00892CCF" w:rsidRDefault="00A92D9F" w:rsidP="00A92D9F">
            <w:pPr>
              <w:spacing w:after="0" w:line="240" w:lineRule="auto"/>
              <w:jc w:val="right"/>
              <w:rPr>
                <w:rFonts w:ascii="Segoe UI" w:eastAsia="Times New Roman" w:hAnsi="Segoe UI" w:cs="Segoe UI"/>
                <w:b/>
                <w:bCs/>
                <w:color w:val="FF0000"/>
                <w:sz w:val="16"/>
                <w:szCs w:val="16"/>
              </w:rPr>
            </w:pPr>
          </w:p>
        </w:tc>
        <w:tc>
          <w:tcPr>
            <w:tcW w:w="1152" w:type="dxa"/>
            <w:gridSpan w:val="2"/>
            <w:tcBorders>
              <w:top w:val="nil"/>
              <w:left w:val="nil"/>
              <w:right w:val="nil"/>
            </w:tcBorders>
            <w:vAlign w:val="center"/>
          </w:tcPr>
          <w:p w14:paraId="104E8F9D" w14:textId="77777777" w:rsidR="00A92D9F" w:rsidRPr="00A57215" w:rsidRDefault="00A92D9F" w:rsidP="008D5103">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$4,</w:t>
            </w:r>
            <w:r w:rsidR="005F61DA" w:rsidRPr="00A57215">
              <w:rPr>
                <w:rFonts w:ascii="Segoe UI" w:eastAsia="Times New Roman" w:hAnsi="Segoe UI" w:cs="Segoe UI"/>
                <w:bCs/>
                <w:color w:val="666666"/>
                <w:sz w:val="16"/>
                <w:szCs w:val="16"/>
              </w:rPr>
              <w:t>90</w:t>
            </w:r>
            <w:r w:rsidR="005F61DA">
              <w:rPr>
                <w:rFonts w:ascii="Segoe UI" w:eastAsia="Times New Roman" w:hAnsi="Segoe UI" w:cs="Segoe UI"/>
                <w:bCs/>
                <w:color w:val="666666"/>
                <w:sz w:val="16"/>
                <w:szCs w:val="16"/>
              </w:rPr>
              <w:t>3</w:t>
            </w:r>
          </w:p>
        </w:tc>
        <w:tc>
          <w:tcPr>
            <w:tcW w:w="1152" w:type="dxa"/>
            <w:tcBorders>
              <w:top w:val="nil"/>
              <w:left w:val="nil"/>
              <w:right w:val="nil"/>
            </w:tcBorders>
            <w:vAlign w:val="center"/>
          </w:tcPr>
          <w:p w14:paraId="30E82FC3" w14:textId="77777777" w:rsidR="00A92D9F" w:rsidRPr="00A57215" w:rsidRDefault="00A92D9F"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$3</w:t>
            </w:r>
            <w:r w:rsidR="00766303" w:rsidRPr="00A57215">
              <w:rPr>
                <w:rFonts w:ascii="Segoe UI" w:eastAsia="Times New Roman" w:hAnsi="Segoe UI" w:cs="Segoe UI"/>
                <w:bCs/>
                <w:color w:val="666666"/>
                <w:sz w:val="16"/>
                <w:szCs w:val="16"/>
              </w:rPr>
              <w:t>,233</w:t>
            </w:r>
          </w:p>
        </w:tc>
        <w:tc>
          <w:tcPr>
            <w:tcW w:w="1152" w:type="dxa"/>
            <w:tcBorders>
              <w:top w:val="nil"/>
              <w:left w:val="nil"/>
              <w:right w:val="nil"/>
            </w:tcBorders>
            <w:vAlign w:val="center"/>
          </w:tcPr>
          <w:p w14:paraId="567D0862" w14:textId="77777777" w:rsidR="00A92D9F" w:rsidRPr="00A57215" w:rsidRDefault="00A92D9F" w:rsidP="00A57215">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sidR="00A57215" w:rsidRPr="00A57215">
              <w:rPr>
                <w:rFonts w:ascii="Segoe UI" w:eastAsia="Times New Roman" w:hAnsi="Segoe UI" w:cs="Segoe UI"/>
                <w:bCs/>
                <w:color w:val="666666"/>
                <w:sz w:val="16"/>
                <w:szCs w:val="16"/>
              </w:rPr>
              <w:t>43</w:t>
            </w:r>
            <w:r w:rsidRPr="00A57215">
              <w:rPr>
                <w:rFonts w:ascii="Segoe UI" w:eastAsia="Times New Roman" w:hAnsi="Segoe UI" w:cs="Segoe UI"/>
                <w:bCs/>
                <w:color w:val="666666"/>
                <w:sz w:val="16"/>
                <w:szCs w:val="16"/>
              </w:rPr>
              <w:t>)</w:t>
            </w:r>
          </w:p>
        </w:tc>
        <w:tc>
          <w:tcPr>
            <w:tcW w:w="1152" w:type="dxa"/>
            <w:tcBorders>
              <w:top w:val="nil"/>
              <w:left w:val="nil"/>
              <w:right w:val="nil"/>
            </w:tcBorders>
            <w:vAlign w:val="center"/>
          </w:tcPr>
          <w:p w14:paraId="15B76874" w14:textId="77777777" w:rsidR="00A92D9F" w:rsidRPr="00A57215" w:rsidRDefault="00A92D9F" w:rsidP="00766303">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sidR="00766303" w:rsidRPr="00A57215">
              <w:rPr>
                <w:rFonts w:ascii="Segoe UI" w:eastAsia="Times New Roman" w:hAnsi="Segoe UI" w:cs="Segoe UI"/>
                <w:bCs/>
                <w:color w:val="666666"/>
                <w:sz w:val="16"/>
                <w:szCs w:val="16"/>
              </w:rPr>
              <w:t>34</w:t>
            </w:r>
            <w:r w:rsidRPr="00A57215">
              <w:rPr>
                <w:rFonts w:ascii="Segoe UI" w:eastAsia="Times New Roman" w:hAnsi="Segoe UI" w:cs="Segoe UI"/>
                <w:bCs/>
                <w:color w:val="666666"/>
                <w:sz w:val="16"/>
                <w:szCs w:val="16"/>
              </w:rPr>
              <w:t>)%</w:t>
            </w:r>
          </w:p>
        </w:tc>
        <w:tc>
          <w:tcPr>
            <w:tcW w:w="1152" w:type="dxa"/>
            <w:gridSpan w:val="2"/>
            <w:tcBorders>
              <w:top w:val="nil"/>
              <w:left w:val="nil"/>
              <w:right w:val="nil"/>
            </w:tcBorders>
            <w:vAlign w:val="center"/>
          </w:tcPr>
          <w:p w14:paraId="382EDD3E" w14:textId="77777777" w:rsidR="00A92D9F" w:rsidRPr="00A57215" w:rsidRDefault="00A92D9F"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sidR="00766303" w:rsidRPr="00A57215">
              <w:rPr>
                <w:rFonts w:ascii="Segoe UI" w:eastAsia="Times New Roman" w:hAnsi="Segoe UI" w:cs="Segoe UI"/>
                <w:bCs/>
                <w:color w:val="666666"/>
                <w:sz w:val="16"/>
                <w:szCs w:val="16"/>
              </w:rPr>
              <w:t>33</w:t>
            </w:r>
            <w:r w:rsidRPr="00A57215">
              <w:rPr>
                <w:rFonts w:ascii="Segoe UI" w:eastAsia="Times New Roman" w:hAnsi="Segoe UI" w:cs="Segoe UI"/>
                <w:bCs/>
                <w:color w:val="666666"/>
                <w:sz w:val="16"/>
                <w:szCs w:val="16"/>
              </w:rPr>
              <w:t>)%</w:t>
            </w:r>
          </w:p>
        </w:tc>
      </w:tr>
      <w:tr w:rsidR="00A92D9F" w:rsidRPr="00305CCE" w14:paraId="27955C73" w14:textId="77777777" w:rsidTr="003D3D46">
        <w:trPr>
          <w:trHeight w:val="288"/>
        </w:trPr>
        <w:tc>
          <w:tcPr>
            <w:tcW w:w="2700" w:type="dxa"/>
            <w:noWrap/>
            <w:vAlign w:val="center"/>
            <w:hideMark/>
          </w:tcPr>
          <w:p w14:paraId="53C02279" w14:textId="421A30D7" w:rsidR="00A92D9F" w:rsidRPr="00A57215" w:rsidRDefault="00A92D9F" w:rsidP="00A92D9F">
            <w:pPr>
              <w:spacing w:after="0" w:line="240" w:lineRule="auto"/>
              <w:rPr>
                <w:rFonts w:ascii="Segoe UI" w:eastAsia="Times New Roman" w:hAnsi="Segoe UI" w:cs="Segoe UI"/>
                <w:color w:val="666666"/>
                <w:sz w:val="16"/>
                <w:szCs w:val="16"/>
              </w:rPr>
            </w:pPr>
            <w:r w:rsidRPr="00A57215">
              <w:rPr>
                <w:rFonts w:ascii="Segoe UI" w:eastAsia="Times New Roman" w:hAnsi="Segoe UI" w:cs="Segoe UI"/>
                <w:color w:val="666666"/>
                <w:sz w:val="16"/>
                <w:szCs w:val="16"/>
              </w:rPr>
              <w:t xml:space="preserve">Computing </w:t>
            </w:r>
            <w:r w:rsidR="00E535EE">
              <w:rPr>
                <w:rFonts w:ascii="Segoe UI" w:eastAsia="Times New Roman" w:hAnsi="Segoe UI" w:cs="Segoe UI"/>
                <w:color w:val="666666"/>
                <w:sz w:val="16"/>
                <w:szCs w:val="16"/>
              </w:rPr>
              <w:t>and</w:t>
            </w:r>
            <w:r w:rsidRPr="00A57215">
              <w:rPr>
                <w:rFonts w:ascii="Segoe UI" w:eastAsia="Times New Roman" w:hAnsi="Segoe UI" w:cs="Segoe UI"/>
                <w:color w:val="666666"/>
                <w:sz w:val="16"/>
                <w:szCs w:val="16"/>
              </w:rPr>
              <w:t xml:space="preserve"> Gaming Hardware</w:t>
            </w:r>
          </w:p>
        </w:tc>
        <w:tc>
          <w:tcPr>
            <w:tcW w:w="288" w:type="dxa"/>
          </w:tcPr>
          <w:p w14:paraId="0CF76EAD" w14:textId="77777777" w:rsidR="00A92D9F" w:rsidRPr="00892CCF" w:rsidRDefault="00A92D9F" w:rsidP="00A92D9F">
            <w:pPr>
              <w:spacing w:after="0" w:line="240" w:lineRule="auto"/>
              <w:jc w:val="right"/>
              <w:rPr>
                <w:rFonts w:ascii="Segoe UI" w:eastAsia="Times New Roman" w:hAnsi="Segoe UI" w:cs="Segoe UI"/>
                <w:b/>
                <w:bCs/>
                <w:color w:val="FF0000"/>
                <w:sz w:val="16"/>
                <w:szCs w:val="16"/>
              </w:rPr>
            </w:pPr>
          </w:p>
        </w:tc>
        <w:tc>
          <w:tcPr>
            <w:tcW w:w="1152" w:type="dxa"/>
            <w:gridSpan w:val="2"/>
            <w:vAlign w:val="center"/>
          </w:tcPr>
          <w:p w14:paraId="0B5D99D9" w14:textId="77777777" w:rsidR="00A92D9F" w:rsidRPr="00A57215" w:rsidRDefault="00A92D9F" w:rsidP="008D5103">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1,</w:t>
            </w:r>
            <w:r w:rsidR="005F61DA" w:rsidRPr="00A57215">
              <w:rPr>
                <w:rFonts w:ascii="Segoe UI" w:eastAsia="Times New Roman" w:hAnsi="Segoe UI" w:cs="Segoe UI"/>
                <w:bCs/>
                <w:color w:val="666666"/>
                <w:sz w:val="16"/>
                <w:szCs w:val="16"/>
              </w:rPr>
              <w:t>34</w:t>
            </w:r>
            <w:r w:rsidR="005F61DA">
              <w:rPr>
                <w:rFonts w:ascii="Segoe UI" w:eastAsia="Times New Roman" w:hAnsi="Segoe UI" w:cs="Segoe UI"/>
                <w:bCs/>
                <w:color w:val="666666"/>
                <w:sz w:val="16"/>
                <w:szCs w:val="16"/>
              </w:rPr>
              <w:t>2</w:t>
            </w:r>
          </w:p>
        </w:tc>
        <w:tc>
          <w:tcPr>
            <w:tcW w:w="1152" w:type="dxa"/>
            <w:vAlign w:val="center"/>
          </w:tcPr>
          <w:p w14:paraId="20E3D9C0" w14:textId="77777777" w:rsidR="00A92D9F" w:rsidRPr="00A57215" w:rsidRDefault="00A92D9F"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1,</w:t>
            </w:r>
            <w:r w:rsidR="00766303" w:rsidRPr="00A57215">
              <w:rPr>
                <w:rFonts w:ascii="Segoe UI" w:eastAsia="Times New Roman" w:hAnsi="Segoe UI" w:cs="Segoe UI"/>
                <w:bCs/>
                <w:color w:val="666666"/>
                <w:sz w:val="16"/>
                <w:szCs w:val="16"/>
              </w:rPr>
              <w:t>93</w:t>
            </w:r>
            <w:r w:rsidR="005F61DA">
              <w:rPr>
                <w:rFonts w:ascii="Segoe UI" w:eastAsia="Times New Roman" w:hAnsi="Segoe UI" w:cs="Segoe UI"/>
                <w:bCs/>
                <w:color w:val="666666"/>
                <w:sz w:val="16"/>
                <w:szCs w:val="16"/>
              </w:rPr>
              <w:t>3</w:t>
            </w:r>
          </w:p>
        </w:tc>
        <w:tc>
          <w:tcPr>
            <w:tcW w:w="1152" w:type="dxa"/>
            <w:vAlign w:val="center"/>
          </w:tcPr>
          <w:p w14:paraId="60254BE7" w14:textId="77777777" w:rsidR="00A92D9F" w:rsidRPr="00A57215" w:rsidRDefault="00A92D9F" w:rsidP="00766303">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sidR="00A57215" w:rsidRPr="00A57215">
              <w:rPr>
                <w:rFonts w:ascii="Segoe UI" w:eastAsia="Times New Roman" w:hAnsi="Segoe UI" w:cs="Segoe UI"/>
                <w:bCs/>
                <w:color w:val="666666"/>
                <w:sz w:val="16"/>
                <w:szCs w:val="16"/>
              </w:rPr>
              <w:t>82</w:t>
            </w:r>
            <w:r w:rsidRPr="00A57215">
              <w:rPr>
                <w:rFonts w:ascii="Segoe UI" w:eastAsia="Times New Roman" w:hAnsi="Segoe UI" w:cs="Segoe UI"/>
                <w:bCs/>
                <w:color w:val="666666"/>
                <w:sz w:val="16"/>
                <w:szCs w:val="16"/>
              </w:rPr>
              <w:t>)</w:t>
            </w:r>
          </w:p>
        </w:tc>
        <w:tc>
          <w:tcPr>
            <w:tcW w:w="1152" w:type="dxa"/>
            <w:vAlign w:val="center"/>
            <w:hideMark/>
          </w:tcPr>
          <w:p w14:paraId="11DDBCC1" w14:textId="77777777" w:rsidR="00A92D9F" w:rsidRPr="00A57215" w:rsidRDefault="00766303"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44</w:t>
            </w:r>
            <w:r w:rsidR="00A92D9F" w:rsidRPr="00A57215">
              <w:rPr>
                <w:rFonts w:ascii="Segoe UI" w:eastAsia="Times New Roman" w:hAnsi="Segoe UI" w:cs="Segoe UI"/>
                <w:bCs/>
                <w:color w:val="666666"/>
                <w:sz w:val="16"/>
                <w:szCs w:val="16"/>
              </w:rPr>
              <w:t>%</w:t>
            </w:r>
          </w:p>
        </w:tc>
        <w:tc>
          <w:tcPr>
            <w:tcW w:w="1152" w:type="dxa"/>
            <w:gridSpan w:val="2"/>
            <w:vAlign w:val="center"/>
            <w:hideMark/>
          </w:tcPr>
          <w:p w14:paraId="029EF7CE" w14:textId="77777777" w:rsidR="00A92D9F" w:rsidRPr="00A57215" w:rsidRDefault="00766303"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5</w:t>
            </w:r>
            <w:r w:rsidR="00A92D9F" w:rsidRPr="00A57215">
              <w:rPr>
                <w:rFonts w:ascii="Segoe UI" w:eastAsia="Times New Roman" w:hAnsi="Segoe UI" w:cs="Segoe UI"/>
                <w:bCs/>
                <w:color w:val="666666"/>
                <w:sz w:val="16"/>
                <w:szCs w:val="16"/>
              </w:rPr>
              <w:t>0%</w:t>
            </w:r>
          </w:p>
        </w:tc>
      </w:tr>
      <w:tr w:rsidR="00A92D9F" w:rsidRPr="00305CCE" w14:paraId="302BA651" w14:textId="77777777" w:rsidTr="003D3D46">
        <w:trPr>
          <w:trHeight w:val="288"/>
        </w:trPr>
        <w:tc>
          <w:tcPr>
            <w:tcW w:w="2700" w:type="dxa"/>
            <w:tcBorders>
              <w:left w:val="nil"/>
              <w:right w:val="nil"/>
            </w:tcBorders>
            <w:noWrap/>
            <w:vAlign w:val="center"/>
          </w:tcPr>
          <w:p w14:paraId="28086D9D" w14:textId="77777777" w:rsidR="00A92D9F" w:rsidRPr="00A57215" w:rsidRDefault="00A92D9F" w:rsidP="00A92D9F">
            <w:pPr>
              <w:spacing w:after="0" w:line="240" w:lineRule="auto"/>
              <w:rPr>
                <w:rFonts w:ascii="Segoe UI" w:eastAsia="Times New Roman" w:hAnsi="Segoe UI" w:cs="Segoe UI"/>
                <w:color w:val="666666"/>
                <w:sz w:val="16"/>
                <w:szCs w:val="16"/>
              </w:rPr>
            </w:pPr>
            <w:r w:rsidRPr="00A57215">
              <w:rPr>
                <w:rFonts w:ascii="Segoe UI" w:eastAsia="Times New Roman" w:hAnsi="Segoe UI" w:cs="Segoe UI"/>
                <w:color w:val="666666"/>
                <w:sz w:val="16"/>
                <w:szCs w:val="16"/>
              </w:rPr>
              <w:t>Phone Hardware</w:t>
            </w:r>
          </w:p>
        </w:tc>
        <w:tc>
          <w:tcPr>
            <w:tcW w:w="288" w:type="dxa"/>
            <w:tcBorders>
              <w:left w:val="nil"/>
              <w:right w:val="nil"/>
            </w:tcBorders>
          </w:tcPr>
          <w:p w14:paraId="6661F59A" w14:textId="77777777" w:rsidR="00A92D9F" w:rsidRPr="00892CCF" w:rsidRDefault="00A92D9F" w:rsidP="00A92D9F">
            <w:pPr>
              <w:spacing w:after="0" w:line="240" w:lineRule="auto"/>
              <w:jc w:val="right"/>
              <w:rPr>
                <w:rFonts w:ascii="Segoe UI" w:eastAsia="Times New Roman" w:hAnsi="Segoe UI" w:cs="Segoe UI"/>
                <w:b/>
                <w:bCs/>
                <w:color w:val="FF0000"/>
                <w:sz w:val="16"/>
                <w:szCs w:val="16"/>
              </w:rPr>
            </w:pPr>
          </w:p>
        </w:tc>
        <w:tc>
          <w:tcPr>
            <w:tcW w:w="1152" w:type="dxa"/>
            <w:gridSpan w:val="2"/>
            <w:tcBorders>
              <w:left w:val="nil"/>
              <w:right w:val="nil"/>
            </w:tcBorders>
            <w:vAlign w:val="center"/>
          </w:tcPr>
          <w:p w14:paraId="5717FF6B" w14:textId="77777777" w:rsidR="00A92D9F" w:rsidRPr="00A57215" w:rsidRDefault="00766303"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1,982</w:t>
            </w:r>
          </w:p>
        </w:tc>
        <w:tc>
          <w:tcPr>
            <w:tcW w:w="1152" w:type="dxa"/>
            <w:tcBorders>
              <w:left w:val="nil"/>
              <w:right w:val="nil"/>
            </w:tcBorders>
            <w:vAlign w:val="center"/>
          </w:tcPr>
          <w:p w14:paraId="4EAE89FB" w14:textId="77777777" w:rsidR="00A92D9F" w:rsidRPr="00A57215" w:rsidRDefault="00766303"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1,23</w:t>
            </w:r>
            <w:r w:rsidR="005F61DA">
              <w:rPr>
                <w:rFonts w:ascii="Segoe UI" w:eastAsia="Times New Roman" w:hAnsi="Segoe UI" w:cs="Segoe UI"/>
                <w:bCs/>
                <w:color w:val="666666"/>
                <w:sz w:val="16"/>
                <w:szCs w:val="16"/>
              </w:rPr>
              <w:t>4</w:t>
            </w:r>
          </w:p>
        </w:tc>
        <w:tc>
          <w:tcPr>
            <w:tcW w:w="1152" w:type="dxa"/>
            <w:tcBorders>
              <w:left w:val="nil"/>
              <w:right w:val="nil"/>
            </w:tcBorders>
            <w:vAlign w:val="center"/>
          </w:tcPr>
          <w:p w14:paraId="18F0416C" w14:textId="77777777" w:rsidR="00A92D9F" w:rsidRPr="00A57215" w:rsidRDefault="00766303"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sidR="00A57215" w:rsidRPr="00A57215">
              <w:rPr>
                <w:rFonts w:ascii="Segoe UI" w:eastAsia="Times New Roman" w:hAnsi="Segoe UI" w:cs="Segoe UI"/>
                <w:bCs/>
                <w:color w:val="666666"/>
                <w:sz w:val="16"/>
                <w:szCs w:val="16"/>
              </w:rPr>
              <w:t>76</w:t>
            </w:r>
            <w:r w:rsidRPr="00A57215">
              <w:rPr>
                <w:rFonts w:ascii="Segoe UI" w:eastAsia="Times New Roman" w:hAnsi="Segoe UI" w:cs="Segoe UI"/>
                <w:bCs/>
                <w:color w:val="666666"/>
                <w:sz w:val="16"/>
                <w:szCs w:val="16"/>
              </w:rPr>
              <w:t>)</w:t>
            </w:r>
          </w:p>
        </w:tc>
        <w:tc>
          <w:tcPr>
            <w:tcW w:w="1152" w:type="dxa"/>
            <w:tcBorders>
              <w:left w:val="nil"/>
              <w:right w:val="nil"/>
            </w:tcBorders>
            <w:vAlign w:val="center"/>
          </w:tcPr>
          <w:p w14:paraId="540A7A8A" w14:textId="77777777" w:rsidR="00A92D9F" w:rsidRPr="00A57215" w:rsidRDefault="00766303"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(38)%</w:t>
            </w:r>
          </w:p>
        </w:tc>
        <w:tc>
          <w:tcPr>
            <w:tcW w:w="1152" w:type="dxa"/>
            <w:gridSpan w:val="2"/>
            <w:tcBorders>
              <w:left w:val="nil"/>
              <w:right w:val="nil"/>
            </w:tcBorders>
            <w:vAlign w:val="center"/>
          </w:tcPr>
          <w:p w14:paraId="310BE3B7" w14:textId="77777777" w:rsidR="00A92D9F" w:rsidRPr="00A57215" w:rsidRDefault="00766303"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(34)%</w:t>
            </w:r>
          </w:p>
        </w:tc>
      </w:tr>
      <w:tr w:rsidR="00A92D9F" w:rsidRPr="00305CCE" w14:paraId="29647110" w14:textId="77777777" w:rsidTr="003D3D46">
        <w:trPr>
          <w:trHeight w:val="288"/>
        </w:trPr>
        <w:tc>
          <w:tcPr>
            <w:tcW w:w="2700" w:type="dxa"/>
            <w:tcBorders>
              <w:left w:val="nil"/>
              <w:bottom w:val="single" w:sz="4" w:space="0" w:color="auto"/>
              <w:right w:val="nil"/>
            </w:tcBorders>
            <w:noWrap/>
            <w:vAlign w:val="center"/>
          </w:tcPr>
          <w:p w14:paraId="15984C2B" w14:textId="77777777" w:rsidR="00A92D9F" w:rsidRPr="00A57215" w:rsidRDefault="00A92D9F" w:rsidP="00A92D9F">
            <w:pPr>
              <w:spacing w:after="0" w:line="240" w:lineRule="auto"/>
              <w:rPr>
                <w:rFonts w:ascii="Segoe UI" w:eastAsia="Times New Roman" w:hAnsi="Segoe UI" w:cs="Segoe UI"/>
                <w:color w:val="666666"/>
                <w:sz w:val="16"/>
                <w:szCs w:val="16"/>
              </w:rPr>
            </w:pPr>
            <w:r w:rsidRPr="00A57215">
              <w:rPr>
                <w:rFonts w:ascii="Segoe UI" w:eastAsia="Times New Roman" w:hAnsi="Segoe UI" w:cs="Segoe UI"/>
                <w:color w:val="666666"/>
                <w:sz w:val="16"/>
                <w:szCs w:val="16"/>
              </w:rPr>
              <w:t>Other</w:t>
            </w:r>
          </w:p>
        </w:tc>
        <w:tc>
          <w:tcPr>
            <w:tcW w:w="288" w:type="dxa"/>
            <w:tcBorders>
              <w:left w:val="nil"/>
              <w:bottom w:val="single" w:sz="4" w:space="0" w:color="auto"/>
              <w:right w:val="nil"/>
            </w:tcBorders>
          </w:tcPr>
          <w:p w14:paraId="0EAEBFD4" w14:textId="77777777" w:rsidR="00A92D9F" w:rsidRPr="00892CCF" w:rsidRDefault="00A92D9F" w:rsidP="00A92D9F">
            <w:pPr>
              <w:spacing w:after="0" w:line="240" w:lineRule="auto"/>
              <w:jc w:val="right"/>
              <w:rPr>
                <w:rFonts w:ascii="Segoe UI" w:eastAsia="Times New Roman" w:hAnsi="Segoe UI" w:cs="Segoe UI"/>
                <w:b/>
                <w:bCs/>
                <w:color w:val="FF0000"/>
                <w:sz w:val="16"/>
                <w:szCs w:val="16"/>
              </w:rPr>
            </w:pPr>
          </w:p>
        </w:tc>
        <w:tc>
          <w:tcPr>
            <w:tcW w:w="1152" w:type="dxa"/>
            <w:gridSpan w:val="2"/>
            <w:tcBorders>
              <w:left w:val="nil"/>
              <w:bottom w:val="single" w:sz="4" w:space="0" w:color="auto"/>
              <w:right w:val="nil"/>
            </w:tcBorders>
            <w:vAlign w:val="center"/>
          </w:tcPr>
          <w:p w14:paraId="6101CFF3" w14:textId="77777777" w:rsidR="00A92D9F" w:rsidRPr="00A57215" w:rsidRDefault="00A92D9F" w:rsidP="00766303">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1,</w:t>
            </w:r>
            <w:r w:rsidR="00766303" w:rsidRPr="00A57215">
              <w:rPr>
                <w:rFonts w:ascii="Segoe UI" w:eastAsia="Times New Roman" w:hAnsi="Segoe UI" w:cs="Segoe UI"/>
                <w:bCs/>
                <w:color w:val="666666"/>
                <w:sz w:val="16"/>
                <w:szCs w:val="16"/>
              </w:rPr>
              <w:t>76</w:t>
            </w:r>
            <w:r w:rsidR="005F61DA">
              <w:rPr>
                <w:rFonts w:ascii="Segoe UI" w:eastAsia="Times New Roman" w:hAnsi="Segoe UI" w:cs="Segoe UI"/>
                <w:bCs/>
                <w:color w:val="666666"/>
                <w:sz w:val="16"/>
                <w:szCs w:val="16"/>
              </w:rPr>
              <w:t>2</w:t>
            </w:r>
          </w:p>
        </w:tc>
        <w:tc>
          <w:tcPr>
            <w:tcW w:w="1152" w:type="dxa"/>
            <w:tcBorders>
              <w:left w:val="nil"/>
              <w:bottom w:val="single" w:sz="4" w:space="0" w:color="auto"/>
              <w:right w:val="nil"/>
            </w:tcBorders>
            <w:vAlign w:val="center"/>
          </w:tcPr>
          <w:p w14:paraId="1D93965D" w14:textId="77777777" w:rsidR="00A92D9F" w:rsidRPr="00A57215" w:rsidRDefault="00A92D9F"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2,</w:t>
            </w:r>
            <w:r w:rsidR="00766303" w:rsidRPr="00A57215">
              <w:rPr>
                <w:rFonts w:ascii="Segoe UI" w:eastAsia="Times New Roman" w:hAnsi="Segoe UI" w:cs="Segoe UI"/>
                <w:bCs/>
                <w:color w:val="666666"/>
                <w:sz w:val="16"/>
                <w:szCs w:val="16"/>
              </w:rPr>
              <w:t>300</w:t>
            </w:r>
          </w:p>
        </w:tc>
        <w:tc>
          <w:tcPr>
            <w:tcW w:w="1152" w:type="dxa"/>
            <w:tcBorders>
              <w:left w:val="nil"/>
              <w:bottom w:val="single" w:sz="4" w:space="0" w:color="auto"/>
              <w:right w:val="nil"/>
            </w:tcBorders>
            <w:vAlign w:val="center"/>
          </w:tcPr>
          <w:p w14:paraId="41FC35A4" w14:textId="77777777" w:rsidR="00A92D9F" w:rsidRPr="00A57215" w:rsidRDefault="00A92D9F" w:rsidP="00A57215">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sidR="00A57215" w:rsidRPr="00A57215">
              <w:rPr>
                <w:rFonts w:ascii="Segoe UI" w:eastAsia="Times New Roman" w:hAnsi="Segoe UI" w:cs="Segoe UI"/>
                <w:bCs/>
                <w:color w:val="666666"/>
                <w:sz w:val="16"/>
                <w:szCs w:val="16"/>
              </w:rPr>
              <w:t>71</w:t>
            </w:r>
            <w:r w:rsidRPr="00A57215">
              <w:rPr>
                <w:rFonts w:ascii="Segoe UI" w:eastAsia="Times New Roman" w:hAnsi="Segoe UI" w:cs="Segoe UI"/>
                <w:bCs/>
                <w:color w:val="666666"/>
                <w:sz w:val="16"/>
                <w:szCs w:val="16"/>
              </w:rPr>
              <w:t>)</w:t>
            </w:r>
          </w:p>
        </w:tc>
        <w:tc>
          <w:tcPr>
            <w:tcW w:w="1152" w:type="dxa"/>
            <w:tcBorders>
              <w:left w:val="nil"/>
              <w:bottom w:val="single" w:sz="4" w:space="0" w:color="auto"/>
              <w:right w:val="nil"/>
            </w:tcBorders>
            <w:vAlign w:val="center"/>
          </w:tcPr>
          <w:p w14:paraId="03A2B5D7" w14:textId="77777777" w:rsidR="00A92D9F" w:rsidRPr="00A57215" w:rsidRDefault="000857FD" w:rsidP="00D51F33">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3</w:t>
            </w:r>
            <w:r>
              <w:rPr>
                <w:rFonts w:ascii="Segoe UI" w:eastAsia="Times New Roman" w:hAnsi="Segoe UI" w:cs="Segoe UI"/>
                <w:bCs/>
                <w:color w:val="666666"/>
                <w:sz w:val="16"/>
                <w:szCs w:val="16"/>
              </w:rPr>
              <w:t>1</w:t>
            </w:r>
            <w:r w:rsidR="00A92D9F" w:rsidRPr="00A57215">
              <w:rPr>
                <w:rFonts w:ascii="Segoe UI" w:eastAsia="Times New Roman" w:hAnsi="Segoe UI" w:cs="Segoe UI"/>
                <w:bCs/>
                <w:color w:val="666666"/>
                <w:sz w:val="16"/>
                <w:szCs w:val="16"/>
              </w:rPr>
              <w:t>%</w:t>
            </w:r>
          </w:p>
        </w:tc>
        <w:tc>
          <w:tcPr>
            <w:tcW w:w="1152" w:type="dxa"/>
            <w:gridSpan w:val="2"/>
            <w:tcBorders>
              <w:left w:val="nil"/>
              <w:bottom w:val="single" w:sz="4" w:space="0" w:color="auto"/>
              <w:right w:val="nil"/>
            </w:tcBorders>
            <w:vAlign w:val="center"/>
          </w:tcPr>
          <w:p w14:paraId="1426A3BE" w14:textId="77777777" w:rsidR="00A92D9F" w:rsidRPr="00A57215" w:rsidRDefault="000857FD">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3</w:t>
            </w:r>
            <w:r>
              <w:rPr>
                <w:rFonts w:ascii="Segoe UI" w:eastAsia="Times New Roman" w:hAnsi="Segoe UI" w:cs="Segoe UI"/>
                <w:bCs/>
                <w:color w:val="666666"/>
                <w:sz w:val="16"/>
                <w:szCs w:val="16"/>
              </w:rPr>
              <w:t>5</w:t>
            </w:r>
            <w:r w:rsidR="00A92D9F" w:rsidRPr="00A57215">
              <w:rPr>
                <w:rFonts w:ascii="Segoe UI" w:eastAsia="Times New Roman" w:hAnsi="Segoe UI" w:cs="Segoe UI"/>
                <w:bCs/>
                <w:color w:val="666666"/>
                <w:sz w:val="16"/>
                <w:szCs w:val="16"/>
              </w:rPr>
              <w:t>%</w:t>
            </w:r>
          </w:p>
        </w:tc>
      </w:tr>
      <w:tr w:rsidR="00A92D9F" w:rsidRPr="00305CCE" w14:paraId="7B4FD167" w14:textId="77777777" w:rsidTr="003D3D46">
        <w:trPr>
          <w:trHeight w:val="288"/>
        </w:trPr>
        <w:tc>
          <w:tcPr>
            <w:tcW w:w="2700" w:type="dxa"/>
            <w:tcBorders>
              <w:top w:val="single" w:sz="4" w:space="0" w:color="auto"/>
              <w:left w:val="nil"/>
              <w:bottom w:val="single" w:sz="4" w:space="0" w:color="auto"/>
              <w:right w:val="nil"/>
            </w:tcBorders>
            <w:noWrap/>
            <w:vAlign w:val="center"/>
          </w:tcPr>
          <w:p w14:paraId="0D523FC4" w14:textId="77777777" w:rsidR="00A92D9F" w:rsidRPr="00A57215" w:rsidRDefault="00A92D9F" w:rsidP="00A92D9F">
            <w:pPr>
              <w:spacing w:after="0" w:line="240" w:lineRule="auto"/>
              <w:rPr>
                <w:rFonts w:ascii="Segoe UI" w:eastAsia="Times New Roman" w:hAnsi="Segoe UI" w:cs="Segoe UI"/>
                <w:b/>
                <w:color w:val="666666"/>
                <w:sz w:val="16"/>
                <w:szCs w:val="16"/>
              </w:rPr>
            </w:pPr>
            <w:r w:rsidRPr="00A57215">
              <w:rPr>
                <w:rFonts w:ascii="Segoe UI" w:eastAsia="Times New Roman" w:hAnsi="Segoe UI" w:cs="Segoe UI"/>
                <w:b/>
                <w:color w:val="666666"/>
                <w:sz w:val="16"/>
                <w:szCs w:val="16"/>
              </w:rPr>
              <w:t xml:space="preserve">   Total Devices and Consumer</w:t>
            </w:r>
          </w:p>
        </w:tc>
        <w:tc>
          <w:tcPr>
            <w:tcW w:w="288" w:type="dxa"/>
            <w:tcBorders>
              <w:top w:val="single" w:sz="4" w:space="0" w:color="auto"/>
              <w:left w:val="nil"/>
              <w:bottom w:val="single" w:sz="4" w:space="0" w:color="auto"/>
              <w:right w:val="nil"/>
            </w:tcBorders>
          </w:tcPr>
          <w:p w14:paraId="27650A96" w14:textId="77777777" w:rsidR="00A92D9F" w:rsidRPr="00892CCF" w:rsidRDefault="00A92D9F" w:rsidP="00A92D9F">
            <w:pPr>
              <w:spacing w:after="0" w:line="240" w:lineRule="auto"/>
              <w:jc w:val="right"/>
              <w:rPr>
                <w:rFonts w:ascii="Segoe UI" w:eastAsia="Times New Roman" w:hAnsi="Segoe UI" w:cs="Segoe UI"/>
                <w:b/>
                <w:bCs/>
                <w:color w:val="FF0000"/>
                <w:sz w:val="16"/>
                <w:szCs w:val="16"/>
              </w:rPr>
            </w:pPr>
          </w:p>
        </w:tc>
        <w:tc>
          <w:tcPr>
            <w:tcW w:w="1152" w:type="dxa"/>
            <w:gridSpan w:val="2"/>
            <w:tcBorders>
              <w:top w:val="single" w:sz="4" w:space="0" w:color="auto"/>
              <w:left w:val="nil"/>
              <w:bottom w:val="single" w:sz="4" w:space="0" w:color="auto"/>
              <w:right w:val="nil"/>
            </w:tcBorders>
            <w:vAlign w:val="center"/>
          </w:tcPr>
          <w:p w14:paraId="6A53E1CC" w14:textId="77777777" w:rsidR="00A92D9F" w:rsidRPr="00A57215" w:rsidRDefault="00BE794B" w:rsidP="00A92D9F">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00766303" w:rsidRPr="00A57215">
              <w:rPr>
                <w:rFonts w:ascii="Segoe UI" w:eastAsia="Times New Roman" w:hAnsi="Segoe UI" w:cs="Segoe UI"/>
                <w:b/>
                <w:bCs/>
                <w:color w:val="666666"/>
                <w:sz w:val="16"/>
                <w:szCs w:val="16"/>
              </w:rPr>
              <w:t>9,9</w:t>
            </w:r>
            <w:r w:rsidR="005F61DA">
              <w:rPr>
                <w:rFonts w:ascii="Segoe UI" w:eastAsia="Times New Roman" w:hAnsi="Segoe UI" w:cs="Segoe UI"/>
                <w:b/>
                <w:bCs/>
                <w:color w:val="666666"/>
                <w:sz w:val="16"/>
                <w:szCs w:val="16"/>
              </w:rPr>
              <w:t>89</w:t>
            </w:r>
          </w:p>
        </w:tc>
        <w:tc>
          <w:tcPr>
            <w:tcW w:w="1152" w:type="dxa"/>
            <w:tcBorders>
              <w:top w:val="single" w:sz="4" w:space="0" w:color="auto"/>
              <w:left w:val="nil"/>
              <w:bottom w:val="single" w:sz="4" w:space="0" w:color="auto"/>
              <w:right w:val="nil"/>
            </w:tcBorders>
            <w:vAlign w:val="center"/>
          </w:tcPr>
          <w:p w14:paraId="2F0A4FFD" w14:textId="77777777" w:rsidR="00A92D9F" w:rsidRPr="00A57215" w:rsidRDefault="00BE794B" w:rsidP="00A92D9F">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00766303" w:rsidRPr="00A57215">
              <w:rPr>
                <w:rFonts w:ascii="Segoe UI" w:eastAsia="Times New Roman" w:hAnsi="Segoe UI" w:cs="Segoe UI"/>
                <w:b/>
                <w:bCs/>
                <w:color w:val="666666"/>
                <w:sz w:val="16"/>
                <w:szCs w:val="16"/>
              </w:rPr>
              <w:t>8,700</w:t>
            </w:r>
          </w:p>
        </w:tc>
        <w:tc>
          <w:tcPr>
            <w:tcW w:w="1152" w:type="dxa"/>
            <w:tcBorders>
              <w:top w:val="single" w:sz="4" w:space="0" w:color="auto"/>
              <w:left w:val="nil"/>
              <w:bottom w:val="single" w:sz="4" w:space="0" w:color="auto"/>
              <w:right w:val="nil"/>
            </w:tcBorders>
            <w:vAlign w:val="center"/>
          </w:tcPr>
          <w:p w14:paraId="39AB6092" w14:textId="77777777" w:rsidR="00A92D9F" w:rsidRPr="00A57215" w:rsidRDefault="00BE794B" w:rsidP="00A92D9F">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00A92D9F" w:rsidRPr="00A57215">
              <w:rPr>
                <w:rFonts w:ascii="Segoe UI" w:eastAsia="Times New Roman" w:hAnsi="Segoe UI" w:cs="Segoe UI"/>
                <w:b/>
                <w:bCs/>
                <w:color w:val="666666"/>
                <w:sz w:val="16"/>
                <w:szCs w:val="16"/>
              </w:rPr>
              <w:t>(</w:t>
            </w:r>
            <w:r w:rsidR="00A57215" w:rsidRPr="00A57215">
              <w:rPr>
                <w:rFonts w:ascii="Segoe UI" w:eastAsia="Times New Roman" w:hAnsi="Segoe UI" w:cs="Segoe UI"/>
                <w:b/>
                <w:bCs/>
                <w:color w:val="666666"/>
                <w:sz w:val="16"/>
                <w:szCs w:val="16"/>
              </w:rPr>
              <w:t>272</w:t>
            </w:r>
            <w:r w:rsidR="00A92D9F" w:rsidRPr="00A57215">
              <w:rPr>
                <w:rFonts w:ascii="Segoe UI" w:eastAsia="Times New Roman" w:hAnsi="Segoe UI" w:cs="Segoe UI"/>
                <w:b/>
                <w:bCs/>
                <w:color w:val="666666"/>
                <w:sz w:val="16"/>
                <w:szCs w:val="16"/>
              </w:rPr>
              <w:t>)</w:t>
            </w:r>
          </w:p>
        </w:tc>
        <w:tc>
          <w:tcPr>
            <w:tcW w:w="1152" w:type="dxa"/>
            <w:tcBorders>
              <w:top w:val="single" w:sz="4" w:space="0" w:color="auto"/>
              <w:left w:val="nil"/>
              <w:bottom w:val="single" w:sz="4" w:space="0" w:color="auto"/>
              <w:right w:val="nil"/>
            </w:tcBorders>
            <w:vAlign w:val="center"/>
          </w:tcPr>
          <w:p w14:paraId="7EA49BB3" w14:textId="77777777" w:rsidR="00A92D9F" w:rsidRPr="00A57215" w:rsidRDefault="00766303" w:rsidP="00A92D9F">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(13)</w:t>
            </w:r>
            <w:r w:rsidR="00A92D9F" w:rsidRPr="00A57215">
              <w:rPr>
                <w:rFonts w:ascii="Segoe UI" w:eastAsia="Times New Roman" w:hAnsi="Segoe UI" w:cs="Segoe UI"/>
                <w:b/>
                <w:bCs/>
                <w:color w:val="666666"/>
                <w:sz w:val="16"/>
                <w:szCs w:val="16"/>
              </w:rPr>
              <w:t>%</w:t>
            </w:r>
          </w:p>
        </w:tc>
        <w:tc>
          <w:tcPr>
            <w:tcW w:w="1152" w:type="dxa"/>
            <w:gridSpan w:val="2"/>
            <w:tcBorders>
              <w:top w:val="single" w:sz="4" w:space="0" w:color="auto"/>
              <w:left w:val="nil"/>
              <w:bottom w:val="single" w:sz="4" w:space="0" w:color="auto"/>
              <w:right w:val="nil"/>
            </w:tcBorders>
            <w:vAlign w:val="center"/>
          </w:tcPr>
          <w:p w14:paraId="0BF619FE" w14:textId="77777777" w:rsidR="00A92D9F" w:rsidRPr="00A57215" w:rsidRDefault="00766303" w:rsidP="00A92D9F">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00A92D9F" w:rsidRPr="00A57215">
              <w:rPr>
                <w:rFonts w:ascii="Segoe UI" w:eastAsia="Times New Roman" w:hAnsi="Segoe UI" w:cs="Segoe UI"/>
                <w:b/>
                <w:bCs/>
                <w:color w:val="666666"/>
                <w:sz w:val="16"/>
                <w:szCs w:val="16"/>
              </w:rPr>
              <w:t>1</w:t>
            </w:r>
            <w:r w:rsidRPr="00A57215">
              <w:rPr>
                <w:rFonts w:ascii="Segoe UI" w:eastAsia="Times New Roman" w:hAnsi="Segoe UI" w:cs="Segoe UI"/>
                <w:b/>
                <w:bCs/>
                <w:color w:val="666666"/>
                <w:sz w:val="16"/>
                <w:szCs w:val="16"/>
              </w:rPr>
              <w:t>0)</w:t>
            </w:r>
            <w:r w:rsidR="00A92D9F" w:rsidRPr="00A57215">
              <w:rPr>
                <w:rFonts w:ascii="Segoe UI" w:eastAsia="Times New Roman" w:hAnsi="Segoe UI" w:cs="Segoe UI"/>
                <w:b/>
                <w:bCs/>
                <w:color w:val="666666"/>
                <w:sz w:val="16"/>
                <w:szCs w:val="16"/>
              </w:rPr>
              <w:t>%</w:t>
            </w:r>
          </w:p>
        </w:tc>
      </w:tr>
      <w:tr w:rsidR="00A92D9F" w:rsidRPr="00305CCE" w14:paraId="5FC5196B" w14:textId="77777777" w:rsidTr="003D3D46">
        <w:trPr>
          <w:trHeight w:val="288"/>
        </w:trPr>
        <w:tc>
          <w:tcPr>
            <w:tcW w:w="2700" w:type="dxa"/>
            <w:tcBorders>
              <w:top w:val="single" w:sz="4" w:space="0" w:color="auto"/>
              <w:left w:val="nil"/>
              <w:right w:val="nil"/>
            </w:tcBorders>
            <w:noWrap/>
            <w:vAlign w:val="center"/>
          </w:tcPr>
          <w:p w14:paraId="40215C19" w14:textId="77777777" w:rsidR="00A92D9F" w:rsidRPr="00A57215" w:rsidRDefault="00A92D9F" w:rsidP="00A92D9F">
            <w:pPr>
              <w:spacing w:after="0" w:line="240" w:lineRule="auto"/>
              <w:rPr>
                <w:rFonts w:ascii="Segoe UI" w:eastAsia="Times New Roman" w:hAnsi="Segoe UI" w:cs="Segoe UI"/>
                <w:color w:val="666666"/>
                <w:sz w:val="16"/>
                <w:szCs w:val="16"/>
              </w:rPr>
            </w:pPr>
            <w:r w:rsidRPr="00A57215">
              <w:rPr>
                <w:rFonts w:ascii="Segoe UI" w:eastAsia="Times New Roman" w:hAnsi="Segoe UI" w:cs="Segoe UI"/>
                <w:color w:val="666666"/>
                <w:sz w:val="16"/>
                <w:szCs w:val="16"/>
              </w:rPr>
              <w:t>Licensing</w:t>
            </w:r>
          </w:p>
        </w:tc>
        <w:tc>
          <w:tcPr>
            <w:tcW w:w="288" w:type="dxa"/>
            <w:tcBorders>
              <w:top w:val="single" w:sz="4" w:space="0" w:color="auto"/>
              <w:left w:val="nil"/>
              <w:right w:val="nil"/>
            </w:tcBorders>
          </w:tcPr>
          <w:p w14:paraId="5AD6F256" w14:textId="77777777" w:rsidR="00A92D9F" w:rsidRPr="00892CCF" w:rsidRDefault="00A92D9F" w:rsidP="00A92D9F">
            <w:pPr>
              <w:spacing w:after="0" w:line="240" w:lineRule="auto"/>
              <w:jc w:val="right"/>
              <w:rPr>
                <w:rFonts w:ascii="Segoe UI" w:eastAsia="Times New Roman" w:hAnsi="Segoe UI" w:cs="Segoe UI"/>
                <w:b/>
                <w:bCs/>
                <w:color w:val="FF0000"/>
                <w:sz w:val="16"/>
                <w:szCs w:val="16"/>
              </w:rPr>
            </w:pPr>
          </w:p>
        </w:tc>
        <w:tc>
          <w:tcPr>
            <w:tcW w:w="1152" w:type="dxa"/>
            <w:gridSpan w:val="2"/>
            <w:tcBorders>
              <w:top w:val="single" w:sz="4" w:space="0" w:color="auto"/>
              <w:left w:val="nil"/>
              <w:right w:val="nil"/>
            </w:tcBorders>
            <w:vAlign w:val="center"/>
          </w:tcPr>
          <w:p w14:paraId="031BC37C" w14:textId="77777777" w:rsidR="00A92D9F" w:rsidRPr="00A57215" w:rsidRDefault="00A92D9F"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1</w:t>
            </w:r>
            <w:r w:rsidR="00766303" w:rsidRPr="00A57215">
              <w:rPr>
                <w:rFonts w:ascii="Segoe UI" w:eastAsia="Times New Roman" w:hAnsi="Segoe UI" w:cs="Segoe UI"/>
                <w:bCs/>
                <w:color w:val="666666"/>
                <w:sz w:val="16"/>
                <w:szCs w:val="16"/>
              </w:rPr>
              <w:t>1</w:t>
            </w:r>
            <w:r w:rsidRPr="00A57215">
              <w:rPr>
                <w:rFonts w:ascii="Segoe UI" w:eastAsia="Times New Roman" w:hAnsi="Segoe UI" w:cs="Segoe UI"/>
                <w:bCs/>
                <w:color w:val="666666"/>
                <w:sz w:val="16"/>
                <w:szCs w:val="16"/>
              </w:rPr>
              <w:t>,</w:t>
            </w:r>
            <w:r w:rsidR="00766303" w:rsidRPr="00A57215">
              <w:rPr>
                <w:rFonts w:ascii="Segoe UI" w:eastAsia="Times New Roman" w:hAnsi="Segoe UI" w:cs="Segoe UI"/>
                <w:bCs/>
                <w:color w:val="666666"/>
                <w:sz w:val="16"/>
                <w:szCs w:val="16"/>
              </w:rPr>
              <w:t>23</w:t>
            </w:r>
            <w:r w:rsidR="005F61DA">
              <w:rPr>
                <w:rFonts w:ascii="Segoe UI" w:eastAsia="Times New Roman" w:hAnsi="Segoe UI" w:cs="Segoe UI"/>
                <w:bCs/>
                <w:color w:val="666666"/>
                <w:sz w:val="16"/>
                <w:szCs w:val="16"/>
              </w:rPr>
              <w:t>3</w:t>
            </w:r>
          </w:p>
        </w:tc>
        <w:tc>
          <w:tcPr>
            <w:tcW w:w="1152" w:type="dxa"/>
            <w:tcBorders>
              <w:top w:val="single" w:sz="4" w:space="0" w:color="auto"/>
              <w:left w:val="nil"/>
              <w:right w:val="nil"/>
            </w:tcBorders>
            <w:vAlign w:val="center"/>
          </w:tcPr>
          <w:p w14:paraId="5B271149" w14:textId="77777777" w:rsidR="00A92D9F" w:rsidRPr="00A57215" w:rsidRDefault="00A92D9F" w:rsidP="00766303">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10,</w:t>
            </w:r>
            <w:r w:rsidR="00766303" w:rsidRPr="00A57215">
              <w:rPr>
                <w:rFonts w:ascii="Segoe UI" w:eastAsia="Times New Roman" w:hAnsi="Segoe UI" w:cs="Segoe UI"/>
                <w:bCs/>
                <w:color w:val="666666"/>
                <w:sz w:val="16"/>
                <w:szCs w:val="16"/>
              </w:rPr>
              <w:t>451</w:t>
            </w:r>
          </w:p>
        </w:tc>
        <w:tc>
          <w:tcPr>
            <w:tcW w:w="1152" w:type="dxa"/>
            <w:tcBorders>
              <w:top w:val="single" w:sz="4" w:space="0" w:color="auto"/>
              <w:left w:val="nil"/>
              <w:right w:val="nil"/>
            </w:tcBorders>
            <w:vAlign w:val="center"/>
          </w:tcPr>
          <w:p w14:paraId="04CF01EE" w14:textId="77777777" w:rsidR="00A92D9F" w:rsidRPr="00A57215" w:rsidRDefault="00EF2817" w:rsidP="00766303">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sidR="00A57215" w:rsidRPr="00A57215">
              <w:rPr>
                <w:rFonts w:ascii="Segoe UI" w:eastAsia="Times New Roman" w:hAnsi="Segoe UI" w:cs="Segoe UI"/>
                <w:bCs/>
                <w:color w:val="666666"/>
                <w:sz w:val="16"/>
                <w:szCs w:val="16"/>
              </w:rPr>
              <w:t>364</w:t>
            </w:r>
            <w:r w:rsidR="00A92D9F" w:rsidRPr="00A57215">
              <w:rPr>
                <w:rFonts w:ascii="Segoe UI" w:eastAsia="Times New Roman" w:hAnsi="Segoe UI" w:cs="Segoe UI"/>
                <w:bCs/>
                <w:color w:val="666666"/>
                <w:sz w:val="16"/>
                <w:szCs w:val="16"/>
              </w:rPr>
              <w:t>)</w:t>
            </w:r>
          </w:p>
        </w:tc>
        <w:tc>
          <w:tcPr>
            <w:tcW w:w="1152" w:type="dxa"/>
            <w:tcBorders>
              <w:top w:val="single" w:sz="4" w:space="0" w:color="auto"/>
              <w:left w:val="nil"/>
              <w:right w:val="nil"/>
            </w:tcBorders>
            <w:vAlign w:val="center"/>
          </w:tcPr>
          <w:p w14:paraId="1489BADD" w14:textId="77777777" w:rsidR="00A92D9F" w:rsidRPr="00A57215" w:rsidRDefault="00A92D9F"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sidR="00766303" w:rsidRPr="00A57215">
              <w:rPr>
                <w:rFonts w:ascii="Segoe UI" w:eastAsia="Times New Roman" w:hAnsi="Segoe UI" w:cs="Segoe UI"/>
                <w:bCs/>
                <w:color w:val="666666"/>
                <w:sz w:val="16"/>
                <w:szCs w:val="16"/>
              </w:rPr>
              <w:t>7</w:t>
            </w:r>
            <w:r w:rsidRPr="00A57215">
              <w:rPr>
                <w:rFonts w:ascii="Segoe UI" w:eastAsia="Times New Roman" w:hAnsi="Segoe UI" w:cs="Segoe UI"/>
                <w:bCs/>
                <w:color w:val="666666"/>
                <w:sz w:val="16"/>
                <w:szCs w:val="16"/>
              </w:rPr>
              <w:t>)%</w:t>
            </w:r>
          </w:p>
        </w:tc>
        <w:tc>
          <w:tcPr>
            <w:tcW w:w="1152" w:type="dxa"/>
            <w:gridSpan w:val="2"/>
            <w:tcBorders>
              <w:top w:val="single" w:sz="4" w:space="0" w:color="auto"/>
              <w:left w:val="nil"/>
              <w:right w:val="nil"/>
            </w:tcBorders>
            <w:vAlign w:val="center"/>
          </w:tcPr>
          <w:p w14:paraId="02D27AFE" w14:textId="77777777" w:rsidR="00A92D9F" w:rsidRPr="00A57215" w:rsidRDefault="00A92D9F"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sidR="00766303" w:rsidRPr="00A57215">
              <w:rPr>
                <w:rFonts w:ascii="Segoe UI" w:eastAsia="Times New Roman" w:hAnsi="Segoe UI" w:cs="Segoe UI"/>
                <w:bCs/>
                <w:color w:val="666666"/>
                <w:sz w:val="16"/>
                <w:szCs w:val="16"/>
              </w:rPr>
              <w:t>4</w:t>
            </w:r>
            <w:r w:rsidRPr="00A57215">
              <w:rPr>
                <w:rFonts w:ascii="Segoe UI" w:eastAsia="Times New Roman" w:hAnsi="Segoe UI" w:cs="Segoe UI"/>
                <w:bCs/>
                <w:color w:val="666666"/>
                <w:sz w:val="16"/>
                <w:szCs w:val="16"/>
              </w:rPr>
              <w:t>)%</w:t>
            </w:r>
          </w:p>
        </w:tc>
      </w:tr>
      <w:tr w:rsidR="00A92D9F" w:rsidRPr="00305CCE" w14:paraId="06C1DDB1" w14:textId="77777777" w:rsidTr="003D3D46">
        <w:trPr>
          <w:trHeight w:val="288"/>
        </w:trPr>
        <w:tc>
          <w:tcPr>
            <w:tcW w:w="2700" w:type="dxa"/>
            <w:tcBorders>
              <w:left w:val="nil"/>
              <w:bottom w:val="single" w:sz="4" w:space="0" w:color="auto"/>
              <w:right w:val="nil"/>
            </w:tcBorders>
            <w:noWrap/>
            <w:vAlign w:val="center"/>
            <w:hideMark/>
          </w:tcPr>
          <w:p w14:paraId="276D1217" w14:textId="77777777" w:rsidR="00A92D9F" w:rsidRPr="00A57215" w:rsidRDefault="00A92D9F" w:rsidP="00A92D9F">
            <w:pPr>
              <w:spacing w:after="0" w:line="240" w:lineRule="auto"/>
              <w:rPr>
                <w:rFonts w:ascii="Segoe UI" w:eastAsia="Times New Roman" w:hAnsi="Segoe UI" w:cs="Segoe UI"/>
                <w:color w:val="666666"/>
                <w:sz w:val="16"/>
                <w:szCs w:val="16"/>
              </w:rPr>
            </w:pPr>
            <w:r w:rsidRPr="00A57215">
              <w:rPr>
                <w:rFonts w:ascii="Segoe UI" w:eastAsia="Times New Roman" w:hAnsi="Segoe UI" w:cs="Segoe UI"/>
                <w:color w:val="666666"/>
                <w:sz w:val="16"/>
                <w:szCs w:val="16"/>
              </w:rPr>
              <w:t>Other</w:t>
            </w:r>
          </w:p>
        </w:tc>
        <w:tc>
          <w:tcPr>
            <w:tcW w:w="288" w:type="dxa"/>
            <w:tcBorders>
              <w:left w:val="nil"/>
              <w:bottom w:val="single" w:sz="4" w:space="0" w:color="auto"/>
              <w:right w:val="nil"/>
            </w:tcBorders>
          </w:tcPr>
          <w:p w14:paraId="1E5BBC46" w14:textId="77777777" w:rsidR="00A92D9F" w:rsidRPr="00892CCF" w:rsidRDefault="00A92D9F" w:rsidP="00A92D9F">
            <w:pPr>
              <w:spacing w:after="0" w:line="240" w:lineRule="auto"/>
              <w:jc w:val="right"/>
              <w:rPr>
                <w:rFonts w:ascii="Segoe UI" w:eastAsia="Times New Roman" w:hAnsi="Segoe UI" w:cs="Segoe UI"/>
                <w:b/>
                <w:bCs/>
                <w:color w:val="FF0000"/>
                <w:sz w:val="16"/>
                <w:szCs w:val="16"/>
              </w:rPr>
            </w:pPr>
          </w:p>
        </w:tc>
        <w:tc>
          <w:tcPr>
            <w:tcW w:w="1152" w:type="dxa"/>
            <w:gridSpan w:val="2"/>
            <w:tcBorders>
              <w:left w:val="nil"/>
              <w:bottom w:val="single" w:sz="4" w:space="0" w:color="auto"/>
              <w:right w:val="nil"/>
            </w:tcBorders>
            <w:vAlign w:val="center"/>
          </w:tcPr>
          <w:p w14:paraId="40527A95" w14:textId="77777777" w:rsidR="00A92D9F" w:rsidRPr="00A57215" w:rsidRDefault="00766303"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2,26</w:t>
            </w:r>
            <w:r w:rsidR="005F61DA">
              <w:rPr>
                <w:rFonts w:ascii="Segoe UI" w:eastAsia="Times New Roman" w:hAnsi="Segoe UI" w:cs="Segoe UI"/>
                <w:bCs/>
                <w:color w:val="666666"/>
                <w:sz w:val="16"/>
                <w:szCs w:val="16"/>
              </w:rPr>
              <w:t>2</w:t>
            </w:r>
          </w:p>
        </w:tc>
        <w:tc>
          <w:tcPr>
            <w:tcW w:w="1152" w:type="dxa"/>
            <w:tcBorders>
              <w:left w:val="nil"/>
              <w:bottom w:val="single" w:sz="4" w:space="0" w:color="auto"/>
              <w:right w:val="nil"/>
            </w:tcBorders>
            <w:vAlign w:val="center"/>
          </w:tcPr>
          <w:p w14:paraId="373585F7" w14:textId="77777777" w:rsidR="00A92D9F" w:rsidRPr="00A57215" w:rsidRDefault="00766303"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3</w:t>
            </w:r>
            <w:r w:rsidR="00A92D9F" w:rsidRPr="00A57215">
              <w:rPr>
                <w:rFonts w:ascii="Segoe UI" w:eastAsia="Times New Roman" w:hAnsi="Segoe UI" w:cs="Segoe UI"/>
                <w:bCs/>
                <w:color w:val="666666"/>
                <w:sz w:val="16"/>
                <w:szCs w:val="16"/>
              </w:rPr>
              <w:t>,</w:t>
            </w:r>
            <w:r w:rsidRPr="00A57215">
              <w:rPr>
                <w:rFonts w:ascii="Segoe UI" w:eastAsia="Times New Roman" w:hAnsi="Segoe UI" w:cs="Segoe UI"/>
                <w:bCs/>
                <w:color w:val="666666"/>
                <w:sz w:val="16"/>
                <w:szCs w:val="16"/>
              </w:rPr>
              <w:t>07</w:t>
            </w:r>
            <w:r w:rsidR="005F61DA">
              <w:rPr>
                <w:rFonts w:ascii="Segoe UI" w:eastAsia="Times New Roman" w:hAnsi="Segoe UI" w:cs="Segoe UI"/>
                <w:bCs/>
                <w:color w:val="666666"/>
                <w:sz w:val="16"/>
                <w:szCs w:val="16"/>
              </w:rPr>
              <w:t>6</w:t>
            </w:r>
          </w:p>
        </w:tc>
        <w:tc>
          <w:tcPr>
            <w:tcW w:w="1152" w:type="dxa"/>
            <w:tcBorders>
              <w:left w:val="nil"/>
              <w:bottom w:val="single" w:sz="4" w:space="0" w:color="auto"/>
              <w:right w:val="nil"/>
            </w:tcBorders>
            <w:vAlign w:val="center"/>
          </w:tcPr>
          <w:p w14:paraId="1B61146C" w14:textId="77777777" w:rsidR="00A92D9F" w:rsidRPr="00A57215" w:rsidRDefault="00A92D9F" w:rsidP="00766303">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w:t>
            </w:r>
            <w:r w:rsidR="00A57215" w:rsidRPr="00A57215">
              <w:rPr>
                <w:rFonts w:ascii="Segoe UI" w:eastAsia="Times New Roman" w:hAnsi="Segoe UI" w:cs="Segoe UI"/>
                <w:bCs/>
                <w:color w:val="666666"/>
                <w:sz w:val="16"/>
                <w:szCs w:val="16"/>
              </w:rPr>
              <w:t>117</w:t>
            </w:r>
            <w:r w:rsidRPr="00A57215">
              <w:rPr>
                <w:rFonts w:ascii="Segoe UI" w:eastAsia="Times New Roman" w:hAnsi="Segoe UI" w:cs="Segoe UI"/>
                <w:bCs/>
                <w:color w:val="666666"/>
                <w:sz w:val="16"/>
                <w:szCs w:val="16"/>
              </w:rPr>
              <w:t>)</w:t>
            </w:r>
          </w:p>
        </w:tc>
        <w:tc>
          <w:tcPr>
            <w:tcW w:w="1152" w:type="dxa"/>
            <w:tcBorders>
              <w:left w:val="nil"/>
              <w:bottom w:val="single" w:sz="4" w:space="0" w:color="auto"/>
              <w:right w:val="nil"/>
            </w:tcBorders>
            <w:vAlign w:val="center"/>
            <w:hideMark/>
          </w:tcPr>
          <w:p w14:paraId="765935D8" w14:textId="77777777" w:rsidR="00A92D9F" w:rsidRPr="00A57215" w:rsidRDefault="00766303"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36</w:t>
            </w:r>
            <w:r w:rsidR="00A92D9F" w:rsidRPr="00A57215">
              <w:rPr>
                <w:rFonts w:ascii="Segoe UI" w:eastAsia="Times New Roman" w:hAnsi="Segoe UI" w:cs="Segoe UI"/>
                <w:bCs/>
                <w:color w:val="666666"/>
                <w:sz w:val="16"/>
                <w:szCs w:val="16"/>
              </w:rPr>
              <w:t>%</w:t>
            </w:r>
          </w:p>
        </w:tc>
        <w:tc>
          <w:tcPr>
            <w:tcW w:w="1152" w:type="dxa"/>
            <w:gridSpan w:val="2"/>
            <w:tcBorders>
              <w:left w:val="nil"/>
              <w:bottom w:val="single" w:sz="4" w:space="0" w:color="auto"/>
              <w:right w:val="nil"/>
            </w:tcBorders>
            <w:vAlign w:val="center"/>
            <w:hideMark/>
          </w:tcPr>
          <w:p w14:paraId="57738BAA" w14:textId="77777777" w:rsidR="00A92D9F" w:rsidRPr="00A57215" w:rsidRDefault="00A92D9F" w:rsidP="00A92D9F">
            <w:pPr>
              <w:spacing w:after="0" w:line="240" w:lineRule="auto"/>
              <w:jc w:val="right"/>
              <w:rPr>
                <w:rFonts w:ascii="Segoe UI" w:eastAsia="Times New Roman" w:hAnsi="Segoe UI" w:cs="Segoe UI"/>
                <w:bCs/>
                <w:color w:val="666666"/>
                <w:sz w:val="16"/>
                <w:szCs w:val="16"/>
              </w:rPr>
            </w:pPr>
            <w:r w:rsidRPr="00A57215">
              <w:rPr>
                <w:rFonts w:ascii="Segoe UI" w:eastAsia="Times New Roman" w:hAnsi="Segoe UI" w:cs="Segoe UI"/>
                <w:bCs/>
                <w:color w:val="666666"/>
                <w:sz w:val="16"/>
                <w:szCs w:val="16"/>
              </w:rPr>
              <w:t>4</w:t>
            </w:r>
            <w:r w:rsidR="00766303" w:rsidRPr="00A57215">
              <w:rPr>
                <w:rFonts w:ascii="Segoe UI" w:eastAsia="Times New Roman" w:hAnsi="Segoe UI" w:cs="Segoe UI"/>
                <w:bCs/>
                <w:color w:val="666666"/>
                <w:sz w:val="16"/>
                <w:szCs w:val="16"/>
              </w:rPr>
              <w:t>1</w:t>
            </w:r>
            <w:r w:rsidRPr="00A57215">
              <w:rPr>
                <w:rFonts w:ascii="Segoe UI" w:eastAsia="Times New Roman" w:hAnsi="Segoe UI" w:cs="Segoe UI"/>
                <w:bCs/>
                <w:color w:val="666666"/>
                <w:sz w:val="16"/>
                <w:szCs w:val="16"/>
              </w:rPr>
              <w:t>%</w:t>
            </w:r>
          </w:p>
        </w:tc>
      </w:tr>
      <w:tr w:rsidR="00A92D9F" w:rsidRPr="00305CCE" w14:paraId="6813FC81" w14:textId="77777777" w:rsidTr="003D3D46">
        <w:trPr>
          <w:trHeight w:val="288"/>
        </w:trPr>
        <w:tc>
          <w:tcPr>
            <w:tcW w:w="2700" w:type="dxa"/>
            <w:tcBorders>
              <w:top w:val="single" w:sz="4" w:space="0" w:color="auto"/>
              <w:left w:val="nil"/>
              <w:bottom w:val="single" w:sz="4" w:space="0" w:color="auto"/>
              <w:right w:val="nil"/>
            </w:tcBorders>
            <w:noWrap/>
            <w:vAlign w:val="center"/>
          </w:tcPr>
          <w:p w14:paraId="5662761D" w14:textId="77777777" w:rsidR="00A92D9F" w:rsidRPr="00A57215" w:rsidRDefault="00A92D9F" w:rsidP="00A92D9F">
            <w:pPr>
              <w:spacing w:after="0" w:line="240" w:lineRule="auto"/>
              <w:rPr>
                <w:rFonts w:ascii="Segoe UI" w:eastAsia="Times New Roman" w:hAnsi="Segoe UI" w:cs="Segoe UI"/>
                <w:b/>
                <w:color w:val="666666"/>
                <w:sz w:val="16"/>
                <w:szCs w:val="16"/>
              </w:rPr>
            </w:pPr>
            <w:r w:rsidRPr="00A57215">
              <w:rPr>
                <w:rFonts w:ascii="Segoe UI" w:eastAsia="Times New Roman" w:hAnsi="Segoe UI" w:cs="Segoe UI"/>
                <w:b/>
                <w:color w:val="666666"/>
                <w:sz w:val="16"/>
                <w:szCs w:val="16"/>
              </w:rPr>
              <w:t xml:space="preserve">   Total Commercial</w:t>
            </w:r>
          </w:p>
        </w:tc>
        <w:tc>
          <w:tcPr>
            <w:tcW w:w="288" w:type="dxa"/>
            <w:tcBorders>
              <w:top w:val="single" w:sz="4" w:space="0" w:color="auto"/>
              <w:left w:val="nil"/>
              <w:bottom w:val="single" w:sz="4" w:space="0" w:color="auto"/>
              <w:right w:val="nil"/>
            </w:tcBorders>
          </w:tcPr>
          <w:p w14:paraId="1A5A13D3" w14:textId="77777777" w:rsidR="00A92D9F" w:rsidRPr="00892CCF" w:rsidRDefault="00A92D9F" w:rsidP="00A92D9F">
            <w:pPr>
              <w:spacing w:after="0" w:line="240" w:lineRule="auto"/>
              <w:jc w:val="right"/>
              <w:rPr>
                <w:rFonts w:ascii="Segoe UI" w:eastAsia="Times New Roman" w:hAnsi="Segoe UI" w:cs="Segoe UI"/>
                <w:b/>
                <w:bCs/>
                <w:color w:val="FF0000"/>
                <w:sz w:val="16"/>
                <w:szCs w:val="16"/>
              </w:rPr>
            </w:pPr>
          </w:p>
        </w:tc>
        <w:tc>
          <w:tcPr>
            <w:tcW w:w="1152" w:type="dxa"/>
            <w:gridSpan w:val="2"/>
            <w:tcBorders>
              <w:top w:val="single" w:sz="4" w:space="0" w:color="auto"/>
              <w:left w:val="nil"/>
              <w:bottom w:val="single" w:sz="4" w:space="0" w:color="auto"/>
              <w:right w:val="nil"/>
            </w:tcBorders>
            <w:vAlign w:val="center"/>
          </w:tcPr>
          <w:p w14:paraId="0CB73E9A" w14:textId="77777777" w:rsidR="00A92D9F" w:rsidRPr="00A57215" w:rsidRDefault="00A92D9F" w:rsidP="00766303">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00766303" w:rsidRPr="00A57215">
              <w:rPr>
                <w:rFonts w:ascii="Segoe UI" w:eastAsia="Times New Roman" w:hAnsi="Segoe UI" w:cs="Segoe UI"/>
                <w:b/>
                <w:bCs/>
                <w:color w:val="666666"/>
                <w:sz w:val="16"/>
                <w:szCs w:val="16"/>
              </w:rPr>
              <w:t>13,495</w:t>
            </w:r>
          </w:p>
        </w:tc>
        <w:tc>
          <w:tcPr>
            <w:tcW w:w="1152" w:type="dxa"/>
            <w:tcBorders>
              <w:top w:val="single" w:sz="4" w:space="0" w:color="auto"/>
              <w:left w:val="nil"/>
              <w:bottom w:val="single" w:sz="4" w:space="0" w:color="auto"/>
              <w:right w:val="nil"/>
            </w:tcBorders>
            <w:vAlign w:val="center"/>
          </w:tcPr>
          <w:p w14:paraId="6CE94F38" w14:textId="77777777" w:rsidR="00A92D9F" w:rsidRPr="00A57215" w:rsidRDefault="00A92D9F" w:rsidP="00A92D9F">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$1</w:t>
            </w:r>
            <w:r w:rsidR="00766303" w:rsidRPr="00A57215">
              <w:rPr>
                <w:rFonts w:ascii="Segoe UI" w:eastAsia="Times New Roman" w:hAnsi="Segoe UI" w:cs="Segoe UI"/>
                <w:b/>
                <w:bCs/>
                <w:color w:val="666666"/>
                <w:sz w:val="16"/>
                <w:szCs w:val="16"/>
              </w:rPr>
              <w:t>3,527</w:t>
            </w:r>
          </w:p>
        </w:tc>
        <w:tc>
          <w:tcPr>
            <w:tcW w:w="1152" w:type="dxa"/>
            <w:tcBorders>
              <w:top w:val="single" w:sz="4" w:space="0" w:color="auto"/>
              <w:left w:val="nil"/>
              <w:bottom w:val="single" w:sz="4" w:space="0" w:color="auto"/>
              <w:right w:val="nil"/>
            </w:tcBorders>
            <w:vAlign w:val="center"/>
          </w:tcPr>
          <w:p w14:paraId="4D90F6CD" w14:textId="77777777" w:rsidR="00A92D9F" w:rsidRPr="00A57215" w:rsidRDefault="00EF2817" w:rsidP="00A061D5">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w:t>
            </w:r>
            <w:r w:rsidR="00A57215" w:rsidRPr="00A57215">
              <w:rPr>
                <w:rFonts w:ascii="Segoe UI" w:eastAsia="Times New Roman" w:hAnsi="Segoe UI" w:cs="Segoe UI"/>
                <w:b/>
                <w:bCs/>
                <w:color w:val="666666"/>
                <w:sz w:val="16"/>
                <w:szCs w:val="16"/>
              </w:rPr>
              <w:t>481</w:t>
            </w:r>
            <w:r w:rsidR="00A92D9F" w:rsidRPr="00A57215">
              <w:rPr>
                <w:rFonts w:ascii="Segoe UI" w:eastAsia="Times New Roman" w:hAnsi="Segoe UI" w:cs="Segoe UI"/>
                <w:b/>
                <w:bCs/>
                <w:color w:val="666666"/>
                <w:sz w:val="16"/>
                <w:szCs w:val="16"/>
              </w:rPr>
              <w:t>)</w:t>
            </w:r>
          </w:p>
        </w:tc>
        <w:tc>
          <w:tcPr>
            <w:tcW w:w="1152" w:type="dxa"/>
            <w:tcBorders>
              <w:top w:val="single" w:sz="4" w:space="0" w:color="auto"/>
              <w:left w:val="nil"/>
              <w:bottom w:val="single" w:sz="4" w:space="0" w:color="auto"/>
              <w:right w:val="nil"/>
            </w:tcBorders>
            <w:vAlign w:val="center"/>
          </w:tcPr>
          <w:p w14:paraId="4D590032" w14:textId="77777777" w:rsidR="00A92D9F" w:rsidRPr="00A57215" w:rsidRDefault="00766303" w:rsidP="00A92D9F">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0</w:t>
            </w:r>
            <w:r w:rsidR="00A92D9F" w:rsidRPr="00A57215">
              <w:rPr>
                <w:rFonts w:ascii="Segoe UI" w:eastAsia="Times New Roman" w:hAnsi="Segoe UI" w:cs="Segoe UI"/>
                <w:b/>
                <w:bCs/>
                <w:color w:val="666666"/>
                <w:sz w:val="16"/>
                <w:szCs w:val="16"/>
              </w:rPr>
              <w:t>%</w:t>
            </w:r>
          </w:p>
        </w:tc>
        <w:tc>
          <w:tcPr>
            <w:tcW w:w="1152" w:type="dxa"/>
            <w:gridSpan w:val="2"/>
            <w:tcBorders>
              <w:top w:val="single" w:sz="4" w:space="0" w:color="auto"/>
              <w:left w:val="nil"/>
              <w:bottom w:val="single" w:sz="4" w:space="0" w:color="auto"/>
              <w:right w:val="nil"/>
            </w:tcBorders>
            <w:vAlign w:val="center"/>
          </w:tcPr>
          <w:p w14:paraId="6A696351" w14:textId="77777777" w:rsidR="00A92D9F" w:rsidRPr="00A57215" w:rsidRDefault="00766303" w:rsidP="00A92D9F">
            <w:pPr>
              <w:spacing w:after="0" w:line="240" w:lineRule="auto"/>
              <w:jc w:val="right"/>
              <w:rPr>
                <w:rFonts w:ascii="Segoe UI" w:eastAsia="Times New Roman" w:hAnsi="Segoe UI" w:cs="Segoe UI"/>
                <w:b/>
                <w:bCs/>
                <w:color w:val="666666"/>
                <w:sz w:val="16"/>
                <w:szCs w:val="16"/>
              </w:rPr>
            </w:pPr>
            <w:r w:rsidRPr="00A57215">
              <w:rPr>
                <w:rFonts w:ascii="Segoe UI" w:eastAsia="Times New Roman" w:hAnsi="Segoe UI" w:cs="Segoe UI"/>
                <w:b/>
                <w:bCs/>
                <w:color w:val="666666"/>
                <w:sz w:val="16"/>
                <w:szCs w:val="16"/>
              </w:rPr>
              <w:t>4</w:t>
            </w:r>
            <w:r w:rsidR="00A92D9F" w:rsidRPr="00A57215">
              <w:rPr>
                <w:rFonts w:ascii="Segoe UI" w:eastAsia="Times New Roman" w:hAnsi="Segoe UI" w:cs="Segoe UI"/>
                <w:b/>
                <w:bCs/>
                <w:color w:val="666666"/>
                <w:sz w:val="16"/>
                <w:szCs w:val="16"/>
              </w:rPr>
              <w:t>%</w:t>
            </w:r>
          </w:p>
        </w:tc>
      </w:tr>
      <w:tr w:rsidR="002E23B2" w:rsidRPr="00305CCE" w14:paraId="583F80F3" w14:textId="77777777" w:rsidTr="003D3D46">
        <w:trPr>
          <w:trHeight w:val="288"/>
        </w:trPr>
        <w:tc>
          <w:tcPr>
            <w:tcW w:w="2700" w:type="dxa"/>
            <w:tcBorders>
              <w:top w:val="single" w:sz="4" w:space="0" w:color="auto"/>
              <w:left w:val="nil"/>
              <w:bottom w:val="single" w:sz="4" w:space="0" w:color="auto"/>
              <w:right w:val="nil"/>
            </w:tcBorders>
            <w:noWrap/>
            <w:vAlign w:val="center"/>
          </w:tcPr>
          <w:p w14:paraId="61CAD826" w14:textId="77777777" w:rsidR="002E23B2" w:rsidRPr="00066D3A" w:rsidRDefault="002E23B2" w:rsidP="00A92D9F">
            <w:pPr>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Corporate and Other</w:t>
            </w:r>
          </w:p>
        </w:tc>
        <w:tc>
          <w:tcPr>
            <w:tcW w:w="288" w:type="dxa"/>
            <w:tcBorders>
              <w:top w:val="single" w:sz="4" w:space="0" w:color="auto"/>
              <w:left w:val="nil"/>
              <w:bottom w:val="single" w:sz="4" w:space="0" w:color="auto"/>
              <w:right w:val="nil"/>
            </w:tcBorders>
          </w:tcPr>
          <w:p w14:paraId="3DD30A3D" w14:textId="77777777" w:rsidR="002E23B2" w:rsidRPr="00892CCF" w:rsidRDefault="002E23B2" w:rsidP="00A92D9F">
            <w:pPr>
              <w:spacing w:after="0" w:line="240" w:lineRule="auto"/>
              <w:jc w:val="right"/>
              <w:rPr>
                <w:rFonts w:ascii="Segoe UI" w:eastAsia="Times New Roman" w:hAnsi="Segoe UI" w:cs="Segoe UI"/>
                <w:b/>
                <w:bCs/>
                <w:color w:val="FF0000"/>
                <w:sz w:val="16"/>
                <w:szCs w:val="16"/>
              </w:rPr>
            </w:pPr>
          </w:p>
        </w:tc>
        <w:tc>
          <w:tcPr>
            <w:tcW w:w="1152" w:type="dxa"/>
            <w:gridSpan w:val="2"/>
            <w:tcBorders>
              <w:top w:val="single" w:sz="4" w:space="0" w:color="auto"/>
              <w:left w:val="nil"/>
              <w:bottom w:val="single" w:sz="4" w:space="0" w:color="auto"/>
              <w:right w:val="nil"/>
            </w:tcBorders>
            <w:vAlign w:val="center"/>
          </w:tcPr>
          <w:p w14:paraId="643C973B" w14:textId="77777777" w:rsidR="002E23B2" w:rsidRPr="00066D3A" w:rsidRDefault="002E23B2" w:rsidP="00766303">
            <w:pPr>
              <w:spacing w:after="0" w:line="240" w:lineRule="auto"/>
              <w:jc w:val="right"/>
              <w:rPr>
                <w:rFonts w:ascii="Segoe UI" w:eastAsia="Times New Roman" w:hAnsi="Segoe UI" w:cs="Segoe UI"/>
                <w:bCs/>
                <w:color w:val="666666"/>
                <w:sz w:val="16"/>
                <w:szCs w:val="16"/>
              </w:rPr>
            </w:pPr>
            <w:r>
              <w:rPr>
                <w:rFonts w:ascii="Segoe UI" w:eastAsia="Times New Roman" w:hAnsi="Segoe UI" w:cs="Segoe UI"/>
                <w:bCs/>
                <w:color w:val="666666"/>
                <w:sz w:val="16"/>
                <w:szCs w:val="16"/>
              </w:rPr>
              <w:t>(102)</w:t>
            </w:r>
          </w:p>
        </w:tc>
        <w:tc>
          <w:tcPr>
            <w:tcW w:w="1152" w:type="dxa"/>
            <w:tcBorders>
              <w:top w:val="single" w:sz="4" w:space="0" w:color="auto"/>
              <w:left w:val="nil"/>
              <w:bottom w:val="single" w:sz="4" w:space="0" w:color="auto"/>
              <w:right w:val="nil"/>
            </w:tcBorders>
            <w:vAlign w:val="center"/>
          </w:tcPr>
          <w:p w14:paraId="0382A0CF" w14:textId="77777777" w:rsidR="002E23B2" w:rsidRPr="00066D3A" w:rsidRDefault="002E23B2" w:rsidP="00A92D9F">
            <w:pPr>
              <w:spacing w:after="0" w:line="240" w:lineRule="auto"/>
              <w:jc w:val="right"/>
              <w:rPr>
                <w:rFonts w:ascii="Segoe UI" w:eastAsia="Times New Roman" w:hAnsi="Segoe UI" w:cs="Segoe UI"/>
                <w:bCs/>
                <w:color w:val="666666"/>
                <w:sz w:val="16"/>
                <w:szCs w:val="16"/>
              </w:rPr>
            </w:pPr>
            <w:r w:rsidRPr="00066D3A">
              <w:rPr>
                <w:rFonts w:ascii="Segoe UI" w:eastAsia="Times New Roman" w:hAnsi="Segoe UI" w:cs="Segoe UI"/>
                <w:bCs/>
                <w:color w:val="666666"/>
                <w:sz w:val="16"/>
                <w:szCs w:val="16"/>
              </w:rPr>
              <w:t>(47)</w:t>
            </w:r>
          </w:p>
        </w:tc>
        <w:tc>
          <w:tcPr>
            <w:tcW w:w="1152" w:type="dxa"/>
            <w:tcBorders>
              <w:top w:val="single" w:sz="4" w:space="0" w:color="auto"/>
              <w:left w:val="nil"/>
              <w:bottom w:val="single" w:sz="4" w:space="0" w:color="auto"/>
              <w:right w:val="nil"/>
            </w:tcBorders>
            <w:vAlign w:val="center"/>
          </w:tcPr>
          <w:p w14:paraId="455FC7AB" w14:textId="77777777" w:rsidR="002E23B2" w:rsidRPr="00066D3A" w:rsidRDefault="002E23B2" w:rsidP="00A061D5">
            <w:pPr>
              <w:spacing w:after="0" w:line="240" w:lineRule="auto"/>
              <w:jc w:val="right"/>
              <w:rPr>
                <w:rFonts w:ascii="Segoe UI" w:eastAsia="Times New Roman" w:hAnsi="Segoe UI" w:cs="Segoe UI"/>
                <w:bCs/>
                <w:color w:val="666666"/>
                <w:sz w:val="16"/>
                <w:szCs w:val="16"/>
              </w:rPr>
            </w:pPr>
            <w:r w:rsidRPr="00066D3A">
              <w:rPr>
                <w:rFonts w:ascii="Segoe UI" w:eastAsia="Times New Roman" w:hAnsi="Segoe UI" w:cs="Segoe UI"/>
                <w:bCs/>
                <w:color w:val="666666"/>
                <w:sz w:val="16"/>
                <w:szCs w:val="16"/>
              </w:rPr>
              <w:t>0</w:t>
            </w:r>
          </w:p>
        </w:tc>
        <w:tc>
          <w:tcPr>
            <w:tcW w:w="1152" w:type="dxa"/>
            <w:tcBorders>
              <w:top w:val="single" w:sz="4" w:space="0" w:color="auto"/>
              <w:left w:val="nil"/>
              <w:bottom w:val="single" w:sz="4" w:space="0" w:color="auto"/>
              <w:right w:val="nil"/>
            </w:tcBorders>
            <w:vAlign w:val="center"/>
          </w:tcPr>
          <w:p w14:paraId="067BB3E1" w14:textId="77777777" w:rsidR="002E23B2" w:rsidRPr="00066D3A" w:rsidRDefault="002E23B2" w:rsidP="00A92D9F">
            <w:pPr>
              <w:spacing w:after="0" w:line="240" w:lineRule="auto"/>
              <w:jc w:val="right"/>
              <w:rPr>
                <w:rFonts w:ascii="Segoe UI" w:eastAsia="Times New Roman" w:hAnsi="Segoe UI" w:cs="Segoe UI"/>
                <w:bCs/>
                <w:color w:val="666666"/>
                <w:sz w:val="16"/>
                <w:szCs w:val="16"/>
              </w:rPr>
            </w:pPr>
            <w:r w:rsidRPr="00066D3A">
              <w:rPr>
                <w:rFonts w:ascii="Segoe UI" w:eastAsia="Times New Roman" w:hAnsi="Segoe UI" w:cs="Segoe UI"/>
                <w:bCs/>
                <w:color w:val="666666"/>
                <w:sz w:val="16"/>
                <w:szCs w:val="16"/>
              </w:rPr>
              <w:t>54%</w:t>
            </w:r>
          </w:p>
        </w:tc>
        <w:tc>
          <w:tcPr>
            <w:tcW w:w="1152" w:type="dxa"/>
            <w:gridSpan w:val="2"/>
            <w:tcBorders>
              <w:top w:val="single" w:sz="4" w:space="0" w:color="auto"/>
              <w:left w:val="nil"/>
              <w:bottom w:val="single" w:sz="4" w:space="0" w:color="auto"/>
              <w:right w:val="nil"/>
            </w:tcBorders>
            <w:vAlign w:val="center"/>
          </w:tcPr>
          <w:p w14:paraId="52B08086" w14:textId="77777777" w:rsidR="002E23B2" w:rsidRPr="00066D3A" w:rsidRDefault="002E23B2" w:rsidP="00A92D9F">
            <w:pPr>
              <w:spacing w:after="0" w:line="240" w:lineRule="auto"/>
              <w:jc w:val="right"/>
              <w:rPr>
                <w:rFonts w:ascii="Segoe UI" w:eastAsia="Times New Roman" w:hAnsi="Segoe UI" w:cs="Segoe UI"/>
                <w:bCs/>
                <w:color w:val="666666"/>
                <w:sz w:val="16"/>
                <w:szCs w:val="16"/>
              </w:rPr>
            </w:pPr>
            <w:r w:rsidRPr="00066D3A">
              <w:rPr>
                <w:rFonts w:ascii="Segoe UI" w:eastAsia="Times New Roman" w:hAnsi="Segoe UI" w:cs="Segoe UI"/>
                <w:bCs/>
                <w:color w:val="666666"/>
                <w:sz w:val="16"/>
                <w:szCs w:val="16"/>
              </w:rPr>
              <w:t>54%</w:t>
            </w:r>
          </w:p>
        </w:tc>
      </w:tr>
      <w:tr w:rsidR="002E23B2" w:rsidRPr="00305CCE" w14:paraId="70F2FF12" w14:textId="77777777" w:rsidTr="003D3D46">
        <w:trPr>
          <w:trHeight w:val="288"/>
        </w:trPr>
        <w:tc>
          <w:tcPr>
            <w:tcW w:w="2700" w:type="dxa"/>
            <w:tcBorders>
              <w:top w:val="single" w:sz="4" w:space="0" w:color="auto"/>
              <w:left w:val="nil"/>
              <w:bottom w:val="single" w:sz="4" w:space="0" w:color="auto"/>
              <w:right w:val="nil"/>
            </w:tcBorders>
            <w:noWrap/>
            <w:vAlign w:val="center"/>
          </w:tcPr>
          <w:p w14:paraId="1742D62D" w14:textId="77777777" w:rsidR="002E23B2" w:rsidRPr="00066D3A" w:rsidRDefault="002E23B2" w:rsidP="00A92D9F">
            <w:pPr>
              <w:spacing w:after="0" w:line="240" w:lineRule="auto"/>
              <w:rPr>
                <w:rFonts w:ascii="Segoe UI" w:eastAsia="Times New Roman" w:hAnsi="Segoe UI" w:cs="Segoe UI"/>
                <w:b/>
                <w:color w:val="666666"/>
                <w:sz w:val="16"/>
                <w:szCs w:val="16"/>
              </w:rPr>
            </w:pPr>
            <w:r>
              <w:rPr>
                <w:rFonts w:ascii="Segoe UI" w:eastAsia="Times New Roman" w:hAnsi="Segoe UI" w:cs="Segoe UI"/>
                <w:color w:val="666666"/>
                <w:sz w:val="16"/>
                <w:szCs w:val="16"/>
              </w:rPr>
              <w:t xml:space="preserve">  </w:t>
            </w:r>
            <w:r>
              <w:rPr>
                <w:rFonts w:ascii="Segoe UI" w:eastAsia="Times New Roman" w:hAnsi="Segoe UI" w:cs="Segoe UI"/>
                <w:b/>
                <w:color w:val="666666"/>
                <w:sz w:val="16"/>
                <w:szCs w:val="16"/>
              </w:rPr>
              <w:t>Total Revenue</w:t>
            </w:r>
          </w:p>
        </w:tc>
        <w:tc>
          <w:tcPr>
            <w:tcW w:w="288" w:type="dxa"/>
            <w:tcBorders>
              <w:top w:val="single" w:sz="4" w:space="0" w:color="auto"/>
              <w:left w:val="nil"/>
              <w:bottom w:val="single" w:sz="4" w:space="0" w:color="auto"/>
              <w:right w:val="nil"/>
            </w:tcBorders>
          </w:tcPr>
          <w:p w14:paraId="7A1F4566" w14:textId="77777777" w:rsidR="002E23B2" w:rsidRPr="00892CCF" w:rsidRDefault="002E23B2" w:rsidP="00A92D9F">
            <w:pPr>
              <w:spacing w:after="0" w:line="240" w:lineRule="auto"/>
              <w:jc w:val="right"/>
              <w:rPr>
                <w:rFonts w:ascii="Segoe UI" w:eastAsia="Times New Roman" w:hAnsi="Segoe UI" w:cs="Segoe UI"/>
                <w:b/>
                <w:bCs/>
                <w:color w:val="FF0000"/>
                <w:sz w:val="16"/>
                <w:szCs w:val="16"/>
              </w:rPr>
            </w:pPr>
          </w:p>
        </w:tc>
        <w:tc>
          <w:tcPr>
            <w:tcW w:w="1152" w:type="dxa"/>
            <w:gridSpan w:val="2"/>
            <w:tcBorders>
              <w:top w:val="single" w:sz="4" w:space="0" w:color="auto"/>
              <w:left w:val="nil"/>
              <w:bottom w:val="single" w:sz="4" w:space="0" w:color="auto"/>
              <w:right w:val="nil"/>
            </w:tcBorders>
            <w:vAlign w:val="center"/>
          </w:tcPr>
          <w:p w14:paraId="1CB65E15" w14:textId="77777777" w:rsidR="002E23B2" w:rsidRPr="00066D3A" w:rsidRDefault="002E23B2" w:rsidP="00766303">
            <w:pPr>
              <w:spacing w:after="0" w:line="240" w:lineRule="auto"/>
              <w:jc w:val="right"/>
              <w:rPr>
                <w:rFonts w:ascii="Segoe UI" w:eastAsia="Times New Roman" w:hAnsi="Segoe UI" w:cs="Segoe UI"/>
                <w:b/>
                <w:bCs/>
                <w:color w:val="666666"/>
                <w:sz w:val="16"/>
                <w:szCs w:val="16"/>
              </w:rPr>
            </w:pPr>
            <w:r w:rsidRPr="00066D3A">
              <w:rPr>
                <w:rFonts w:ascii="Segoe UI" w:eastAsia="Times New Roman" w:hAnsi="Segoe UI" w:cs="Segoe UI"/>
                <w:b/>
                <w:bCs/>
                <w:color w:val="666666"/>
                <w:sz w:val="16"/>
                <w:szCs w:val="16"/>
              </w:rPr>
              <w:t>$23,382</w:t>
            </w:r>
          </w:p>
        </w:tc>
        <w:tc>
          <w:tcPr>
            <w:tcW w:w="1152" w:type="dxa"/>
            <w:tcBorders>
              <w:top w:val="single" w:sz="4" w:space="0" w:color="auto"/>
              <w:left w:val="nil"/>
              <w:bottom w:val="single" w:sz="4" w:space="0" w:color="auto"/>
              <w:right w:val="nil"/>
            </w:tcBorders>
            <w:vAlign w:val="center"/>
          </w:tcPr>
          <w:p w14:paraId="1B440135" w14:textId="77777777" w:rsidR="002E23B2" w:rsidRPr="00A57215" w:rsidRDefault="002E23B2" w:rsidP="00A92D9F">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$22,180</w:t>
            </w:r>
          </w:p>
        </w:tc>
        <w:tc>
          <w:tcPr>
            <w:tcW w:w="1152" w:type="dxa"/>
            <w:tcBorders>
              <w:top w:val="single" w:sz="4" w:space="0" w:color="auto"/>
              <w:left w:val="nil"/>
              <w:bottom w:val="single" w:sz="4" w:space="0" w:color="auto"/>
              <w:right w:val="nil"/>
            </w:tcBorders>
            <w:vAlign w:val="center"/>
          </w:tcPr>
          <w:p w14:paraId="1AEEFCDD" w14:textId="77777777" w:rsidR="002E23B2" w:rsidRPr="00A57215" w:rsidRDefault="002E23B2" w:rsidP="00A061D5">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$(753)</w:t>
            </w:r>
          </w:p>
        </w:tc>
        <w:tc>
          <w:tcPr>
            <w:tcW w:w="1152" w:type="dxa"/>
            <w:tcBorders>
              <w:top w:val="single" w:sz="4" w:space="0" w:color="auto"/>
              <w:left w:val="nil"/>
              <w:bottom w:val="single" w:sz="4" w:space="0" w:color="auto"/>
              <w:right w:val="nil"/>
            </w:tcBorders>
            <w:vAlign w:val="center"/>
          </w:tcPr>
          <w:p w14:paraId="5D675D03" w14:textId="77777777" w:rsidR="002E23B2" w:rsidRPr="00A57215" w:rsidRDefault="002E23B2" w:rsidP="00A92D9F">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w:t>
            </w:r>
          </w:p>
        </w:tc>
        <w:tc>
          <w:tcPr>
            <w:tcW w:w="1152" w:type="dxa"/>
            <w:gridSpan w:val="2"/>
            <w:tcBorders>
              <w:top w:val="single" w:sz="4" w:space="0" w:color="auto"/>
              <w:left w:val="nil"/>
              <w:bottom w:val="single" w:sz="4" w:space="0" w:color="auto"/>
              <w:right w:val="nil"/>
            </w:tcBorders>
            <w:vAlign w:val="center"/>
          </w:tcPr>
          <w:p w14:paraId="616814CE" w14:textId="77777777" w:rsidR="002E23B2" w:rsidRPr="00A57215" w:rsidRDefault="002E23B2" w:rsidP="00A92D9F">
            <w:pPr>
              <w:spacing w:after="0" w:line="240" w:lineRule="auto"/>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w:t>
            </w:r>
          </w:p>
        </w:tc>
      </w:tr>
    </w:tbl>
    <w:p w14:paraId="35304662" w14:textId="77777777" w:rsidR="009F6692" w:rsidRDefault="009F6692" w:rsidP="009F6692">
      <w:pPr>
        <w:pStyle w:val="NoSpacing"/>
        <w:spacing w:after="200" w:line="280" w:lineRule="exact"/>
        <w:rPr>
          <w:rFonts w:ascii="Segoe UI" w:eastAsia="Times New Roman" w:hAnsi="Segoe UI" w:cs="Segoe UI"/>
          <w:b/>
          <w:bCs/>
          <w:color w:val="666666"/>
          <w:sz w:val="20"/>
          <w:szCs w:val="20"/>
        </w:rPr>
      </w:pPr>
    </w:p>
    <w:p w14:paraId="1808E65C" w14:textId="77777777" w:rsidR="00B25AB2" w:rsidRPr="009F6692" w:rsidRDefault="00B25AB2" w:rsidP="009F6692">
      <w:pPr>
        <w:pStyle w:val="NoSpacing"/>
        <w:spacing w:after="200" w:line="280" w:lineRule="exact"/>
        <w:rPr>
          <w:rFonts w:ascii="Segoe UI" w:eastAsia="Times New Roman" w:hAnsi="Segoe UI" w:cs="Segoe UI"/>
          <w:b/>
          <w:bCs/>
          <w:color w:val="666666"/>
          <w:sz w:val="20"/>
          <w:szCs w:val="20"/>
        </w:rPr>
      </w:pPr>
      <w:r w:rsidRPr="009F6692">
        <w:rPr>
          <w:rFonts w:ascii="Segoe UI" w:eastAsia="Times New Roman" w:hAnsi="Segoe UI" w:cs="Segoe UI"/>
          <w:b/>
          <w:bCs/>
          <w:color w:val="666666"/>
          <w:sz w:val="20"/>
          <w:szCs w:val="20"/>
        </w:rPr>
        <w:t>About Microsoft</w:t>
      </w:r>
    </w:p>
    <w:p w14:paraId="287A1936" w14:textId="77777777" w:rsidR="00500DB8" w:rsidRPr="003F54C5" w:rsidRDefault="00500DB8" w:rsidP="003F54C5">
      <w:pPr>
        <w:pStyle w:val="NoSpacing"/>
        <w:spacing w:after="200" w:line="280" w:lineRule="exact"/>
        <w:rPr>
          <w:rFonts w:ascii="Segoe UI" w:hAnsi="Segoe UI" w:cs="Segoe UI"/>
          <w:color w:val="666666"/>
          <w:sz w:val="20"/>
          <w:szCs w:val="20"/>
        </w:rPr>
      </w:pPr>
      <w:r w:rsidRPr="003F54C5">
        <w:rPr>
          <w:rFonts w:ascii="Segoe UI" w:hAnsi="Segoe UI" w:cs="Segoe UI"/>
          <w:color w:val="666666"/>
          <w:sz w:val="20"/>
          <w:szCs w:val="20"/>
        </w:rPr>
        <w:t xml:space="preserve">Microsoft (Nasdaq “MSFT” @microsoft) is the leading platform and productivity company for the mobile-first, cloud-first world and its mission is to empower every person and every organization on the planet to achieve more. </w:t>
      </w:r>
    </w:p>
    <w:p w14:paraId="6F25F286" w14:textId="77777777" w:rsidR="00B25AB2" w:rsidRPr="009F6692" w:rsidRDefault="00B25AB2" w:rsidP="00B25AB2">
      <w:pPr>
        <w:pStyle w:val="NoSpacing"/>
        <w:spacing w:after="200" w:line="280" w:lineRule="exact"/>
        <w:rPr>
          <w:rFonts w:ascii="Segoe UI" w:eastAsia="Times New Roman" w:hAnsi="Segoe UI" w:cs="Segoe UI"/>
          <w:b/>
          <w:bCs/>
          <w:color w:val="666666"/>
          <w:sz w:val="20"/>
          <w:szCs w:val="20"/>
        </w:rPr>
      </w:pPr>
      <w:r w:rsidRPr="009F6692">
        <w:rPr>
          <w:rFonts w:ascii="Segoe UI" w:eastAsia="Times New Roman" w:hAnsi="Segoe UI" w:cs="Segoe UI"/>
          <w:b/>
          <w:bCs/>
          <w:color w:val="666666"/>
          <w:sz w:val="20"/>
          <w:szCs w:val="20"/>
        </w:rPr>
        <w:t>Forward-Looking Statements</w:t>
      </w:r>
    </w:p>
    <w:p w14:paraId="1DD5EA94" w14:textId="77777777" w:rsidR="00B25AB2" w:rsidRPr="00EA786C" w:rsidRDefault="00B25AB2" w:rsidP="00B25AB2">
      <w:pPr>
        <w:pStyle w:val="NoSpacing"/>
        <w:spacing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3294F8D2"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intense competition in all of Microsoft’s markets;</w:t>
      </w:r>
    </w:p>
    <w:p w14:paraId="181A6DF4"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increasing focus on services presents execution and competitive risks;</w:t>
      </w:r>
    </w:p>
    <w:p w14:paraId="48F8DF10"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significant investments in new products and services that may not be profitable;</w:t>
      </w:r>
    </w:p>
    <w:p w14:paraId="0E925636"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acquisitions, joint ventures, and strategic alliances may have an adverse effect on our business;</w:t>
      </w:r>
    </w:p>
    <w:p w14:paraId="1F021097"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impairment of goodwill or amortizable intangible assets causing a significant charge to earnings;</w:t>
      </w:r>
    </w:p>
    <w:p w14:paraId="2D432276"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Microsoft’s continued ability to protect and earn revenues from its intellectual property rights;</w:t>
      </w:r>
    </w:p>
    <w:p w14:paraId="038DC5CA"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claims that Microsoft has infringed the intellectual property rights of others;</w:t>
      </w:r>
    </w:p>
    <w:p w14:paraId="70E97D58"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the possibility of unauthorized disclosure of significant portions of Microsoft’s source code;</w:t>
      </w:r>
    </w:p>
    <w:p w14:paraId="487A8431"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cyber-attacks and security vulnerabilities in Microsoft products and services that could reduce revenue or lead to liability;</w:t>
      </w:r>
    </w:p>
    <w:p w14:paraId="1F2E22F2"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 xml:space="preserve">disclosure of personal data that could cause liability and harm to Microsoft’s reputation; </w:t>
      </w:r>
    </w:p>
    <w:p w14:paraId="47FF5AE8"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outages, data losses, and disruptions of our online services if we fail to maintain an adequate operations infrastructure;</w:t>
      </w:r>
    </w:p>
    <w:p w14:paraId="2A4F4A94"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government litigation and regulation that may limit how Microsoft designs and markets its products;</w:t>
      </w:r>
    </w:p>
    <w:p w14:paraId="3EECD081"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potential liability under trade protection and anti-corruption laws resulting from our international operations;</w:t>
      </w:r>
    </w:p>
    <w:p w14:paraId="1E07BC4F"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Microsoft’s ability to attract and retain talented employees;</w:t>
      </w:r>
    </w:p>
    <w:p w14:paraId="29CFD534"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adverse results in legal disputes;</w:t>
      </w:r>
    </w:p>
    <w:p w14:paraId="2532EFB4"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unanticipated tax liabilities;</w:t>
      </w:r>
    </w:p>
    <w:p w14:paraId="2E228EA1"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Microsoft’s hardware and software products may experience quality or supply problems;</w:t>
      </w:r>
    </w:p>
    <w:p w14:paraId="7EC67FD7"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exposure to increased economic and operational uncertainties from operating a global business;</w:t>
      </w:r>
    </w:p>
    <w:p w14:paraId="202354A4"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catastrophic events or geo-political conditions may disrupt our business; and</w:t>
      </w:r>
    </w:p>
    <w:p w14:paraId="0672E309" w14:textId="77777777" w:rsidR="00B25AB2" w:rsidRPr="00EA786C" w:rsidRDefault="00B25AB2" w:rsidP="00B25AB2">
      <w:pPr>
        <w:pStyle w:val="NoSpacing"/>
        <w:numPr>
          <w:ilvl w:val="0"/>
          <w:numId w:val="1"/>
        </w:numPr>
        <w:spacing w:before="120" w:after="120" w:line="280" w:lineRule="exact"/>
        <w:rPr>
          <w:rFonts w:ascii="Segoe UI" w:hAnsi="Segoe UI" w:cs="Segoe UI"/>
          <w:color w:val="666666"/>
          <w:sz w:val="20"/>
          <w:szCs w:val="20"/>
        </w:rPr>
      </w:pPr>
      <w:r w:rsidRPr="00EA786C">
        <w:rPr>
          <w:rFonts w:ascii="Segoe UI" w:hAnsi="Segoe UI" w:cs="Segoe UI"/>
          <w:color w:val="666666"/>
          <w:sz w:val="20"/>
          <w:szCs w:val="20"/>
        </w:rPr>
        <w:t>adverse economic or market conditions may harm our business.</w:t>
      </w:r>
    </w:p>
    <w:p w14:paraId="007C8061" w14:textId="77777777" w:rsidR="00B25AB2" w:rsidRPr="00EA786C" w:rsidRDefault="00B25AB2" w:rsidP="00B25AB2">
      <w:pPr>
        <w:pStyle w:val="NoSpacing"/>
        <w:spacing w:before="240"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2" w:tgtFrame="_blank" w:history="1">
        <w:r w:rsidRPr="00EA786C">
          <w:rPr>
            <w:color w:val="666666"/>
          </w:rPr>
          <w:t>http://www.microsoft.com/investor</w:t>
        </w:r>
      </w:hyperlink>
      <w:r w:rsidRPr="00EA786C">
        <w:rPr>
          <w:rFonts w:ascii="Segoe UI" w:hAnsi="Segoe UI" w:cs="Segoe UI"/>
          <w:color w:val="666666"/>
          <w:sz w:val="20"/>
          <w:szCs w:val="20"/>
        </w:rPr>
        <w:t>.</w:t>
      </w:r>
    </w:p>
    <w:p w14:paraId="4355ADE1" w14:textId="77777777" w:rsidR="00B25AB2" w:rsidRPr="00EA786C" w:rsidRDefault="00B25AB2" w:rsidP="00B25AB2">
      <w:pPr>
        <w:pStyle w:val="NoSpacing"/>
        <w:spacing w:before="240"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All information in this release is as of </w:t>
      </w:r>
      <w:r w:rsidR="003F54C5">
        <w:rPr>
          <w:rFonts w:ascii="Segoe UI" w:hAnsi="Segoe UI" w:cs="Segoe UI"/>
          <w:color w:val="666666"/>
          <w:sz w:val="20"/>
          <w:szCs w:val="20"/>
        </w:rPr>
        <w:t>July 21</w:t>
      </w:r>
      <w:r w:rsidR="007944BB" w:rsidRPr="00EA786C">
        <w:rPr>
          <w:rFonts w:ascii="Segoe UI" w:hAnsi="Segoe UI" w:cs="Segoe UI"/>
          <w:color w:val="666666"/>
          <w:sz w:val="20"/>
          <w:szCs w:val="20"/>
        </w:rPr>
        <w:t xml:space="preserve">, </w:t>
      </w:r>
      <w:r w:rsidRPr="00EA786C">
        <w:rPr>
          <w:rFonts w:ascii="Segoe UI" w:hAnsi="Segoe UI" w:cs="Segoe UI"/>
          <w:color w:val="666666"/>
          <w:sz w:val="20"/>
          <w:szCs w:val="20"/>
        </w:rPr>
        <w:t>2015. The company undertakes no duty to update any forward-looking statement to conform the statement to actual results or changes in the company’s expectations.</w:t>
      </w:r>
    </w:p>
    <w:p w14:paraId="48FC63C3" w14:textId="77777777" w:rsidR="00B25AB2" w:rsidRPr="00C05196" w:rsidRDefault="00B25AB2" w:rsidP="00B25AB2">
      <w:pPr>
        <w:pStyle w:val="NoSpacing"/>
        <w:spacing w:line="280" w:lineRule="exact"/>
        <w:rPr>
          <w:rFonts w:ascii="Segoe UI" w:hAnsi="Segoe UI" w:cs="Segoe UI"/>
          <w:b/>
          <w:sz w:val="20"/>
          <w:szCs w:val="20"/>
        </w:rPr>
      </w:pPr>
      <w:r w:rsidRPr="00C05196">
        <w:rPr>
          <w:rFonts w:ascii="Segoe UI" w:hAnsi="Segoe UI" w:cs="Segoe UI"/>
          <w:b/>
          <w:sz w:val="20"/>
          <w:szCs w:val="20"/>
        </w:rPr>
        <w:t xml:space="preserve">For more information, press only: </w:t>
      </w:r>
    </w:p>
    <w:p w14:paraId="158BF8AC" w14:textId="77777777" w:rsidR="00B25AB2" w:rsidRPr="00EA786C" w:rsidRDefault="00B25AB2" w:rsidP="00EA786C">
      <w:pPr>
        <w:pStyle w:val="NoSpacing"/>
        <w:spacing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Rapid Response Team, Waggener Edstrom Worldwide, (503) 443-7070, </w:t>
      </w:r>
      <w:hyperlink r:id="rId13" w:history="1">
        <w:r w:rsidRPr="00EA786C">
          <w:rPr>
            <w:color w:val="666666"/>
          </w:rPr>
          <w:t>rrt@waggeneredstrom.com</w:t>
        </w:r>
      </w:hyperlink>
    </w:p>
    <w:p w14:paraId="35CFA73E" w14:textId="77777777" w:rsidR="00B25AB2" w:rsidRPr="00C05196" w:rsidRDefault="00B25AB2" w:rsidP="00B25AB2">
      <w:pPr>
        <w:pStyle w:val="NoSpacing"/>
        <w:spacing w:line="280" w:lineRule="exact"/>
        <w:rPr>
          <w:rFonts w:ascii="Segoe UI" w:hAnsi="Segoe UI" w:cs="Segoe UI"/>
          <w:b/>
          <w:sz w:val="20"/>
          <w:szCs w:val="20"/>
        </w:rPr>
      </w:pPr>
    </w:p>
    <w:p w14:paraId="7A4FB74F" w14:textId="77777777" w:rsidR="00B25AB2" w:rsidRPr="00C05196" w:rsidRDefault="00B25AB2" w:rsidP="00B25AB2">
      <w:pPr>
        <w:pStyle w:val="NoSpacing"/>
        <w:spacing w:line="280" w:lineRule="exact"/>
        <w:rPr>
          <w:rFonts w:ascii="Segoe UI" w:hAnsi="Segoe UI" w:cs="Segoe UI"/>
          <w:b/>
          <w:sz w:val="20"/>
          <w:szCs w:val="20"/>
        </w:rPr>
      </w:pPr>
      <w:r w:rsidRPr="00C05196">
        <w:rPr>
          <w:rFonts w:ascii="Segoe UI" w:hAnsi="Segoe UI" w:cs="Segoe UI"/>
          <w:b/>
          <w:sz w:val="20"/>
          <w:szCs w:val="20"/>
        </w:rPr>
        <w:t xml:space="preserve">For more information, financial analysts and investors only: </w:t>
      </w:r>
    </w:p>
    <w:p w14:paraId="5F383DF8" w14:textId="77777777" w:rsidR="00B25AB2" w:rsidRPr="00EA786C" w:rsidRDefault="00B25AB2" w:rsidP="00EA786C">
      <w:pPr>
        <w:pStyle w:val="NoSpacing"/>
        <w:spacing w:after="200" w:line="280" w:lineRule="exact"/>
        <w:rPr>
          <w:rFonts w:ascii="Segoe UI" w:hAnsi="Segoe UI" w:cs="Segoe UI"/>
          <w:color w:val="666666"/>
          <w:sz w:val="20"/>
          <w:szCs w:val="20"/>
        </w:rPr>
      </w:pPr>
      <w:r w:rsidRPr="00EA786C">
        <w:rPr>
          <w:rFonts w:ascii="Segoe UI" w:hAnsi="Segoe UI" w:cs="Segoe UI"/>
          <w:color w:val="666666"/>
          <w:sz w:val="20"/>
          <w:szCs w:val="20"/>
        </w:rPr>
        <w:t>Chris Suh, general manager, Investor Relations, (425) 706-4400</w:t>
      </w:r>
    </w:p>
    <w:p w14:paraId="0BAE3F12" w14:textId="77777777" w:rsidR="00B25AB2" w:rsidRPr="00EA786C" w:rsidRDefault="00B25AB2" w:rsidP="00EA786C">
      <w:pPr>
        <w:pStyle w:val="NoSpacing"/>
        <w:spacing w:after="200" w:line="280" w:lineRule="exact"/>
        <w:rPr>
          <w:rFonts w:ascii="Segoe UI" w:hAnsi="Segoe UI" w:cs="Segoe UI"/>
          <w:color w:val="666666"/>
          <w:sz w:val="20"/>
          <w:szCs w:val="20"/>
        </w:rPr>
      </w:pPr>
    </w:p>
    <w:p w14:paraId="36B63F33" w14:textId="77777777" w:rsidR="00AE7E9E" w:rsidRDefault="00B25AB2" w:rsidP="00EA786C">
      <w:pPr>
        <w:pStyle w:val="NoSpacing"/>
        <w:spacing w:after="200" w:line="280" w:lineRule="exact"/>
        <w:rPr>
          <w:rFonts w:ascii="Segoe UI" w:hAnsi="Segoe UI" w:cs="Segoe UI"/>
          <w:color w:val="666666"/>
          <w:sz w:val="20"/>
          <w:szCs w:val="20"/>
        </w:rPr>
      </w:pPr>
      <w:r w:rsidRPr="00EA786C">
        <w:rPr>
          <w:rFonts w:ascii="Segoe UI" w:hAnsi="Segoe UI" w:cs="Segoe UI"/>
          <w:color w:val="666666"/>
          <w:sz w:val="20"/>
          <w:szCs w:val="20"/>
        </w:rPr>
        <w:t xml:space="preserve">Note to editors: For more information, news and perspectives from Microsoft, please visit the Microsoft News Center at </w:t>
      </w:r>
      <w:hyperlink r:id="rId14" w:tgtFrame="_blank" w:history="1">
        <w:r w:rsidRPr="00EA786C">
          <w:rPr>
            <w:color w:val="666666"/>
          </w:rPr>
          <w:t>http://www.microsoft.com/news</w:t>
        </w:r>
      </w:hyperlink>
      <w:r w:rsidRPr="00EA786C">
        <w:rPr>
          <w:color w:val="666666"/>
        </w:rPr>
        <w:t>/</w:t>
      </w:r>
      <w:r w:rsidRPr="00EA786C">
        <w:rPr>
          <w:rFonts w:ascii="Segoe UI" w:hAnsi="Segoe UI" w:cs="Segoe UI"/>
          <w:color w:val="666666"/>
          <w:sz w:val="20"/>
          <w:szCs w:val="20"/>
        </w:rPr>
        <w:t>. Web links, telephone numbers, and titles were correct at time of publication, but may since have changed. Shareholder and financial information, as well as today’s 2:30 p.m. P</w:t>
      </w:r>
      <w:r w:rsidR="00443912">
        <w:rPr>
          <w:rFonts w:ascii="Segoe UI" w:hAnsi="Segoe UI" w:cs="Segoe UI"/>
          <w:color w:val="666666"/>
          <w:sz w:val="20"/>
          <w:szCs w:val="20"/>
        </w:rPr>
        <w:t>D</w:t>
      </w:r>
      <w:r w:rsidRPr="00EA786C">
        <w:rPr>
          <w:rFonts w:ascii="Segoe UI" w:hAnsi="Segoe UI" w:cs="Segoe UI"/>
          <w:color w:val="666666"/>
          <w:sz w:val="20"/>
          <w:szCs w:val="20"/>
        </w:rPr>
        <w:t xml:space="preserve">T conference call with investors and analysts, is available at </w:t>
      </w:r>
      <w:hyperlink r:id="rId15" w:tgtFrame="_blank" w:history="1">
        <w:r w:rsidRPr="00EA786C">
          <w:rPr>
            <w:color w:val="666666"/>
            <w:szCs w:val="20"/>
          </w:rPr>
          <w:t>http://www.microsoft.com/investor</w:t>
        </w:r>
      </w:hyperlink>
      <w:r w:rsidRPr="00EA786C">
        <w:rPr>
          <w:rFonts w:ascii="Segoe UI" w:hAnsi="Segoe UI" w:cs="Segoe UI"/>
          <w:color w:val="666666"/>
          <w:sz w:val="20"/>
          <w:szCs w:val="20"/>
        </w:rPr>
        <w:t>.</w:t>
      </w:r>
      <w:bookmarkStart w:id="3" w:name="RANGE!A1:H31"/>
      <w:bookmarkStart w:id="4" w:name="RANGE!A1:D29"/>
      <w:bookmarkStart w:id="5" w:name="RANGE!A1:D47"/>
      <w:bookmarkStart w:id="6" w:name="RANGE!A1:D15"/>
      <w:bookmarkStart w:id="7" w:name="RANGE!A1:H49"/>
      <w:bookmarkStart w:id="8" w:name="RANGE!A1:D48"/>
      <w:bookmarkStart w:id="9" w:name="RANGE!A1:D49"/>
      <w:bookmarkStart w:id="10" w:name="RANGE!A1:H28"/>
      <w:bookmarkStart w:id="11" w:name="RANGE!A1:D25"/>
      <w:bookmarkEnd w:id="3"/>
      <w:bookmarkEnd w:id="4"/>
      <w:bookmarkEnd w:id="5"/>
      <w:bookmarkEnd w:id="6"/>
      <w:bookmarkEnd w:id="7"/>
      <w:bookmarkEnd w:id="8"/>
      <w:bookmarkEnd w:id="9"/>
      <w:bookmarkEnd w:id="10"/>
      <w:bookmarkEnd w:id="11"/>
    </w:p>
    <w:p w14:paraId="4AF1E48B" w14:textId="77777777" w:rsidR="000C2E7E" w:rsidRDefault="000C2E7E" w:rsidP="00EA786C">
      <w:pPr>
        <w:pStyle w:val="NoSpacing"/>
        <w:spacing w:after="200" w:line="280" w:lineRule="exact"/>
        <w:rPr>
          <w:rFonts w:ascii="Segoe UI" w:hAnsi="Segoe UI" w:cs="Segoe UI"/>
          <w:color w:val="666666"/>
          <w:sz w:val="20"/>
          <w:szCs w:val="20"/>
        </w:rPr>
      </w:pPr>
    </w:p>
    <w:p w14:paraId="755FAE04" w14:textId="77777777" w:rsidR="000C2E7E" w:rsidRDefault="000C2E7E" w:rsidP="00EA786C">
      <w:pPr>
        <w:pStyle w:val="NoSpacing"/>
        <w:spacing w:after="200" w:line="280" w:lineRule="exact"/>
        <w:rPr>
          <w:rFonts w:ascii="Segoe UI" w:hAnsi="Segoe UI" w:cs="Segoe UI"/>
          <w:color w:val="666666"/>
          <w:sz w:val="20"/>
          <w:szCs w:val="20"/>
        </w:rPr>
      </w:pPr>
    </w:p>
    <w:tbl>
      <w:tblPr>
        <w:tblW w:w="7636" w:type="dxa"/>
        <w:tblCellMar>
          <w:left w:w="0" w:type="dxa"/>
          <w:right w:w="0" w:type="dxa"/>
        </w:tblCellMar>
        <w:tblLook w:val="04A0" w:firstRow="1" w:lastRow="0" w:firstColumn="1" w:lastColumn="0" w:noHBand="0" w:noVBand="1"/>
      </w:tblPr>
      <w:tblGrid>
        <w:gridCol w:w="3196"/>
        <w:gridCol w:w="1096"/>
        <w:gridCol w:w="116"/>
        <w:gridCol w:w="936"/>
        <w:gridCol w:w="172"/>
        <w:gridCol w:w="1196"/>
        <w:gridCol w:w="116"/>
        <w:gridCol w:w="936"/>
      </w:tblGrid>
      <w:tr w:rsidR="000C2E7E" w:rsidRPr="000C2E7E" w14:paraId="670377AE" w14:textId="77777777" w:rsidTr="000C2E7E">
        <w:trPr>
          <w:trHeight w:val="285"/>
        </w:trPr>
        <w:tc>
          <w:tcPr>
            <w:tcW w:w="3180" w:type="dxa"/>
            <w:tcBorders>
              <w:top w:val="nil"/>
              <w:left w:val="nil"/>
              <w:bottom w:val="nil"/>
              <w:right w:val="nil"/>
            </w:tcBorders>
            <w:shd w:val="clear" w:color="auto" w:fill="auto"/>
            <w:noWrap/>
            <w:vAlign w:val="bottom"/>
            <w:hideMark/>
          </w:tcPr>
          <w:p w14:paraId="163960C4" w14:textId="77777777" w:rsidR="000C2E7E" w:rsidRPr="000C2E7E" w:rsidRDefault="000C2E7E" w:rsidP="000C2E7E">
            <w:pPr>
              <w:spacing w:after="0" w:line="240" w:lineRule="auto"/>
              <w:rPr>
                <w:rFonts w:ascii="Segoe UI" w:eastAsia="Times New Roman" w:hAnsi="Segoe UI" w:cs="Segoe UI"/>
                <w:b/>
                <w:bCs/>
                <w:color w:val="666666"/>
                <w:sz w:val="20"/>
                <w:szCs w:val="20"/>
              </w:rPr>
            </w:pPr>
            <w:bookmarkStart w:id="12" w:name="RANGE!A1"/>
            <w:r w:rsidRPr="000C2E7E">
              <w:rPr>
                <w:rFonts w:ascii="Segoe UI" w:eastAsia="Times New Roman" w:hAnsi="Segoe UI" w:cs="Segoe UI"/>
                <w:b/>
                <w:bCs/>
                <w:color w:val="666666"/>
                <w:sz w:val="20"/>
                <w:szCs w:val="20"/>
              </w:rPr>
              <w:t>MICROSOFT CORPORATION</w:t>
            </w:r>
            <w:bookmarkEnd w:id="12"/>
          </w:p>
        </w:tc>
        <w:tc>
          <w:tcPr>
            <w:tcW w:w="1080" w:type="dxa"/>
            <w:tcBorders>
              <w:top w:val="nil"/>
              <w:left w:val="nil"/>
              <w:bottom w:val="nil"/>
              <w:right w:val="nil"/>
            </w:tcBorders>
            <w:shd w:val="clear" w:color="auto" w:fill="auto"/>
            <w:noWrap/>
            <w:vAlign w:val="bottom"/>
            <w:hideMark/>
          </w:tcPr>
          <w:p w14:paraId="3241F886"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27E804CC"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0B0CD0F7" w14:textId="77777777" w:rsidR="000C2E7E" w:rsidRPr="000C2E7E" w:rsidRDefault="000C2E7E" w:rsidP="000C2E7E">
            <w:pPr>
              <w:spacing w:after="0" w:line="240" w:lineRule="auto"/>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05B958D1"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2910F89"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020DCACC"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6629A749"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34431F28" w14:textId="77777777" w:rsidTr="000C2E7E">
        <w:trPr>
          <w:trHeight w:val="285"/>
        </w:trPr>
        <w:tc>
          <w:tcPr>
            <w:tcW w:w="3180" w:type="dxa"/>
            <w:tcBorders>
              <w:top w:val="nil"/>
              <w:left w:val="nil"/>
              <w:bottom w:val="nil"/>
              <w:right w:val="nil"/>
            </w:tcBorders>
            <w:shd w:val="clear" w:color="auto" w:fill="auto"/>
            <w:noWrap/>
            <w:vAlign w:val="bottom"/>
            <w:hideMark/>
          </w:tcPr>
          <w:p w14:paraId="0B134F17"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7ECDE903"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C71191E"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59DD65A5" w14:textId="77777777" w:rsidR="000C2E7E" w:rsidRPr="000C2E7E" w:rsidRDefault="000C2E7E" w:rsidP="000C2E7E">
            <w:pPr>
              <w:spacing w:after="0" w:line="240" w:lineRule="auto"/>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1D914B4D"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A029313"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7FD13264"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17871526"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7520F71A" w14:textId="77777777" w:rsidTr="000C2E7E">
        <w:trPr>
          <w:trHeight w:val="285"/>
        </w:trPr>
        <w:tc>
          <w:tcPr>
            <w:tcW w:w="7636" w:type="dxa"/>
            <w:gridSpan w:val="8"/>
            <w:tcBorders>
              <w:top w:val="nil"/>
              <w:left w:val="nil"/>
              <w:bottom w:val="nil"/>
              <w:right w:val="nil"/>
            </w:tcBorders>
            <w:shd w:val="clear" w:color="auto" w:fill="auto"/>
            <w:noWrap/>
            <w:vAlign w:val="bottom"/>
            <w:hideMark/>
          </w:tcPr>
          <w:p w14:paraId="0E0F1EE5"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INCOME STATEMENTS</w:t>
            </w:r>
          </w:p>
        </w:tc>
      </w:tr>
      <w:tr w:rsidR="000C2E7E" w:rsidRPr="000C2E7E" w14:paraId="082AB5FD" w14:textId="77777777" w:rsidTr="000C2E7E">
        <w:trPr>
          <w:trHeight w:val="285"/>
        </w:trPr>
        <w:tc>
          <w:tcPr>
            <w:tcW w:w="7636" w:type="dxa"/>
            <w:gridSpan w:val="8"/>
            <w:tcBorders>
              <w:top w:val="nil"/>
              <w:left w:val="nil"/>
              <w:bottom w:val="nil"/>
              <w:right w:val="nil"/>
            </w:tcBorders>
            <w:shd w:val="clear" w:color="auto" w:fill="auto"/>
            <w:noWrap/>
            <w:vAlign w:val="bottom"/>
            <w:hideMark/>
          </w:tcPr>
          <w:p w14:paraId="0CB49E54"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(In millions, except per share amounts)(Unaudited)</w:t>
            </w:r>
          </w:p>
        </w:tc>
      </w:tr>
      <w:tr w:rsidR="000C2E7E" w:rsidRPr="000C2E7E" w14:paraId="580451E6" w14:textId="77777777" w:rsidTr="000C2E7E">
        <w:trPr>
          <w:trHeight w:val="285"/>
        </w:trPr>
        <w:tc>
          <w:tcPr>
            <w:tcW w:w="3180" w:type="dxa"/>
            <w:tcBorders>
              <w:top w:val="nil"/>
              <w:left w:val="nil"/>
              <w:bottom w:val="nil"/>
              <w:right w:val="nil"/>
            </w:tcBorders>
            <w:shd w:val="clear" w:color="auto" w:fill="auto"/>
            <w:noWrap/>
            <w:vAlign w:val="bottom"/>
            <w:hideMark/>
          </w:tcPr>
          <w:p w14:paraId="69946A99"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7DCA588E"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56B42BC8"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59007C95"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02B853AC"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46EA467"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53A60917"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23B7AA13" w14:textId="77777777" w:rsidR="000C2E7E" w:rsidRPr="000C2E7E" w:rsidRDefault="000C2E7E" w:rsidP="000C2E7E">
            <w:pPr>
              <w:spacing w:after="0" w:line="240" w:lineRule="auto"/>
              <w:jc w:val="center"/>
              <w:rPr>
                <w:rFonts w:ascii="Times New Roman" w:eastAsia="Times New Roman" w:hAnsi="Times New Roman"/>
                <w:sz w:val="20"/>
                <w:szCs w:val="20"/>
              </w:rPr>
            </w:pPr>
          </w:p>
        </w:tc>
      </w:tr>
      <w:tr w:rsidR="000C2E7E" w:rsidRPr="000C2E7E" w14:paraId="349C0969" w14:textId="77777777" w:rsidTr="000C2E7E">
        <w:trPr>
          <w:trHeight w:val="285"/>
        </w:trPr>
        <w:tc>
          <w:tcPr>
            <w:tcW w:w="3180" w:type="dxa"/>
            <w:tcBorders>
              <w:top w:val="nil"/>
              <w:left w:val="nil"/>
              <w:bottom w:val="nil"/>
              <w:right w:val="nil"/>
            </w:tcBorders>
            <w:shd w:val="clear" w:color="auto" w:fill="auto"/>
            <w:noWrap/>
            <w:vAlign w:val="bottom"/>
            <w:hideMark/>
          </w:tcPr>
          <w:p w14:paraId="38C6CAD5"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2100" w:type="dxa"/>
            <w:gridSpan w:val="3"/>
            <w:vMerge w:val="restart"/>
            <w:tcBorders>
              <w:top w:val="nil"/>
              <w:left w:val="nil"/>
              <w:bottom w:val="nil"/>
              <w:right w:val="nil"/>
            </w:tcBorders>
            <w:shd w:val="clear" w:color="auto" w:fill="auto"/>
            <w:vAlign w:val="bottom"/>
            <w:hideMark/>
          </w:tcPr>
          <w:p w14:paraId="3D6024E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Three Months Ended June 30,</w:t>
            </w:r>
          </w:p>
        </w:tc>
        <w:tc>
          <w:tcPr>
            <w:tcW w:w="156" w:type="dxa"/>
            <w:tcBorders>
              <w:top w:val="nil"/>
              <w:left w:val="nil"/>
              <w:bottom w:val="nil"/>
              <w:right w:val="nil"/>
            </w:tcBorders>
            <w:shd w:val="clear" w:color="auto" w:fill="auto"/>
            <w:vAlign w:val="bottom"/>
            <w:hideMark/>
          </w:tcPr>
          <w:p w14:paraId="2C74450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2200" w:type="dxa"/>
            <w:gridSpan w:val="3"/>
            <w:vMerge w:val="restart"/>
            <w:tcBorders>
              <w:top w:val="nil"/>
              <w:left w:val="nil"/>
              <w:bottom w:val="nil"/>
              <w:right w:val="nil"/>
            </w:tcBorders>
            <w:shd w:val="clear" w:color="auto" w:fill="auto"/>
            <w:vAlign w:val="bottom"/>
            <w:hideMark/>
          </w:tcPr>
          <w:p w14:paraId="0388DD3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Twelve Months Ended June 30,</w:t>
            </w:r>
          </w:p>
        </w:tc>
      </w:tr>
      <w:tr w:rsidR="000C2E7E" w:rsidRPr="000C2E7E" w14:paraId="1FD2DAEA" w14:textId="77777777" w:rsidTr="000C2E7E">
        <w:trPr>
          <w:trHeight w:val="285"/>
        </w:trPr>
        <w:tc>
          <w:tcPr>
            <w:tcW w:w="3180" w:type="dxa"/>
            <w:tcBorders>
              <w:top w:val="nil"/>
              <w:left w:val="nil"/>
              <w:bottom w:val="nil"/>
              <w:right w:val="nil"/>
            </w:tcBorders>
            <w:shd w:val="clear" w:color="auto" w:fill="auto"/>
            <w:noWrap/>
            <w:vAlign w:val="bottom"/>
            <w:hideMark/>
          </w:tcPr>
          <w:p w14:paraId="6121C6F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2100" w:type="dxa"/>
            <w:gridSpan w:val="3"/>
            <w:vMerge/>
            <w:tcBorders>
              <w:top w:val="nil"/>
              <w:left w:val="nil"/>
              <w:bottom w:val="nil"/>
              <w:right w:val="nil"/>
            </w:tcBorders>
            <w:vAlign w:val="center"/>
            <w:hideMark/>
          </w:tcPr>
          <w:p w14:paraId="67DB49BF"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c>
          <w:tcPr>
            <w:tcW w:w="156" w:type="dxa"/>
            <w:tcBorders>
              <w:top w:val="nil"/>
              <w:left w:val="nil"/>
              <w:bottom w:val="nil"/>
              <w:right w:val="nil"/>
            </w:tcBorders>
            <w:shd w:val="clear" w:color="auto" w:fill="auto"/>
            <w:vAlign w:val="bottom"/>
            <w:hideMark/>
          </w:tcPr>
          <w:p w14:paraId="62A917ED" w14:textId="77777777" w:rsidR="000C2E7E" w:rsidRPr="000C2E7E" w:rsidRDefault="000C2E7E" w:rsidP="000C2E7E">
            <w:pPr>
              <w:spacing w:after="0" w:line="240" w:lineRule="auto"/>
              <w:rPr>
                <w:rFonts w:ascii="Times New Roman" w:eastAsia="Times New Roman" w:hAnsi="Times New Roman"/>
                <w:sz w:val="20"/>
                <w:szCs w:val="20"/>
              </w:rPr>
            </w:pPr>
          </w:p>
        </w:tc>
        <w:tc>
          <w:tcPr>
            <w:tcW w:w="2200" w:type="dxa"/>
            <w:gridSpan w:val="3"/>
            <w:vMerge/>
            <w:tcBorders>
              <w:top w:val="nil"/>
              <w:left w:val="nil"/>
              <w:bottom w:val="nil"/>
              <w:right w:val="nil"/>
            </w:tcBorders>
            <w:vAlign w:val="center"/>
            <w:hideMark/>
          </w:tcPr>
          <w:p w14:paraId="0C07BC63"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r>
      <w:tr w:rsidR="000C2E7E" w:rsidRPr="000C2E7E" w14:paraId="003D73DF" w14:textId="77777777" w:rsidTr="000C2E7E">
        <w:trPr>
          <w:trHeight w:val="285"/>
        </w:trPr>
        <w:tc>
          <w:tcPr>
            <w:tcW w:w="3180" w:type="dxa"/>
            <w:tcBorders>
              <w:top w:val="nil"/>
              <w:left w:val="nil"/>
              <w:bottom w:val="single" w:sz="4" w:space="0" w:color="auto"/>
              <w:right w:val="nil"/>
            </w:tcBorders>
            <w:shd w:val="clear" w:color="auto" w:fill="auto"/>
            <w:noWrap/>
            <w:vAlign w:val="bottom"/>
            <w:hideMark/>
          </w:tcPr>
          <w:p w14:paraId="7724F847"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6055C19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2015</w:t>
            </w:r>
          </w:p>
        </w:tc>
        <w:tc>
          <w:tcPr>
            <w:tcW w:w="100" w:type="dxa"/>
            <w:tcBorders>
              <w:top w:val="nil"/>
              <w:left w:val="nil"/>
              <w:bottom w:val="single" w:sz="4" w:space="0" w:color="auto"/>
              <w:right w:val="nil"/>
            </w:tcBorders>
            <w:shd w:val="clear" w:color="auto" w:fill="auto"/>
            <w:noWrap/>
            <w:vAlign w:val="bottom"/>
            <w:hideMark/>
          </w:tcPr>
          <w:p w14:paraId="54F18DC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51D830A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2014</w:t>
            </w:r>
          </w:p>
        </w:tc>
        <w:tc>
          <w:tcPr>
            <w:tcW w:w="156" w:type="dxa"/>
            <w:tcBorders>
              <w:top w:val="nil"/>
              <w:left w:val="nil"/>
              <w:bottom w:val="single" w:sz="4" w:space="0" w:color="auto"/>
              <w:right w:val="nil"/>
            </w:tcBorders>
            <w:shd w:val="clear" w:color="auto" w:fill="auto"/>
            <w:noWrap/>
            <w:vAlign w:val="bottom"/>
            <w:hideMark/>
          </w:tcPr>
          <w:p w14:paraId="6DCE729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240E1BF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2015</w:t>
            </w:r>
          </w:p>
        </w:tc>
        <w:tc>
          <w:tcPr>
            <w:tcW w:w="100" w:type="dxa"/>
            <w:tcBorders>
              <w:top w:val="nil"/>
              <w:left w:val="nil"/>
              <w:bottom w:val="single" w:sz="4" w:space="0" w:color="auto"/>
              <w:right w:val="nil"/>
            </w:tcBorders>
            <w:shd w:val="clear" w:color="auto" w:fill="auto"/>
            <w:noWrap/>
            <w:vAlign w:val="bottom"/>
            <w:hideMark/>
          </w:tcPr>
          <w:p w14:paraId="4C538CC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3C4D658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2014</w:t>
            </w:r>
          </w:p>
        </w:tc>
      </w:tr>
      <w:tr w:rsidR="000C2E7E" w:rsidRPr="000C2E7E" w14:paraId="3354C11B" w14:textId="77777777" w:rsidTr="000C2E7E">
        <w:trPr>
          <w:trHeight w:val="285"/>
        </w:trPr>
        <w:tc>
          <w:tcPr>
            <w:tcW w:w="3180" w:type="dxa"/>
            <w:tcBorders>
              <w:top w:val="nil"/>
              <w:left w:val="nil"/>
              <w:bottom w:val="nil"/>
              <w:right w:val="nil"/>
            </w:tcBorders>
            <w:shd w:val="clear" w:color="auto" w:fill="auto"/>
            <w:noWrap/>
            <w:vAlign w:val="bottom"/>
            <w:hideMark/>
          </w:tcPr>
          <w:p w14:paraId="5092D47A"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Revenue</w:t>
            </w:r>
          </w:p>
        </w:tc>
        <w:tc>
          <w:tcPr>
            <w:tcW w:w="1080" w:type="dxa"/>
            <w:tcBorders>
              <w:top w:val="nil"/>
              <w:left w:val="nil"/>
              <w:bottom w:val="nil"/>
              <w:right w:val="nil"/>
            </w:tcBorders>
            <w:shd w:val="clear" w:color="auto" w:fill="auto"/>
            <w:noWrap/>
            <w:vAlign w:val="bottom"/>
            <w:hideMark/>
          </w:tcPr>
          <w:p w14:paraId="2BEE3B7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22,180 </w:t>
            </w:r>
          </w:p>
        </w:tc>
        <w:tc>
          <w:tcPr>
            <w:tcW w:w="100" w:type="dxa"/>
            <w:tcBorders>
              <w:top w:val="nil"/>
              <w:left w:val="nil"/>
              <w:bottom w:val="nil"/>
              <w:right w:val="nil"/>
            </w:tcBorders>
            <w:shd w:val="clear" w:color="auto" w:fill="auto"/>
            <w:noWrap/>
            <w:vAlign w:val="bottom"/>
            <w:hideMark/>
          </w:tcPr>
          <w:p w14:paraId="6D6B2E3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3D9282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$23,382 </w:t>
            </w:r>
          </w:p>
        </w:tc>
        <w:tc>
          <w:tcPr>
            <w:tcW w:w="156" w:type="dxa"/>
            <w:tcBorders>
              <w:top w:val="nil"/>
              <w:left w:val="nil"/>
              <w:bottom w:val="nil"/>
              <w:right w:val="nil"/>
            </w:tcBorders>
            <w:shd w:val="clear" w:color="auto" w:fill="auto"/>
            <w:noWrap/>
            <w:vAlign w:val="bottom"/>
            <w:hideMark/>
          </w:tcPr>
          <w:p w14:paraId="7CE76711"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469E8C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93,580 </w:t>
            </w:r>
          </w:p>
        </w:tc>
        <w:tc>
          <w:tcPr>
            <w:tcW w:w="100" w:type="dxa"/>
            <w:tcBorders>
              <w:top w:val="nil"/>
              <w:left w:val="nil"/>
              <w:bottom w:val="nil"/>
              <w:right w:val="nil"/>
            </w:tcBorders>
            <w:shd w:val="clear" w:color="auto" w:fill="auto"/>
            <w:noWrap/>
            <w:vAlign w:val="bottom"/>
            <w:hideMark/>
          </w:tcPr>
          <w:p w14:paraId="7E138F2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F66BC5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$86,833 </w:t>
            </w:r>
          </w:p>
        </w:tc>
      </w:tr>
      <w:tr w:rsidR="000C2E7E" w:rsidRPr="000C2E7E" w14:paraId="08E3EB8B" w14:textId="77777777" w:rsidTr="000C2E7E">
        <w:trPr>
          <w:trHeight w:val="285"/>
        </w:trPr>
        <w:tc>
          <w:tcPr>
            <w:tcW w:w="3180" w:type="dxa"/>
            <w:tcBorders>
              <w:top w:val="nil"/>
              <w:left w:val="nil"/>
              <w:bottom w:val="single" w:sz="4" w:space="0" w:color="auto"/>
              <w:right w:val="nil"/>
            </w:tcBorders>
            <w:shd w:val="clear" w:color="auto" w:fill="auto"/>
            <w:noWrap/>
            <w:vAlign w:val="bottom"/>
            <w:hideMark/>
          </w:tcPr>
          <w:p w14:paraId="5580FEAD"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Cost of revenue</w:t>
            </w:r>
          </w:p>
        </w:tc>
        <w:tc>
          <w:tcPr>
            <w:tcW w:w="1080" w:type="dxa"/>
            <w:tcBorders>
              <w:top w:val="nil"/>
              <w:left w:val="nil"/>
              <w:bottom w:val="single" w:sz="4" w:space="0" w:color="auto"/>
              <w:right w:val="nil"/>
            </w:tcBorders>
            <w:shd w:val="clear" w:color="auto" w:fill="auto"/>
            <w:noWrap/>
            <w:vAlign w:val="bottom"/>
            <w:hideMark/>
          </w:tcPr>
          <w:p w14:paraId="50B712D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7,468 </w:t>
            </w:r>
          </w:p>
        </w:tc>
        <w:tc>
          <w:tcPr>
            <w:tcW w:w="100" w:type="dxa"/>
            <w:tcBorders>
              <w:top w:val="nil"/>
              <w:left w:val="nil"/>
              <w:bottom w:val="nil"/>
              <w:right w:val="nil"/>
            </w:tcBorders>
            <w:shd w:val="clear" w:color="auto" w:fill="auto"/>
            <w:noWrap/>
            <w:vAlign w:val="bottom"/>
            <w:hideMark/>
          </w:tcPr>
          <w:p w14:paraId="1A5A430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13C95E1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7,633 </w:t>
            </w:r>
          </w:p>
        </w:tc>
        <w:tc>
          <w:tcPr>
            <w:tcW w:w="156" w:type="dxa"/>
            <w:tcBorders>
              <w:top w:val="nil"/>
              <w:left w:val="nil"/>
              <w:bottom w:val="nil"/>
              <w:right w:val="nil"/>
            </w:tcBorders>
            <w:shd w:val="clear" w:color="auto" w:fill="auto"/>
            <w:noWrap/>
            <w:vAlign w:val="bottom"/>
            <w:hideMark/>
          </w:tcPr>
          <w:p w14:paraId="2F2BABA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396576A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33,038 </w:t>
            </w:r>
          </w:p>
        </w:tc>
        <w:tc>
          <w:tcPr>
            <w:tcW w:w="100" w:type="dxa"/>
            <w:tcBorders>
              <w:top w:val="nil"/>
              <w:left w:val="nil"/>
              <w:bottom w:val="nil"/>
              <w:right w:val="nil"/>
            </w:tcBorders>
            <w:shd w:val="clear" w:color="auto" w:fill="auto"/>
            <w:noWrap/>
            <w:vAlign w:val="bottom"/>
            <w:hideMark/>
          </w:tcPr>
          <w:p w14:paraId="0485624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0C17D21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27,078 </w:t>
            </w:r>
          </w:p>
        </w:tc>
      </w:tr>
      <w:tr w:rsidR="000C2E7E" w:rsidRPr="000C2E7E" w14:paraId="7F1D5103" w14:textId="77777777" w:rsidTr="000C2E7E">
        <w:trPr>
          <w:trHeight w:val="285"/>
        </w:trPr>
        <w:tc>
          <w:tcPr>
            <w:tcW w:w="3180" w:type="dxa"/>
            <w:tcBorders>
              <w:top w:val="nil"/>
              <w:left w:val="nil"/>
              <w:bottom w:val="nil"/>
              <w:right w:val="nil"/>
            </w:tcBorders>
            <w:shd w:val="clear" w:color="auto" w:fill="auto"/>
            <w:noWrap/>
            <w:vAlign w:val="bottom"/>
            <w:hideMark/>
          </w:tcPr>
          <w:p w14:paraId="2ACFDA89"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Gross margin</w:t>
            </w:r>
          </w:p>
        </w:tc>
        <w:tc>
          <w:tcPr>
            <w:tcW w:w="1080" w:type="dxa"/>
            <w:tcBorders>
              <w:top w:val="nil"/>
              <w:left w:val="nil"/>
              <w:bottom w:val="nil"/>
              <w:right w:val="nil"/>
            </w:tcBorders>
            <w:shd w:val="clear" w:color="auto" w:fill="auto"/>
            <w:noWrap/>
            <w:vAlign w:val="bottom"/>
            <w:hideMark/>
          </w:tcPr>
          <w:p w14:paraId="02FF859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14,712 </w:t>
            </w:r>
          </w:p>
        </w:tc>
        <w:tc>
          <w:tcPr>
            <w:tcW w:w="100" w:type="dxa"/>
            <w:tcBorders>
              <w:top w:val="nil"/>
              <w:left w:val="nil"/>
              <w:bottom w:val="nil"/>
              <w:right w:val="nil"/>
            </w:tcBorders>
            <w:shd w:val="clear" w:color="auto" w:fill="auto"/>
            <w:noWrap/>
            <w:vAlign w:val="bottom"/>
            <w:hideMark/>
          </w:tcPr>
          <w:p w14:paraId="1FB5118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06E44D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15,749 </w:t>
            </w:r>
          </w:p>
        </w:tc>
        <w:tc>
          <w:tcPr>
            <w:tcW w:w="156" w:type="dxa"/>
            <w:tcBorders>
              <w:top w:val="nil"/>
              <w:left w:val="nil"/>
              <w:bottom w:val="nil"/>
              <w:right w:val="nil"/>
            </w:tcBorders>
            <w:shd w:val="clear" w:color="auto" w:fill="auto"/>
            <w:noWrap/>
            <w:vAlign w:val="bottom"/>
            <w:hideMark/>
          </w:tcPr>
          <w:p w14:paraId="21527EB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4D4BB5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60,542 </w:t>
            </w:r>
          </w:p>
        </w:tc>
        <w:tc>
          <w:tcPr>
            <w:tcW w:w="100" w:type="dxa"/>
            <w:tcBorders>
              <w:top w:val="nil"/>
              <w:left w:val="nil"/>
              <w:bottom w:val="nil"/>
              <w:right w:val="nil"/>
            </w:tcBorders>
            <w:shd w:val="clear" w:color="auto" w:fill="auto"/>
            <w:noWrap/>
            <w:vAlign w:val="bottom"/>
            <w:hideMark/>
          </w:tcPr>
          <w:p w14:paraId="202454D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CD8400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59,755 </w:t>
            </w:r>
          </w:p>
        </w:tc>
      </w:tr>
      <w:tr w:rsidR="000C2E7E" w:rsidRPr="000C2E7E" w14:paraId="4E7369F5" w14:textId="77777777" w:rsidTr="000C2E7E">
        <w:trPr>
          <w:trHeight w:val="285"/>
        </w:trPr>
        <w:tc>
          <w:tcPr>
            <w:tcW w:w="3180" w:type="dxa"/>
            <w:tcBorders>
              <w:top w:val="nil"/>
              <w:left w:val="nil"/>
              <w:bottom w:val="nil"/>
              <w:right w:val="nil"/>
            </w:tcBorders>
            <w:shd w:val="clear" w:color="auto" w:fill="auto"/>
            <w:noWrap/>
            <w:vAlign w:val="bottom"/>
            <w:hideMark/>
          </w:tcPr>
          <w:p w14:paraId="22B9E5B0"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Research and development</w:t>
            </w:r>
          </w:p>
        </w:tc>
        <w:tc>
          <w:tcPr>
            <w:tcW w:w="1080" w:type="dxa"/>
            <w:tcBorders>
              <w:top w:val="nil"/>
              <w:left w:val="nil"/>
              <w:bottom w:val="nil"/>
              <w:right w:val="nil"/>
            </w:tcBorders>
            <w:shd w:val="clear" w:color="auto" w:fill="auto"/>
            <w:noWrap/>
            <w:vAlign w:val="bottom"/>
            <w:hideMark/>
          </w:tcPr>
          <w:p w14:paraId="50AD65A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3,094 </w:t>
            </w:r>
          </w:p>
        </w:tc>
        <w:tc>
          <w:tcPr>
            <w:tcW w:w="100" w:type="dxa"/>
            <w:tcBorders>
              <w:top w:val="nil"/>
              <w:left w:val="nil"/>
              <w:bottom w:val="nil"/>
              <w:right w:val="nil"/>
            </w:tcBorders>
            <w:shd w:val="clear" w:color="auto" w:fill="auto"/>
            <w:noWrap/>
            <w:vAlign w:val="bottom"/>
            <w:hideMark/>
          </w:tcPr>
          <w:p w14:paraId="2722AEC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8972D8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3,123 </w:t>
            </w:r>
          </w:p>
        </w:tc>
        <w:tc>
          <w:tcPr>
            <w:tcW w:w="156" w:type="dxa"/>
            <w:tcBorders>
              <w:top w:val="nil"/>
              <w:left w:val="nil"/>
              <w:bottom w:val="nil"/>
              <w:right w:val="nil"/>
            </w:tcBorders>
            <w:shd w:val="clear" w:color="auto" w:fill="auto"/>
            <w:noWrap/>
            <w:vAlign w:val="bottom"/>
            <w:hideMark/>
          </w:tcPr>
          <w:p w14:paraId="5ABB7BB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585571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12,046 </w:t>
            </w:r>
          </w:p>
        </w:tc>
        <w:tc>
          <w:tcPr>
            <w:tcW w:w="100" w:type="dxa"/>
            <w:tcBorders>
              <w:top w:val="nil"/>
              <w:left w:val="nil"/>
              <w:bottom w:val="nil"/>
              <w:right w:val="nil"/>
            </w:tcBorders>
            <w:shd w:val="clear" w:color="auto" w:fill="auto"/>
            <w:noWrap/>
            <w:vAlign w:val="bottom"/>
            <w:hideMark/>
          </w:tcPr>
          <w:p w14:paraId="476A2D9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F641B2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11,381 </w:t>
            </w:r>
          </w:p>
        </w:tc>
      </w:tr>
      <w:tr w:rsidR="000C2E7E" w:rsidRPr="000C2E7E" w14:paraId="7BF7079B" w14:textId="77777777" w:rsidTr="000C2E7E">
        <w:trPr>
          <w:trHeight w:val="285"/>
        </w:trPr>
        <w:tc>
          <w:tcPr>
            <w:tcW w:w="3180" w:type="dxa"/>
            <w:tcBorders>
              <w:top w:val="nil"/>
              <w:left w:val="nil"/>
              <w:bottom w:val="nil"/>
              <w:right w:val="nil"/>
            </w:tcBorders>
            <w:shd w:val="clear" w:color="auto" w:fill="auto"/>
            <w:noWrap/>
            <w:vAlign w:val="bottom"/>
            <w:hideMark/>
          </w:tcPr>
          <w:p w14:paraId="3CB4C953"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Sales and marketing</w:t>
            </w:r>
          </w:p>
        </w:tc>
        <w:tc>
          <w:tcPr>
            <w:tcW w:w="1080" w:type="dxa"/>
            <w:tcBorders>
              <w:top w:val="nil"/>
              <w:left w:val="nil"/>
              <w:bottom w:val="nil"/>
              <w:right w:val="nil"/>
            </w:tcBorders>
            <w:shd w:val="clear" w:color="auto" w:fill="auto"/>
            <w:noWrap/>
            <w:vAlign w:val="bottom"/>
            <w:hideMark/>
          </w:tcPr>
          <w:p w14:paraId="7E9C4F8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3,961 </w:t>
            </w:r>
          </w:p>
        </w:tc>
        <w:tc>
          <w:tcPr>
            <w:tcW w:w="100" w:type="dxa"/>
            <w:tcBorders>
              <w:top w:val="nil"/>
              <w:left w:val="nil"/>
              <w:bottom w:val="nil"/>
              <w:right w:val="nil"/>
            </w:tcBorders>
            <w:shd w:val="clear" w:color="auto" w:fill="auto"/>
            <w:noWrap/>
            <w:vAlign w:val="bottom"/>
            <w:hideMark/>
          </w:tcPr>
          <w:p w14:paraId="4DA3570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E4EFD9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4,682 </w:t>
            </w:r>
          </w:p>
        </w:tc>
        <w:tc>
          <w:tcPr>
            <w:tcW w:w="156" w:type="dxa"/>
            <w:tcBorders>
              <w:top w:val="nil"/>
              <w:left w:val="nil"/>
              <w:bottom w:val="nil"/>
              <w:right w:val="nil"/>
            </w:tcBorders>
            <w:shd w:val="clear" w:color="auto" w:fill="auto"/>
            <w:noWrap/>
            <w:vAlign w:val="bottom"/>
            <w:hideMark/>
          </w:tcPr>
          <w:p w14:paraId="076447D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D254B8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15,713 </w:t>
            </w:r>
          </w:p>
        </w:tc>
        <w:tc>
          <w:tcPr>
            <w:tcW w:w="100" w:type="dxa"/>
            <w:tcBorders>
              <w:top w:val="nil"/>
              <w:left w:val="nil"/>
              <w:bottom w:val="nil"/>
              <w:right w:val="nil"/>
            </w:tcBorders>
            <w:shd w:val="clear" w:color="auto" w:fill="auto"/>
            <w:noWrap/>
            <w:vAlign w:val="bottom"/>
            <w:hideMark/>
          </w:tcPr>
          <w:p w14:paraId="0ACFC2B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F6D378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15,811 </w:t>
            </w:r>
          </w:p>
        </w:tc>
      </w:tr>
      <w:tr w:rsidR="000C2E7E" w:rsidRPr="000C2E7E" w14:paraId="2BB991EC" w14:textId="77777777" w:rsidTr="000C2E7E">
        <w:trPr>
          <w:trHeight w:val="285"/>
        </w:trPr>
        <w:tc>
          <w:tcPr>
            <w:tcW w:w="3180" w:type="dxa"/>
            <w:tcBorders>
              <w:top w:val="nil"/>
              <w:left w:val="nil"/>
              <w:bottom w:val="nil"/>
              <w:right w:val="nil"/>
            </w:tcBorders>
            <w:shd w:val="clear" w:color="auto" w:fill="auto"/>
            <w:noWrap/>
            <w:vAlign w:val="bottom"/>
            <w:hideMark/>
          </w:tcPr>
          <w:p w14:paraId="4EEBCAE8"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General and administrative</w:t>
            </w:r>
          </w:p>
        </w:tc>
        <w:tc>
          <w:tcPr>
            <w:tcW w:w="1080" w:type="dxa"/>
            <w:tcBorders>
              <w:top w:val="nil"/>
              <w:left w:val="nil"/>
              <w:bottom w:val="nil"/>
              <w:right w:val="nil"/>
            </w:tcBorders>
            <w:shd w:val="clear" w:color="auto" w:fill="auto"/>
            <w:noWrap/>
            <w:vAlign w:val="bottom"/>
            <w:hideMark/>
          </w:tcPr>
          <w:p w14:paraId="46D3FB0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1,272 </w:t>
            </w:r>
          </w:p>
        </w:tc>
        <w:tc>
          <w:tcPr>
            <w:tcW w:w="100" w:type="dxa"/>
            <w:tcBorders>
              <w:top w:val="nil"/>
              <w:left w:val="nil"/>
              <w:bottom w:val="nil"/>
              <w:right w:val="nil"/>
            </w:tcBorders>
            <w:shd w:val="clear" w:color="auto" w:fill="auto"/>
            <w:noWrap/>
            <w:vAlign w:val="bottom"/>
            <w:hideMark/>
          </w:tcPr>
          <w:p w14:paraId="4D51FFB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DCC67A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1,335 </w:t>
            </w:r>
          </w:p>
        </w:tc>
        <w:tc>
          <w:tcPr>
            <w:tcW w:w="156" w:type="dxa"/>
            <w:tcBorders>
              <w:top w:val="nil"/>
              <w:left w:val="nil"/>
              <w:bottom w:val="nil"/>
              <w:right w:val="nil"/>
            </w:tcBorders>
            <w:shd w:val="clear" w:color="auto" w:fill="auto"/>
            <w:noWrap/>
            <w:vAlign w:val="bottom"/>
            <w:hideMark/>
          </w:tcPr>
          <w:p w14:paraId="05B1266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81BABE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4,611 </w:t>
            </w:r>
          </w:p>
        </w:tc>
        <w:tc>
          <w:tcPr>
            <w:tcW w:w="100" w:type="dxa"/>
            <w:tcBorders>
              <w:top w:val="nil"/>
              <w:left w:val="nil"/>
              <w:bottom w:val="nil"/>
              <w:right w:val="nil"/>
            </w:tcBorders>
            <w:shd w:val="clear" w:color="auto" w:fill="auto"/>
            <w:noWrap/>
            <w:vAlign w:val="bottom"/>
            <w:hideMark/>
          </w:tcPr>
          <w:p w14:paraId="589F101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93830E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4,677 </w:t>
            </w:r>
          </w:p>
        </w:tc>
      </w:tr>
      <w:tr w:rsidR="000C2E7E" w:rsidRPr="000C2E7E" w14:paraId="64B39A0F" w14:textId="77777777" w:rsidTr="000C2E7E">
        <w:trPr>
          <w:trHeight w:val="570"/>
        </w:trPr>
        <w:tc>
          <w:tcPr>
            <w:tcW w:w="3180" w:type="dxa"/>
            <w:tcBorders>
              <w:top w:val="nil"/>
              <w:left w:val="nil"/>
              <w:bottom w:val="nil"/>
              <w:right w:val="nil"/>
            </w:tcBorders>
            <w:shd w:val="clear" w:color="auto" w:fill="auto"/>
            <w:vAlign w:val="bottom"/>
            <w:hideMark/>
          </w:tcPr>
          <w:p w14:paraId="091FC974"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Impairment, integration, and</w:t>
            </w:r>
            <w:r w:rsidRPr="000C2E7E">
              <w:rPr>
                <w:rFonts w:ascii="Segoe UI" w:eastAsia="Times New Roman" w:hAnsi="Segoe UI" w:cs="Segoe UI"/>
                <w:color w:val="666666"/>
                <w:sz w:val="20"/>
                <w:szCs w:val="20"/>
              </w:rPr>
              <w:br/>
              <w:t xml:space="preserve">   restructuring</w:t>
            </w:r>
          </w:p>
        </w:tc>
        <w:tc>
          <w:tcPr>
            <w:tcW w:w="1080" w:type="dxa"/>
            <w:tcBorders>
              <w:top w:val="nil"/>
              <w:left w:val="nil"/>
              <w:bottom w:val="nil"/>
              <w:right w:val="nil"/>
            </w:tcBorders>
            <w:shd w:val="clear" w:color="auto" w:fill="auto"/>
            <w:noWrap/>
            <w:vAlign w:val="bottom"/>
            <w:hideMark/>
          </w:tcPr>
          <w:p w14:paraId="23801BE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8,438 </w:t>
            </w:r>
          </w:p>
        </w:tc>
        <w:tc>
          <w:tcPr>
            <w:tcW w:w="100" w:type="dxa"/>
            <w:tcBorders>
              <w:top w:val="nil"/>
              <w:left w:val="nil"/>
              <w:bottom w:val="nil"/>
              <w:right w:val="nil"/>
            </w:tcBorders>
            <w:shd w:val="clear" w:color="auto" w:fill="auto"/>
            <w:noWrap/>
            <w:vAlign w:val="bottom"/>
            <w:hideMark/>
          </w:tcPr>
          <w:p w14:paraId="04BACEE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D9F211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127 </w:t>
            </w:r>
          </w:p>
        </w:tc>
        <w:tc>
          <w:tcPr>
            <w:tcW w:w="156" w:type="dxa"/>
            <w:tcBorders>
              <w:top w:val="nil"/>
              <w:left w:val="nil"/>
              <w:bottom w:val="nil"/>
              <w:right w:val="nil"/>
            </w:tcBorders>
            <w:shd w:val="clear" w:color="auto" w:fill="auto"/>
            <w:noWrap/>
            <w:vAlign w:val="bottom"/>
            <w:hideMark/>
          </w:tcPr>
          <w:p w14:paraId="2CC4842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A0DE8F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10,011 </w:t>
            </w:r>
          </w:p>
        </w:tc>
        <w:tc>
          <w:tcPr>
            <w:tcW w:w="100" w:type="dxa"/>
            <w:tcBorders>
              <w:top w:val="nil"/>
              <w:left w:val="nil"/>
              <w:bottom w:val="nil"/>
              <w:right w:val="nil"/>
            </w:tcBorders>
            <w:shd w:val="clear" w:color="auto" w:fill="auto"/>
            <w:noWrap/>
            <w:vAlign w:val="bottom"/>
            <w:hideMark/>
          </w:tcPr>
          <w:p w14:paraId="52AF12B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16CC44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127 </w:t>
            </w:r>
          </w:p>
        </w:tc>
      </w:tr>
      <w:tr w:rsidR="000C2E7E" w:rsidRPr="000C2E7E" w14:paraId="4FEE3543" w14:textId="77777777" w:rsidTr="000C2E7E">
        <w:trPr>
          <w:trHeight w:val="285"/>
        </w:trPr>
        <w:tc>
          <w:tcPr>
            <w:tcW w:w="3180" w:type="dxa"/>
            <w:tcBorders>
              <w:top w:val="single" w:sz="4" w:space="0" w:color="auto"/>
              <w:left w:val="nil"/>
              <w:bottom w:val="nil"/>
              <w:right w:val="nil"/>
            </w:tcBorders>
            <w:shd w:val="clear" w:color="auto" w:fill="auto"/>
            <w:noWrap/>
            <w:vAlign w:val="bottom"/>
            <w:hideMark/>
          </w:tcPr>
          <w:p w14:paraId="592A145A"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Operating income (loss)</w:t>
            </w:r>
          </w:p>
        </w:tc>
        <w:tc>
          <w:tcPr>
            <w:tcW w:w="1080" w:type="dxa"/>
            <w:tcBorders>
              <w:top w:val="single" w:sz="4" w:space="0" w:color="auto"/>
              <w:left w:val="nil"/>
              <w:bottom w:val="nil"/>
              <w:right w:val="nil"/>
            </w:tcBorders>
            <w:shd w:val="clear" w:color="auto" w:fill="auto"/>
            <w:noWrap/>
            <w:vAlign w:val="bottom"/>
            <w:hideMark/>
          </w:tcPr>
          <w:p w14:paraId="3E5BB7E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(2,053)</w:t>
            </w:r>
          </w:p>
        </w:tc>
        <w:tc>
          <w:tcPr>
            <w:tcW w:w="100" w:type="dxa"/>
            <w:tcBorders>
              <w:top w:val="nil"/>
              <w:left w:val="nil"/>
              <w:bottom w:val="nil"/>
              <w:right w:val="nil"/>
            </w:tcBorders>
            <w:shd w:val="clear" w:color="auto" w:fill="auto"/>
            <w:noWrap/>
            <w:vAlign w:val="bottom"/>
            <w:hideMark/>
          </w:tcPr>
          <w:p w14:paraId="5FAB18B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single" w:sz="4" w:space="0" w:color="auto"/>
              <w:left w:val="nil"/>
              <w:bottom w:val="nil"/>
              <w:right w:val="nil"/>
            </w:tcBorders>
            <w:shd w:val="clear" w:color="auto" w:fill="auto"/>
            <w:noWrap/>
            <w:vAlign w:val="bottom"/>
            <w:hideMark/>
          </w:tcPr>
          <w:p w14:paraId="41E12C9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6,482 </w:t>
            </w:r>
          </w:p>
        </w:tc>
        <w:tc>
          <w:tcPr>
            <w:tcW w:w="156" w:type="dxa"/>
            <w:tcBorders>
              <w:top w:val="nil"/>
              <w:left w:val="nil"/>
              <w:bottom w:val="nil"/>
              <w:right w:val="nil"/>
            </w:tcBorders>
            <w:shd w:val="clear" w:color="auto" w:fill="auto"/>
            <w:noWrap/>
            <w:vAlign w:val="bottom"/>
            <w:hideMark/>
          </w:tcPr>
          <w:p w14:paraId="767817C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single" w:sz="4" w:space="0" w:color="auto"/>
              <w:left w:val="nil"/>
              <w:bottom w:val="nil"/>
              <w:right w:val="nil"/>
            </w:tcBorders>
            <w:shd w:val="clear" w:color="auto" w:fill="auto"/>
            <w:noWrap/>
            <w:vAlign w:val="bottom"/>
            <w:hideMark/>
          </w:tcPr>
          <w:p w14:paraId="7834603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18,161 </w:t>
            </w:r>
          </w:p>
        </w:tc>
        <w:tc>
          <w:tcPr>
            <w:tcW w:w="100" w:type="dxa"/>
            <w:tcBorders>
              <w:top w:val="nil"/>
              <w:left w:val="nil"/>
              <w:bottom w:val="nil"/>
              <w:right w:val="nil"/>
            </w:tcBorders>
            <w:shd w:val="clear" w:color="auto" w:fill="auto"/>
            <w:noWrap/>
            <w:vAlign w:val="bottom"/>
            <w:hideMark/>
          </w:tcPr>
          <w:p w14:paraId="0C5B153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single" w:sz="4" w:space="0" w:color="auto"/>
              <w:left w:val="nil"/>
              <w:bottom w:val="nil"/>
              <w:right w:val="nil"/>
            </w:tcBorders>
            <w:shd w:val="clear" w:color="auto" w:fill="auto"/>
            <w:noWrap/>
            <w:vAlign w:val="bottom"/>
            <w:hideMark/>
          </w:tcPr>
          <w:p w14:paraId="1D4A8C1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27,759 </w:t>
            </w:r>
          </w:p>
        </w:tc>
      </w:tr>
      <w:tr w:rsidR="000C2E7E" w:rsidRPr="000C2E7E" w14:paraId="005F334C" w14:textId="77777777" w:rsidTr="000C2E7E">
        <w:trPr>
          <w:trHeight w:val="285"/>
        </w:trPr>
        <w:tc>
          <w:tcPr>
            <w:tcW w:w="3180" w:type="dxa"/>
            <w:tcBorders>
              <w:top w:val="nil"/>
              <w:left w:val="nil"/>
              <w:bottom w:val="single" w:sz="4" w:space="0" w:color="auto"/>
              <w:right w:val="nil"/>
            </w:tcBorders>
            <w:shd w:val="clear" w:color="auto" w:fill="auto"/>
            <w:noWrap/>
            <w:vAlign w:val="bottom"/>
            <w:hideMark/>
          </w:tcPr>
          <w:p w14:paraId="007E276E"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Other income (expense), net</w:t>
            </w:r>
          </w:p>
        </w:tc>
        <w:tc>
          <w:tcPr>
            <w:tcW w:w="1080" w:type="dxa"/>
            <w:tcBorders>
              <w:top w:val="nil"/>
              <w:left w:val="nil"/>
              <w:bottom w:val="single" w:sz="4" w:space="0" w:color="auto"/>
              <w:right w:val="nil"/>
            </w:tcBorders>
            <w:shd w:val="clear" w:color="auto" w:fill="auto"/>
            <w:noWrap/>
            <w:vAlign w:val="bottom"/>
            <w:hideMark/>
          </w:tcPr>
          <w:p w14:paraId="02BB638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297 </w:t>
            </w:r>
          </w:p>
        </w:tc>
        <w:tc>
          <w:tcPr>
            <w:tcW w:w="100" w:type="dxa"/>
            <w:tcBorders>
              <w:top w:val="nil"/>
              <w:left w:val="nil"/>
              <w:bottom w:val="nil"/>
              <w:right w:val="nil"/>
            </w:tcBorders>
            <w:shd w:val="clear" w:color="auto" w:fill="auto"/>
            <w:noWrap/>
            <w:vAlign w:val="bottom"/>
            <w:hideMark/>
          </w:tcPr>
          <w:p w14:paraId="69E51CB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158B571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95 </w:t>
            </w:r>
          </w:p>
        </w:tc>
        <w:tc>
          <w:tcPr>
            <w:tcW w:w="156" w:type="dxa"/>
            <w:tcBorders>
              <w:top w:val="nil"/>
              <w:left w:val="nil"/>
              <w:bottom w:val="nil"/>
              <w:right w:val="nil"/>
            </w:tcBorders>
            <w:shd w:val="clear" w:color="auto" w:fill="auto"/>
            <w:noWrap/>
            <w:vAlign w:val="bottom"/>
            <w:hideMark/>
          </w:tcPr>
          <w:p w14:paraId="1D988D8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007975A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346 </w:t>
            </w:r>
          </w:p>
        </w:tc>
        <w:tc>
          <w:tcPr>
            <w:tcW w:w="100" w:type="dxa"/>
            <w:tcBorders>
              <w:top w:val="nil"/>
              <w:left w:val="nil"/>
              <w:bottom w:val="nil"/>
              <w:right w:val="nil"/>
            </w:tcBorders>
            <w:shd w:val="clear" w:color="auto" w:fill="auto"/>
            <w:noWrap/>
            <w:vAlign w:val="bottom"/>
            <w:hideMark/>
          </w:tcPr>
          <w:p w14:paraId="4EA2DE0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592BCCD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61 </w:t>
            </w:r>
          </w:p>
        </w:tc>
      </w:tr>
      <w:tr w:rsidR="000C2E7E" w:rsidRPr="000C2E7E" w14:paraId="7A9A8BB9" w14:textId="77777777" w:rsidTr="000C2E7E">
        <w:trPr>
          <w:trHeight w:val="285"/>
        </w:trPr>
        <w:tc>
          <w:tcPr>
            <w:tcW w:w="3180" w:type="dxa"/>
            <w:tcBorders>
              <w:top w:val="nil"/>
              <w:left w:val="nil"/>
              <w:bottom w:val="nil"/>
              <w:right w:val="nil"/>
            </w:tcBorders>
            <w:shd w:val="clear" w:color="auto" w:fill="auto"/>
            <w:noWrap/>
            <w:vAlign w:val="bottom"/>
            <w:hideMark/>
          </w:tcPr>
          <w:p w14:paraId="5F3FAB7F"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Income (loss) before income taxes</w:t>
            </w:r>
          </w:p>
        </w:tc>
        <w:tc>
          <w:tcPr>
            <w:tcW w:w="1080" w:type="dxa"/>
            <w:tcBorders>
              <w:top w:val="nil"/>
              <w:left w:val="nil"/>
              <w:bottom w:val="nil"/>
              <w:right w:val="nil"/>
            </w:tcBorders>
            <w:shd w:val="clear" w:color="auto" w:fill="auto"/>
            <w:noWrap/>
            <w:vAlign w:val="bottom"/>
            <w:hideMark/>
          </w:tcPr>
          <w:p w14:paraId="28A30C8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(1,756)</w:t>
            </w:r>
          </w:p>
        </w:tc>
        <w:tc>
          <w:tcPr>
            <w:tcW w:w="100" w:type="dxa"/>
            <w:tcBorders>
              <w:top w:val="nil"/>
              <w:left w:val="nil"/>
              <w:bottom w:val="nil"/>
              <w:right w:val="nil"/>
            </w:tcBorders>
            <w:shd w:val="clear" w:color="auto" w:fill="auto"/>
            <w:noWrap/>
            <w:vAlign w:val="bottom"/>
            <w:hideMark/>
          </w:tcPr>
          <w:p w14:paraId="122402F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A927D7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6,577 </w:t>
            </w:r>
          </w:p>
        </w:tc>
        <w:tc>
          <w:tcPr>
            <w:tcW w:w="156" w:type="dxa"/>
            <w:tcBorders>
              <w:top w:val="nil"/>
              <w:left w:val="nil"/>
              <w:bottom w:val="nil"/>
              <w:right w:val="nil"/>
            </w:tcBorders>
            <w:shd w:val="clear" w:color="auto" w:fill="auto"/>
            <w:noWrap/>
            <w:vAlign w:val="bottom"/>
            <w:hideMark/>
          </w:tcPr>
          <w:p w14:paraId="30E53AB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50A668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18,507 </w:t>
            </w:r>
          </w:p>
        </w:tc>
        <w:tc>
          <w:tcPr>
            <w:tcW w:w="100" w:type="dxa"/>
            <w:tcBorders>
              <w:top w:val="nil"/>
              <w:left w:val="nil"/>
              <w:bottom w:val="nil"/>
              <w:right w:val="nil"/>
            </w:tcBorders>
            <w:shd w:val="clear" w:color="auto" w:fill="auto"/>
            <w:noWrap/>
            <w:vAlign w:val="bottom"/>
            <w:hideMark/>
          </w:tcPr>
          <w:p w14:paraId="5B0D3AE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599067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27,820 </w:t>
            </w:r>
          </w:p>
        </w:tc>
      </w:tr>
      <w:tr w:rsidR="000C2E7E" w:rsidRPr="000C2E7E" w14:paraId="717CE575" w14:textId="77777777" w:rsidTr="000C2E7E">
        <w:trPr>
          <w:trHeight w:val="285"/>
        </w:trPr>
        <w:tc>
          <w:tcPr>
            <w:tcW w:w="3180" w:type="dxa"/>
            <w:tcBorders>
              <w:top w:val="nil"/>
              <w:left w:val="nil"/>
              <w:bottom w:val="single" w:sz="4" w:space="0" w:color="auto"/>
              <w:right w:val="nil"/>
            </w:tcBorders>
            <w:shd w:val="clear" w:color="auto" w:fill="auto"/>
            <w:noWrap/>
            <w:vAlign w:val="bottom"/>
            <w:hideMark/>
          </w:tcPr>
          <w:p w14:paraId="15EF3FC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Provision for income taxes</w:t>
            </w:r>
          </w:p>
        </w:tc>
        <w:tc>
          <w:tcPr>
            <w:tcW w:w="1080" w:type="dxa"/>
            <w:tcBorders>
              <w:top w:val="nil"/>
              <w:left w:val="nil"/>
              <w:bottom w:val="single" w:sz="4" w:space="0" w:color="auto"/>
              <w:right w:val="nil"/>
            </w:tcBorders>
            <w:shd w:val="clear" w:color="auto" w:fill="auto"/>
            <w:noWrap/>
            <w:vAlign w:val="bottom"/>
            <w:hideMark/>
          </w:tcPr>
          <w:p w14:paraId="166D993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1,439 </w:t>
            </w:r>
          </w:p>
        </w:tc>
        <w:tc>
          <w:tcPr>
            <w:tcW w:w="100" w:type="dxa"/>
            <w:tcBorders>
              <w:top w:val="nil"/>
              <w:left w:val="nil"/>
              <w:bottom w:val="nil"/>
              <w:right w:val="nil"/>
            </w:tcBorders>
            <w:shd w:val="clear" w:color="auto" w:fill="auto"/>
            <w:noWrap/>
            <w:vAlign w:val="bottom"/>
            <w:hideMark/>
          </w:tcPr>
          <w:p w14:paraId="059BC57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43F37B6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1,965 </w:t>
            </w:r>
          </w:p>
        </w:tc>
        <w:tc>
          <w:tcPr>
            <w:tcW w:w="156" w:type="dxa"/>
            <w:tcBorders>
              <w:top w:val="nil"/>
              <w:left w:val="nil"/>
              <w:bottom w:val="nil"/>
              <w:right w:val="nil"/>
            </w:tcBorders>
            <w:shd w:val="clear" w:color="auto" w:fill="auto"/>
            <w:noWrap/>
            <w:vAlign w:val="bottom"/>
            <w:hideMark/>
          </w:tcPr>
          <w:p w14:paraId="6ED25DC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1764BE6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6,314 </w:t>
            </w:r>
          </w:p>
        </w:tc>
        <w:tc>
          <w:tcPr>
            <w:tcW w:w="100" w:type="dxa"/>
            <w:tcBorders>
              <w:top w:val="nil"/>
              <w:left w:val="nil"/>
              <w:bottom w:val="nil"/>
              <w:right w:val="nil"/>
            </w:tcBorders>
            <w:shd w:val="clear" w:color="auto" w:fill="auto"/>
            <w:noWrap/>
            <w:vAlign w:val="bottom"/>
            <w:hideMark/>
          </w:tcPr>
          <w:p w14:paraId="0EE9AC9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3590078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5,746 </w:t>
            </w:r>
          </w:p>
        </w:tc>
      </w:tr>
      <w:tr w:rsidR="000C2E7E" w:rsidRPr="000C2E7E" w14:paraId="5F8DB10D" w14:textId="77777777" w:rsidTr="000C2E7E">
        <w:trPr>
          <w:trHeight w:val="300"/>
        </w:trPr>
        <w:tc>
          <w:tcPr>
            <w:tcW w:w="3180" w:type="dxa"/>
            <w:tcBorders>
              <w:top w:val="nil"/>
              <w:left w:val="nil"/>
              <w:bottom w:val="nil"/>
              <w:right w:val="nil"/>
            </w:tcBorders>
            <w:shd w:val="clear" w:color="auto" w:fill="auto"/>
            <w:noWrap/>
            <w:vAlign w:val="bottom"/>
            <w:hideMark/>
          </w:tcPr>
          <w:p w14:paraId="5F7BB489"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Net income (loss)</w:t>
            </w:r>
          </w:p>
        </w:tc>
        <w:tc>
          <w:tcPr>
            <w:tcW w:w="1080" w:type="dxa"/>
            <w:tcBorders>
              <w:top w:val="nil"/>
              <w:left w:val="nil"/>
              <w:bottom w:val="single" w:sz="8" w:space="0" w:color="auto"/>
              <w:right w:val="nil"/>
            </w:tcBorders>
            <w:shd w:val="clear" w:color="auto" w:fill="auto"/>
            <w:noWrap/>
            <w:vAlign w:val="bottom"/>
            <w:hideMark/>
          </w:tcPr>
          <w:p w14:paraId="27C9CF8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(3,195)</w:t>
            </w:r>
          </w:p>
        </w:tc>
        <w:tc>
          <w:tcPr>
            <w:tcW w:w="100" w:type="dxa"/>
            <w:tcBorders>
              <w:top w:val="nil"/>
              <w:left w:val="nil"/>
              <w:bottom w:val="nil"/>
              <w:right w:val="nil"/>
            </w:tcBorders>
            <w:shd w:val="clear" w:color="auto" w:fill="auto"/>
            <w:noWrap/>
            <w:vAlign w:val="bottom"/>
            <w:hideMark/>
          </w:tcPr>
          <w:p w14:paraId="042A324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61D779E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4,612 </w:t>
            </w:r>
          </w:p>
        </w:tc>
        <w:tc>
          <w:tcPr>
            <w:tcW w:w="156" w:type="dxa"/>
            <w:tcBorders>
              <w:top w:val="nil"/>
              <w:left w:val="nil"/>
              <w:bottom w:val="nil"/>
              <w:right w:val="nil"/>
            </w:tcBorders>
            <w:shd w:val="clear" w:color="auto" w:fill="auto"/>
            <w:noWrap/>
            <w:vAlign w:val="bottom"/>
            <w:hideMark/>
          </w:tcPr>
          <w:p w14:paraId="226D526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8" w:space="0" w:color="auto"/>
              <w:right w:val="nil"/>
            </w:tcBorders>
            <w:shd w:val="clear" w:color="auto" w:fill="auto"/>
            <w:noWrap/>
            <w:vAlign w:val="bottom"/>
            <w:hideMark/>
          </w:tcPr>
          <w:p w14:paraId="56FF73C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12,193 </w:t>
            </w:r>
          </w:p>
        </w:tc>
        <w:tc>
          <w:tcPr>
            <w:tcW w:w="100" w:type="dxa"/>
            <w:tcBorders>
              <w:top w:val="nil"/>
              <w:left w:val="nil"/>
              <w:bottom w:val="nil"/>
              <w:right w:val="nil"/>
            </w:tcBorders>
            <w:shd w:val="clear" w:color="auto" w:fill="auto"/>
            <w:noWrap/>
            <w:vAlign w:val="bottom"/>
            <w:hideMark/>
          </w:tcPr>
          <w:p w14:paraId="2108F61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6FD528D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$22,074 </w:t>
            </w:r>
          </w:p>
        </w:tc>
      </w:tr>
      <w:tr w:rsidR="000C2E7E" w:rsidRPr="000C2E7E" w14:paraId="0B54569F" w14:textId="77777777" w:rsidTr="000C2E7E">
        <w:trPr>
          <w:trHeight w:val="285"/>
        </w:trPr>
        <w:tc>
          <w:tcPr>
            <w:tcW w:w="3180" w:type="dxa"/>
            <w:tcBorders>
              <w:top w:val="nil"/>
              <w:left w:val="nil"/>
              <w:bottom w:val="nil"/>
              <w:right w:val="nil"/>
            </w:tcBorders>
            <w:shd w:val="clear" w:color="auto" w:fill="auto"/>
            <w:noWrap/>
            <w:vAlign w:val="bottom"/>
            <w:hideMark/>
          </w:tcPr>
          <w:p w14:paraId="59CE28D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5501E09A"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441250A2" w14:textId="77777777" w:rsidR="000C2E7E" w:rsidRPr="000C2E7E" w:rsidRDefault="000C2E7E" w:rsidP="000C2E7E">
            <w:pPr>
              <w:spacing w:after="0" w:line="240" w:lineRule="auto"/>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0DAC24C8"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200BBC8A"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D4CB03A"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0211A6D2"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center"/>
            <w:hideMark/>
          </w:tcPr>
          <w:p w14:paraId="7A39829A" w14:textId="77777777" w:rsidR="000C2E7E" w:rsidRPr="000C2E7E" w:rsidRDefault="000C2E7E" w:rsidP="000C2E7E">
            <w:pPr>
              <w:spacing w:after="0" w:line="240" w:lineRule="auto"/>
              <w:jc w:val="right"/>
              <w:rPr>
                <w:rFonts w:ascii="Times New Roman" w:eastAsia="Times New Roman" w:hAnsi="Times New Roman"/>
                <w:sz w:val="20"/>
                <w:szCs w:val="20"/>
              </w:rPr>
            </w:pPr>
          </w:p>
        </w:tc>
      </w:tr>
      <w:tr w:rsidR="000C2E7E" w:rsidRPr="000C2E7E" w14:paraId="33279C77" w14:textId="77777777" w:rsidTr="000C2E7E">
        <w:trPr>
          <w:trHeight w:val="285"/>
        </w:trPr>
        <w:tc>
          <w:tcPr>
            <w:tcW w:w="3180" w:type="dxa"/>
            <w:tcBorders>
              <w:top w:val="nil"/>
              <w:left w:val="nil"/>
              <w:bottom w:val="nil"/>
              <w:right w:val="nil"/>
            </w:tcBorders>
            <w:shd w:val="clear" w:color="auto" w:fill="auto"/>
            <w:noWrap/>
            <w:vAlign w:val="bottom"/>
            <w:hideMark/>
          </w:tcPr>
          <w:p w14:paraId="3D8BC1F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Earnings (loss) per share:</w:t>
            </w:r>
          </w:p>
        </w:tc>
        <w:tc>
          <w:tcPr>
            <w:tcW w:w="1080" w:type="dxa"/>
            <w:tcBorders>
              <w:top w:val="nil"/>
              <w:left w:val="nil"/>
              <w:bottom w:val="nil"/>
              <w:right w:val="nil"/>
            </w:tcBorders>
            <w:shd w:val="clear" w:color="auto" w:fill="auto"/>
            <w:noWrap/>
            <w:vAlign w:val="bottom"/>
            <w:hideMark/>
          </w:tcPr>
          <w:p w14:paraId="359C0C86" w14:textId="77777777" w:rsidR="000C2E7E" w:rsidRPr="000C2E7E" w:rsidRDefault="000C2E7E" w:rsidP="000C2E7E">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3E993F94" w14:textId="77777777" w:rsidR="000C2E7E" w:rsidRPr="000C2E7E" w:rsidRDefault="000C2E7E" w:rsidP="000C2E7E">
            <w:pPr>
              <w:spacing w:after="0" w:line="240" w:lineRule="auto"/>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1828F4DF"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7646DC43"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77CDA99"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BDAD48F"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center"/>
            <w:hideMark/>
          </w:tcPr>
          <w:p w14:paraId="0519358A" w14:textId="77777777" w:rsidR="000C2E7E" w:rsidRPr="000C2E7E" w:rsidRDefault="000C2E7E" w:rsidP="000C2E7E">
            <w:pPr>
              <w:spacing w:after="0" w:line="240" w:lineRule="auto"/>
              <w:jc w:val="right"/>
              <w:rPr>
                <w:rFonts w:ascii="Times New Roman" w:eastAsia="Times New Roman" w:hAnsi="Times New Roman"/>
                <w:sz w:val="20"/>
                <w:szCs w:val="20"/>
              </w:rPr>
            </w:pPr>
          </w:p>
        </w:tc>
      </w:tr>
      <w:tr w:rsidR="000C2E7E" w:rsidRPr="000C2E7E" w14:paraId="6251DBDD" w14:textId="77777777" w:rsidTr="000C2E7E">
        <w:trPr>
          <w:trHeight w:val="285"/>
        </w:trPr>
        <w:tc>
          <w:tcPr>
            <w:tcW w:w="3180" w:type="dxa"/>
            <w:tcBorders>
              <w:top w:val="nil"/>
              <w:left w:val="nil"/>
              <w:bottom w:val="nil"/>
              <w:right w:val="nil"/>
            </w:tcBorders>
            <w:shd w:val="clear" w:color="auto" w:fill="auto"/>
            <w:noWrap/>
            <w:vAlign w:val="bottom"/>
            <w:hideMark/>
          </w:tcPr>
          <w:p w14:paraId="11AA56F4"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4ED67A5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(0.40)</w:t>
            </w:r>
          </w:p>
        </w:tc>
        <w:tc>
          <w:tcPr>
            <w:tcW w:w="100" w:type="dxa"/>
            <w:tcBorders>
              <w:top w:val="nil"/>
              <w:left w:val="nil"/>
              <w:bottom w:val="nil"/>
              <w:right w:val="nil"/>
            </w:tcBorders>
            <w:shd w:val="clear" w:color="auto" w:fill="auto"/>
            <w:noWrap/>
            <w:vAlign w:val="bottom"/>
            <w:hideMark/>
          </w:tcPr>
          <w:p w14:paraId="151F980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817D7C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0.56 </w:t>
            </w:r>
          </w:p>
        </w:tc>
        <w:tc>
          <w:tcPr>
            <w:tcW w:w="156" w:type="dxa"/>
            <w:tcBorders>
              <w:top w:val="nil"/>
              <w:left w:val="nil"/>
              <w:bottom w:val="nil"/>
              <w:right w:val="nil"/>
            </w:tcBorders>
            <w:shd w:val="clear" w:color="auto" w:fill="auto"/>
            <w:noWrap/>
            <w:vAlign w:val="bottom"/>
            <w:hideMark/>
          </w:tcPr>
          <w:p w14:paraId="45BEA11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D371CD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1.49 </w:t>
            </w:r>
          </w:p>
        </w:tc>
        <w:tc>
          <w:tcPr>
            <w:tcW w:w="100" w:type="dxa"/>
            <w:tcBorders>
              <w:top w:val="nil"/>
              <w:left w:val="nil"/>
              <w:bottom w:val="nil"/>
              <w:right w:val="nil"/>
            </w:tcBorders>
            <w:shd w:val="clear" w:color="auto" w:fill="auto"/>
            <w:noWrap/>
            <w:vAlign w:val="bottom"/>
            <w:hideMark/>
          </w:tcPr>
          <w:p w14:paraId="0659448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center"/>
            <w:hideMark/>
          </w:tcPr>
          <w:p w14:paraId="29A60D1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2.66 </w:t>
            </w:r>
          </w:p>
        </w:tc>
      </w:tr>
      <w:tr w:rsidR="000C2E7E" w:rsidRPr="000C2E7E" w14:paraId="506E6C73" w14:textId="77777777" w:rsidTr="000C2E7E">
        <w:trPr>
          <w:trHeight w:val="285"/>
        </w:trPr>
        <w:tc>
          <w:tcPr>
            <w:tcW w:w="3180" w:type="dxa"/>
            <w:tcBorders>
              <w:top w:val="nil"/>
              <w:left w:val="nil"/>
              <w:bottom w:val="nil"/>
              <w:right w:val="nil"/>
            </w:tcBorders>
            <w:shd w:val="clear" w:color="auto" w:fill="auto"/>
            <w:noWrap/>
            <w:vAlign w:val="bottom"/>
            <w:hideMark/>
          </w:tcPr>
          <w:p w14:paraId="796C8E50"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549C9BE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(0.40)</w:t>
            </w:r>
          </w:p>
        </w:tc>
        <w:tc>
          <w:tcPr>
            <w:tcW w:w="100" w:type="dxa"/>
            <w:tcBorders>
              <w:top w:val="nil"/>
              <w:left w:val="nil"/>
              <w:bottom w:val="nil"/>
              <w:right w:val="nil"/>
            </w:tcBorders>
            <w:shd w:val="clear" w:color="auto" w:fill="auto"/>
            <w:noWrap/>
            <w:vAlign w:val="bottom"/>
            <w:hideMark/>
          </w:tcPr>
          <w:p w14:paraId="1714FAA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AE0B26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0.55 </w:t>
            </w:r>
          </w:p>
        </w:tc>
        <w:tc>
          <w:tcPr>
            <w:tcW w:w="156" w:type="dxa"/>
            <w:tcBorders>
              <w:top w:val="nil"/>
              <w:left w:val="nil"/>
              <w:bottom w:val="nil"/>
              <w:right w:val="nil"/>
            </w:tcBorders>
            <w:shd w:val="clear" w:color="auto" w:fill="auto"/>
            <w:noWrap/>
            <w:vAlign w:val="bottom"/>
            <w:hideMark/>
          </w:tcPr>
          <w:p w14:paraId="392A170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EC2450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1.48 </w:t>
            </w:r>
          </w:p>
        </w:tc>
        <w:tc>
          <w:tcPr>
            <w:tcW w:w="100" w:type="dxa"/>
            <w:tcBorders>
              <w:top w:val="nil"/>
              <w:left w:val="nil"/>
              <w:bottom w:val="nil"/>
              <w:right w:val="nil"/>
            </w:tcBorders>
            <w:shd w:val="clear" w:color="auto" w:fill="auto"/>
            <w:noWrap/>
            <w:vAlign w:val="bottom"/>
            <w:hideMark/>
          </w:tcPr>
          <w:p w14:paraId="1DDFF7F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center"/>
            <w:hideMark/>
          </w:tcPr>
          <w:p w14:paraId="3437817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2.63 </w:t>
            </w:r>
          </w:p>
        </w:tc>
      </w:tr>
      <w:tr w:rsidR="000C2E7E" w:rsidRPr="000C2E7E" w14:paraId="00E21CF0" w14:textId="77777777" w:rsidTr="000C2E7E">
        <w:trPr>
          <w:trHeight w:val="285"/>
        </w:trPr>
        <w:tc>
          <w:tcPr>
            <w:tcW w:w="4260" w:type="dxa"/>
            <w:gridSpan w:val="2"/>
            <w:tcBorders>
              <w:top w:val="nil"/>
              <w:left w:val="nil"/>
              <w:bottom w:val="nil"/>
              <w:right w:val="nil"/>
            </w:tcBorders>
            <w:shd w:val="clear" w:color="auto" w:fill="auto"/>
            <w:noWrap/>
            <w:vAlign w:val="bottom"/>
            <w:hideMark/>
          </w:tcPr>
          <w:p w14:paraId="374356CA"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Weighted average shares outstanding:</w:t>
            </w:r>
          </w:p>
        </w:tc>
        <w:tc>
          <w:tcPr>
            <w:tcW w:w="100" w:type="dxa"/>
            <w:tcBorders>
              <w:top w:val="nil"/>
              <w:left w:val="nil"/>
              <w:bottom w:val="nil"/>
              <w:right w:val="nil"/>
            </w:tcBorders>
            <w:shd w:val="clear" w:color="auto" w:fill="auto"/>
            <w:noWrap/>
            <w:vAlign w:val="bottom"/>
            <w:hideMark/>
          </w:tcPr>
          <w:p w14:paraId="2D654326" w14:textId="77777777" w:rsidR="000C2E7E" w:rsidRPr="000C2E7E" w:rsidRDefault="000C2E7E" w:rsidP="000C2E7E">
            <w:pPr>
              <w:spacing w:after="0" w:line="240" w:lineRule="auto"/>
              <w:rPr>
                <w:rFonts w:ascii="Segoe UI" w:eastAsia="Times New Roman" w:hAnsi="Segoe UI" w:cs="Segoe UI"/>
                <w:color w:val="666666"/>
                <w:sz w:val="20"/>
                <w:szCs w:val="20"/>
              </w:rPr>
            </w:pPr>
          </w:p>
        </w:tc>
        <w:tc>
          <w:tcPr>
            <w:tcW w:w="920" w:type="dxa"/>
            <w:tcBorders>
              <w:top w:val="nil"/>
              <w:left w:val="nil"/>
              <w:bottom w:val="nil"/>
              <w:right w:val="nil"/>
            </w:tcBorders>
            <w:shd w:val="clear" w:color="auto" w:fill="auto"/>
            <w:noWrap/>
            <w:vAlign w:val="bottom"/>
            <w:hideMark/>
          </w:tcPr>
          <w:p w14:paraId="20CDD263"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130CE1AE"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03A8F26"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119294D3"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center"/>
            <w:hideMark/>
          </w:tcPr>
          <w:p w14:paraId="3F642B68" w14:textId="77777777" w:rsidR="000C2E7E" w:rsidRPr="000C2E7E" w:rsidRDefault="000C2E7E" w:rsidP="000C2E7E">
            <w:pPr>
              <w:spacing w:after="0" w:line="240" w:lineRule="auto"/>
              <w:jc w:val="right"/>
              <w:rPr>
                <w:rFonts w:ascii="Times New Roman" w:eastAsia="Times New Roman" w:hAnsi="Times New Roman"/>
                <w:sz w:val="20"/>
                <w:szCs w:val="20"/>
              </w:rPr>
            </w:pPr>
          </w:p>
        </w:tc>
      </w:tr>
      <w:tr w:rsidR="000C2E7E" w:rsidRPr="000C2E7E" w14:paraId="1FBC06E8" w14:textId="77777777" w:rsidTr="000C2E7E">
        <w:trPr>
          <w:trHeight w:val="285"/>
        </w:trPr>
        <w:tc>
          <w:tcPr>
            <w:tcW w:w="3180" w:type="dxa"/>
            <w:tcBorders>
              <w:top w:val="nil"/>
              <w:left w:val="nil"/>
              <w:bottom w:val="nil"/>
              <w:right w:val="nil"/>
            </w:tcBorders>
            <w:shd w:val="clear" w:color="auto" w:fill="auto"/>
            <w:noWrap/>
            <w:vAlign w:val="bottom"/>
            <w:hideMark/>
          </w:tcPr>
          <w:p w14:paraId="7D7CC2BB"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36476BD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8,061 </w:t>
            </w:r>
          </w:p>
        </w:tc>
        <w:tc>
          <w:tcPr>
            <w:tcW w:w="100" w:type="dxa"/>
            <w:tcBorders>
              <w:top w:val="nil"/>
              <w:left w:val="nil"/>
              <w:bottom w:val="nil"/>
              <w:right w:val="nil"/>
            </w:tcBorders>
            <w:shd w:val="clear" w:color="auto" w:fill="auto"/>
            <w:noWrap/>
            <w:vAlign w:val="bottom"/>
            <w:hideMark/>
          </w:tcPr>
          <w:p w14:paraId="6D009EF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BDF9311"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8,246 </w:t>
            </w:r>
          </w:p>
        </w:tc>
        <w:tc>
          <w:tcPr>
            <w:tcW w:w="156" w:type="dxa"/>
            <w:tcBorders>
              <w:top w:val="nil"/>
              <w:left w:val="nil"/>
              <w:bottom w:val="nil"/>
              <w:right w:val="nil"/>
            </w:tcBorders>
            <w:shd w:val="clear" w:color="auto" w:fill="auto"/>
            <w:noWrap/>
            <w:vAlign w:val="bottom"/>
            <w:hideMark/>
          </w:tcPr>
          <w:p w14:paraId="5B19E07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AC6428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8,177 </w:t>
            </w:r>
          </w:p>
        </w:tc>
        <w:tc>
          <w:tcPr>
            <w:tcW w:w="100" w:type="dxa"/>
            <w:tcBorders>
              <w:top w:val="nil"/>
              <w:left w:val="nil"/>
              <w:bottom w:val="nil"/>
              <w:right w:val="nil"/>
            </w:tcBorders>
            <w:shd w:val="clear" w:color="auto" w:fill="auto"/>
            <w:noWrap/>
            <w:vAlign w:val="bottom"/>
            <w:hideMark/>
          </w:tcPr>
          <w:p w14:paraId="72F2049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9A6D16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8,299 </w:t>
            </w:r>
          </w:p>
        </w:tc>
      </w:tr>
      <w:tr w:rsidR="000C2E7E" w:rsidRPr="000C2E7E" w14:paraId="2589D6ED" w14:textId="77777777" w:rsidTr="000C2E7E">
        <w:trPr>
          <w:trHeight w:val="285"/>
        </w:trPr>
        <w:tc>
          <w:tcPr>
            <w:tcW w:w="3180" w:type="dxa"/>
            <w:tcBorders>
              <w:top w:val="nil"/>
              <w:left w:val="nil"/>
              <w:bottom w:val="nil"/>
              <w:right w:val="nil"/>
            </w:tcBorders>
            <w:shd w:val="clear" w:color="auto" w:fill="auto"/>
            <w:noWrap/>
            <w:vAlign w:val="bottom"/>
            <w:hideMark/>
          </w:tcPr>
          <w:p w14:paraId="0B61A563"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3C1275C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8,061 </w:t>
            </w:r>
          </w:p>
        </w:tc>
        <w:tc>
          <w:tcPr>
            <w:tcW w:w="100" w:type="dxa"/>
            <w:tcBorders>
              <w:top w:val="nil"/>
              <w:left w:val="nil"/>
              <w:bottom w:val="nil"/>
              <w:right w:val="nil"/>
            </w:tcBorders>
            <w:shd w:val="clear" w:color="auto" w:fill="auto"/>
            <w:noWrap/>
            <w:vAlign w:val="bottom"/>
            <w:hideMark/>
          </w:tcPr>
          <w:p w14:paraId="2B3DDAB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EFD775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8,345 </w:t>
            </w:r>
          </w:p>
        </w:tc>
        <w:tc>
          <w:tcPr>
            <w:tcW w:w="156" w:type="dxa"/>
            <w:tcBorders>
              <w:top w:val="nil"/>
              <w:left w:val="nil"/>
              <w:bottom w:val="nil"/>
              <w:right w:val="nil"/>
            </w:tcBorders>
            <w:shd w:val="clear" w:color="auto" w:fill="auto"/>
            <w:noWrap/>
            <w:vAlign w:val="bottom"/>
            <w:hideMark/>
          </w:tcPr>
          <w:p w14:paraId="5CD97B3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E59933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8,254 </w:t>
            </w:r>
          </w:p>
        </w:tc>
        <w:tc>
          <w:tcPr>
            <w:tcW w:w="100" w:type="dxa"/>
            <w:tcBorders>
              <w:top w:val="nil"/>
              <w:left w:val="nil"/>
              <w:bottom w:val="nil"/>
              <w:right w:val="nil"/>
            </w:tcBorders>
            <w:shd w:val="clear" w:color="auto" w:fill="auto"/>
            <w:noWrap/>
            <w:vAlign w:val="bottom"/>
            <w:hideMark/>
          </w:tcPr>
          <w:p w14:paraId="6D71D72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358177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8,399 </w:t>
            </w:r>
          </w:p>
        </w:tc>
      </w:tr>
      <w:tr w:rsidR="000C2E7E" w:rsidRPr="000C2E7E" w14:paraId="5A4B829B" w14:textId="77777777" w:rsidTr="000C2E7E">
        <w:trPr>
          <w:trHeight w:val="570"/>
        </w:trPr>
        <w:tc>
          <w:tcPr>
            <w:tcW w:w="3180" w:type="dxa"/>
            <w:tcBorders>
              <w:top w:val="nil"/>
              <w:left w:val="nil"/>
              <w:bottom w:val="single" w:sz="4" w:space="0" w:color="auto"/>
              <w:right w:val="nil"/>
            </w:tcBorders>
            <w:shd w:val="clear" w:color="auto" w:fill="auto"/>
            <w:vAlign w:val="bottom"/>
            <w:hideMark/>
          </w:tcPr>
          <w:p w14:paraId="340704A3"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Cash dividends declared per</w:t>
            </w:r>
            <w:r w:rsidRPr="000C2E7E">
              <w:rPr>
                <w:rFonts w:ascii="Segoe UI" w:eastAsia="Times New Roman" w:hAnsi="Segoe UI" w:cs="Segoe UI"/>
                <w:color w:val="666666"/>
                <w:sz w:val="20"/>
                <w:szCs w:val="20"/>
              </w:rPr>
              <w:br/>
              <w:t xml:space="preserve">   common share</w:t>
            </w:r>
          </w:p>
        </w:tc>
        <w:tc>
          <w:tcPr>
            <w:tcW w:w="1080" w:type="dxa"/>
            <w:tcBorders>
              <w:top w:val="nil"/>
              <w:left w:val="nil"/>
              <w:bottom w:val="single" w:sz="4" w:space="0" w:color="auto"/>
              <w:right w:val="nil"/>
            </w:tcBorders>
            <w:shd w:val="clear" w:color="auto" w:fill="auto"/>
            <w:noWrap/>
            <w:vAlign w:val="bottom"/>
            <w:hideMark/>
          </w:tcPr>
          <w:p w14:paraId="0C49A01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0.31 </w:t>
            </w:r>
          </w:p>
        </w:tc>
        <w:tc>
          <w:tcPr>
            <w:tcW w:w="100" w:type="dxa"/>
            <w:tcBorders>
              <w:top w:val="nil"/>
              <w:left w:val="nil"/>
              <w:bottom w:val="single" w:sz="4" w:space="0" w:color="auto"/>
              <w:right w:val="nil"/>
            </w:tcBorders>
            <w:shd w:val="clear" w:color="auto" w:fill="auto"/>
            <w:noWrap/>
            <w:vAlign w:val="bottom"/>
            <w:hideMark/>
          </w:tcPr>
          <w:p w14:paraId="7F8F085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2D3ED83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0.28 </w:t>
            </w:r>
          </w:p>
        </w:tc>
        <w:tc>
          <w:tcPr>
            <w:tcW w:w="156" w:type="dxa"/>
            <w:tcBorders>
              <w:top w:val="nil"/>
              <w:left w:val="nil"/>
              <w:bottom w:val="single" w:sz="4" w:space="0" w:color="auto"/>
              <w:right w:val="nil"/>
            </w:tcBorders>
            <w:shd w:val="clear" w:color="auto" w:fill="auto"/>
            <w:noWrap/>
            <w:vAlign w:val="bottom"/>
            <w:hideMark/>
          </w:tcPr>
          <w:p w14:paraId="5EFA09F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395CAA2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1.24 </w:t>
            </w:r>
          </w:p>
        </w:tc>
        <w:tc>
          <w:tcPr>
            <w:tcW w:w="100" w:type="dxa"/>
            <w:tcBorders>
              <w:top w:val="nil"/>
              <w:left w:val="nil"/>
              <w:bottom w:val="single" w:sz="4" w:space="0" w:color="auto"/>
              <w:right w:val="nil"/>
            </w:tcBorders>
            <w:shd w:val="clear" w:color="auto" w:fill="auto"/>
            <w:noWrap/>
            <w:vAlign w:val="bottom"/>
            <w:hideMark/>
          </w:tcPr>
          <w:p w14:paraId="32F8BC8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0B65C53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1.12 </w:t>
            </w:r>
          </w:p>
        </w:tc>
      </w:tr>
    </w:tbl>
    <w:p w14:paraId="325113A7" w14:textId="77777777" w:rsidR="000C2E7E" w:rsidRDefault="000C2E7E" w:rsidP="00EA786C">
      <w:pPr>
        <w:pStyle w:val="NoSpacing"/>
        <w:spacing w:after="200" w:line="280" w:lineRule="exact"/>
        <w:rPr>
          <w:rFonts w:ascii="Segoe UI" w:hAnsi="Segoe UI" w:cs="Segoe UI"/>
          <w:color w:val="666666"/>
          <w:sz w:val="20"/>
          <w:szCs w:val="20"/>
        </w:rPr>
      </w:pPr>
    </w:p>
    <w:p w14:paraId="1DDE53EB" w14:textId="77777777" w:rsidR="000C2E7E" w:rsidRDefault="000C2E7E" w:rsidP="00EA786C">
      <w:pPr>
        <w:pStyle w:val="NoSpacing"/>
        <w:spacing w:after="200" w:line="280" w:lineRule="exact"/>
        <w:rPr>
          <w:rFonts w:ascii="Segoe UI" w:hAnsi="Segoe UI" w:cs="Segoe UI"/>
          <w:color w:val="666666"/>
          <w:sz w:val="20"/>
          <w:szCs w:val="20"/>
        </w:rPr>
      </w:pPr>
    </w:p>
    <w:p w14:paraId="75462F84" w14:textId="77777777" w:rsidR="000C2E7E" w:rsidRDefault="000C2E7E" w:rsidP="00EA786C">
      <w:pPr>
        <w:pStyle w:val="NoSpacing"/>
        <w:spacing w:after="200" w:line="280" w:lineRule="exact"/>
        <w:rPr>
          <w:rFonts w:ascii="Segoe UI" w:hAnsi="Segoe UI" w:cs="Segoe UI"/>
          <w:color w:val="666666"/>
          <w:sz w:val="20"/>
          <w:szCs w:val="20"/>
        </w:rPr>
      </w:pPr>
    </w:p>
    <w:p w14:paraId="2099D04B" w14:textId="77777777" w:rsidR="000C2E7E" w:rsidRDefault="000C2E7E" w:rsidP="00EA786C">
      <w:pPr>
        <w:pStyle w:val="NoSpacing"/>
        <w:spacing w:after="200" w:line="280" w:lineRule="exact"/>
        <w:rPr>
          <w:rFonts w:ascii="Segoe UI" w:hAnsi="Segoe UI" w:cs="Segoe UI"/>
          <w:color w:val="666666"/>
          <w:sz w:val="20"/>
          <w:szCs w:val="20"/>
        </w:rPr>
      </w:pPr>
    </w:p>
    <w:p w14:paraId="47D8921B" w14:textId="77777777" w:rsidR="000C2E7E" w:rsidRDefault="000C2E7E" w:rsidP="00EA786C">
      <w:pPr>
        <w:pStyle w:val="NoSpacing"/>
        <w:spacing w:after="200" w:line="280" w:lineRule="exact"/>
        <w:rPr>
          <w:rFonts w:ascii="Segoe UI" w:hAnsi="Segoe UI" w:cs="Segoe UI"/>
          <w:color w:val="666666"/>
          <w:sz w:val="20"/>
          <w:szCs w:val="20"/>
        </w:rPr>
      </w:pPr>
    </w:p>
    <w:p w14:paraId="5A69ECE0" w14:textId="77777777" w:rsidR="000C2E7E" w:rsidRDefault="000C2E7E" w:rsidP="00EA786C">
      <w:pPr>
        <w:pStyle w:val="NoSpacing"/>
        <w:spacing w:after="200" w:line="280" w:lineRule="exact"/>
        <w:rPr>
          <w:rFonts w:ascii="Segoe UI" w:hAnsi="Segoe UI" w:cs="Segoe UI"/>
          <w:color w:val="666666"/>
          <w:sz w:val="20"/>
          <w:szCs w:val="20"/>
        </w:rPr>
      </w:pPr>
    </w:p>
    <w:p w14:paraId="2CB129C3" w14:textId="77777777" w:rsidR="000C2E7E" w:rsidRDefault="000C2E7E" w:rsidP="00EA786C">
      <w:pPr>
        <w:pStyle w:val="NoSpacing"/>
        <w:spacing w:after="200" w:line="280" w:lineRule="exact"/>
        <w:rPr>
          <w:rFonts w:ascii="Segoe UI" w:hAnsi="Segoe UI" w:cs="Segoe UI"/>
          <w:color w:val="666666"/>
          <w:sz w:val="20"/>
          <w:szCs w:val="20"/>
        </w:rPr>
      </w:pPr>
    </w:p>
    <w:p w14:paraId="239BF642" w14:textId="77777777" w:rsidR="000C2E7E" w:rsidRDefault="000C2E7E" w:rsidP="00EA786C">
      <w:pPr>
        <w:pStyle w:val="NoSpacing"/>
        <w:spacing w:after="200" w:line="280" w:lineRule="exact"/>
        <w:rPr>
          <w:rFonts w:ascii="Segoe UI" w:hAnsi="Segoe UI" w:cs="Segoe UI"/>
          <w:color w:val="666666"/>
          <w:sz w:val="20"/>
          <w:szCs w:val="20"/>
        </w:rPr>
      </w:pPr>
    </w:p>
    <w:p w14:paraId="31430257" w14:textId="77777777" w:rsidR="000C2E7E" w:rsidRDefault="000C2E7E" w:rsidP="00EA786C">
      <w:pPr>
        <w:pStyle w:val="NoSpacing"/>
        <w:spacing w:after="200" w:line="280" w:lineRule="exact"/>
        <w:rPr>
          <w:rFonts w:ascii="Segoe UI" w:hAnsi="Segoe UI" w:cs="Segoe UI"/>
          <w:color w:val="666666"/>
          <w:sz w:val="20"/>
          <w:szCs w:val="20"/>
        </w:rPr>
      </w:pPr>
    </w:p>
    <w:p w14:paraId="72BD9E91" w14:textId="77777777" w:rsidR="000C2E7E" w:rsidRDefault="000C2E7E" w:rsidP="00EA786C">
      <w:pPr>
        <w:pStyle w:val="NoSpacing"/>
        <w:spacing w:after="200" w:line="280" w:lineRule="exact"/>
        <w:rPr>
          <w:rFonts w:ascii="Segoe UI" w:hAnsi="Segoe UI" w:cs="Segoe UI"/>
          <w:color w:val="666666"/>
          <w:sz w:val="20"/>
          <w:szCs w:val="20"/>
        </w:rPr>
      </w:pPr>
    </w:p>
    <w:p w14:paraId="6F790E25" w14:textId="77777777" w:rsidR="000C2E7E" w:rsidRDefault="000C2E7E" w:rsidP="00EA786C">
      <w:pPr>
        <w:pStyle w:val="NoSpacing"/>
        <w:spacing w:after="200" w:line="280" w:lineRule="exact"/>
        <w:rPr>
          <w:rFonts w:ascii="Segoe UI" w:hAnsi="Segoe UI" w:cs="Segoe UI"/>
          <w:color w:val="666666"/>
          <w:sz w:val="20"/>
          <w:szCs w:val="20"/>
        </w:rPr>
      </w:pPr>
    </w:p>
    <w:p w14:paraId="122089D2" w14:textId="77777777" w:rsidR="000C2E7E" w:rsidRDefault="000C2E7E" w:rsidP="00EA786C">
      <w:pPr>
        <w:pStyle w:val="NoSpacing"/>
        <w:spacing w:after="200" w:line="280" w:lineRule="exact"/>
        <w:rPr>
          <w:rFonts w:ascii="Segoe UI" w:hAnsi="Segoe UI" w:cs="Segoe UI"/>
          <w:color w:val="666666"/>
          <w:sz w:val="20"/>
          <w:szCs w:val="20"/>
        </w:rPr>
      </w:pPr>
    </w:p>
    <w:p w14:paraId="0553F1D1" w14:textId="77777777" w:rsidR="000C2E7E" w:rsidRDefault="000C2E7E" w:rsidP="00EA786C">
      <w:pPr>
        <w:pStyle w:val="NoSpacing"/>
        <w:spacing w:after="200" w:line="280" w:lineRule="exact"/>
        <w:rPr>
          <w:rFonts w:ascii="Segoe UI" w:hAnsi="Segoe UI" w:cs="Segoe UI"/>
          <w:color w:val="666666"/>
          <w:sz w:val="20"/>
          <w:szCs w:val="20"/>
        </w:rPr>
      </w:pPr>
    </w:p>
    <w:p w14:paraId="7B93153B" w14:textId="77777777" w:rsidR="000C2E7E" w:rsidRDefault="000C2E7E" w:rsidP="00EA786C">
      <w:pPr>
        <w:pStyle w:val="NoSpacing"/>
        <w:spacing w:after="200" w:line="280" w:lineRule="exact"/>
        <w:rPr>
          <w:rFonts w:ascii="Segoe UI" w:hAnsi="Segoe UI" w:cs="Segoe UI"/>
          <w:color w:val="666666"/>
          <w:sz w:val="20"/>
          <w:szCs w:val="20"/>
        </w:rPr>
      </w:pPr>
    </w:p>
    <w:tbl>
      <w:tblPr>
        <w:tblW w:w="7636" w:type="dxa"/>
        <w:tblCellMar>
          <w:left w:w="0" w:type="dxa"/>
          <w:right w:w="0" w:type="dxa"/>
        </w:tblCellMar>
        <w:tblLook w:val="04A0" w:firstRow="1" w:lastRow="0" w:firstColumn="1" w:lastColumn="0" w:noHBand="0" w:noVBand="1"/>
      </w:tblPr>
      <w:tblGrid>
        <w:gridCol w:w="3196"/>
        <w:gridCol w:w="1096"/>
        <w:gridCol w:w="116"/>
        <w:gridCol w:w="936"/>
        <w:gridCol w:w="172"/>
        <w:gridCol w:w="1196"/>
        <w:gridCol w:w="116"/>
        <w:gridCol w:w="936"/>
      </w:tblGrid>
      <w:tr w:rsidR="00C37394" w:rsidRPr="00C37394" w14:paraId="172B762C" w14:textId="77777777" w:rsidTr="00C37394">
        <w:trPr>
          <w:trHeight w:val="285"/>
        </w:trPr>
        <w:tc>
          <w:tcPr>
            <w:tcW w:w="3180" w:type="dxa"/>
            <w:tcBorders>
              <w:top w:val="nil"/>
              <w:left w:val="nil"/>
              <w:bottom w:val="nil"/>
              <w:right w:val="nil"/>
            </w:tcBorders>
            <w:shd w:val="clear" w:color="auto" w:fill="auto"/>
            <w:noWrap/>
            <w:vAlign w:val="bottom"/>
            <w:hideMark/>
          </w:tcPr>
          <w:p w14:paraId="15A97EC4" w14:textId="77777777" w:rsidR="00C37394" w:rsidRPr="00C37394" w:rsidRDefault="00C37394" w:rsidP="00C37394">
            <w:pPr>
              <w:spacing w:after="0" w:line="240" w:lineRule="auto"/>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MICROSOFT CORPORATION</w:t>
            </w:r>
          </w:p>
        </w:tc>
        <w:tc>
          <w:tcPr>
            <w:tcW w:w="1080" w:type="dxa"/>
            <w:tcBorders>
              <w:top w:val="nil"/>
              <w:left w:val="nil"/>
              <w:bottom w:val="nil"/>
              <w:right w:val="nil"/>
            </w:tcBorders>
            <w:shd w:val="clear" w:color="auto" w:fill="auto"/>
            <w:noWrap/>
            <w:vAlign w:val="bottom"/>
            <w:hideMark/>
          </w:tcPr>
          <w:p w14:paraId="2270EE1C" w14:textId="77777777" w:rsidR="00C37394" w:rsidRPr="00C37394" w:rsidRDefault="00C37394" w:rsidP="00C37394">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616B77E5" w14:textId="77777777" w:rsidR="00C37394" w:rsidRPr="00C37394" w:rsidRDefault="00C37394" w:rsidP="00C37394">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72E37038" w14:textId="77777777" w:rsidR="00C37394" w:rsidRPr="00C37394" w:rsidRDefault="00C37394" w:rsidP="00C37394">
            <w:pPr>
              <w:spacing w:after="0" w:line="240" w:lineRule="auto"/>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1A5500FE" w14:textId="77777777" w:rsidR="00C37394" w:rsidRPr="00C37394" w:rsidRDefault="00C37394" w:rsidP="00C3739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A13D26F" w14:textId="77777777" w:rsidR="00C37394" w:rsidRPr="00C37394" w:rsidRDefault="00C37394" w:rsidP="00C37394">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757CD512" w14:textId="77777777" w:rsidR="00C37394" w:rsidRPr="00C37394" w:rsidRDefault="00C37394" w:rsidP="00C37394">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51071131" w14:textId="77777777" w:rsidR="00C37394" w:rsidRPr="00C37394" w:rsidRDefault="00C37394" w:rsidP="00C37394">
            <w:pPr>
              <w:spacing w:after="0" w:line="240" w:lineRule="auto"/>
              <w:rPr>
                <w:rFonts w:ascii="Times New Roman" w:eastAsia="Times New Roman" w:hAnsi="Times New Roman"/>
                <w:sz w:val="20"/>
                <w:szCs w:val="20"/>
              </w:rPr>
            </w:pPr>
          </w:p>
        </w:tc>
      </w:tr>
      <w:tr w:rsidR="00C37394" w:rsidRPr="00C37394" w14:paraId="45368F31" w14:textId="77777777" w:rsidTr="00C37394">
        <w:trPr>
          <w:trHeight w:val="285"/>
        </w:trPr>
        <w:tc>
          <w:tcPr>
            <w:tcW w:w="3180" w:type="dxa"/>
            <w:tcBorders>
              <w:top w:val="nil"/>
              <w:left w:val="nil"/>
              <w:bottom w:val="nil"/>
              <w:right w:val="nil"/>
            </w:tcBorders>
            <w:shd w:val="clear" w:color="auto" w:fill="auto"/>
            <w:noWrap/>
            <w:vAlign w:val="bottom"/>
            <w:hideMark/>
          </w:tcPr>
          <w:p w14:paraId="796122A3" w14:textId="77777777" w:rsidR="00C37394" w:rsidRPr="00C37394" w:rsidRDefault="00C37394" w:rsidP="00C37394">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1E7AD14F" w14:textId="77777777" w:rsidR="00C37394" w:rsidRPr="00C37394" w:rsidRDefault="00C37394" w:rsidP="00C37394">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68BC948B" w14:textId="77777777" w:rsidR="00C37394" w:rsidRPr="00C37394" w:rsidRDefault="00C37394" w:rsidP="00C37394">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259B9853" w14:textId="77777777" w:rsidR="00C37394" w:rsidRPr="00C37394" w:rsidRDefault="00C37394" w:rsidP="00C37394">
            <w:pPr>
              <w:spacing w:after="0" w:line="240" w:lineRule="auto"/>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5D2F7D58" w14:textId="77777777" w:rsidR="00C37394" w:rsidRPr="00C37394" w:rsidRDefault="00C37394" w:rsidP="00C3739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1E886F8" w14:textId="77777777" w:rsidR="00C37394" w:rsidRPr="00C37394" w:rsidRDefault="00C37394" w:rsidP="00C37394">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508E7E15" w14:textId="77777777" w:rsidR="00C37394" w:rsidRPr="00C37394" w:rsidRDefault="00C37394" w:rsidP="00C37394">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0587C8FF" w14:textId="77777777" w:rsidR="00C37394" w:rsidRPr="00C37394" w:rsidRDefault="00C37394" w:rsidP="00C37394">
            <w:pPr>
              <w:spacing w:after="0" w:line="240" w:lineRule="auto"/>
              <w:rPr>
                <w:rFonts w:ascii="Times New Roman" w:eastAsia="Times New Roman" w:hAnsi="Times New Roman"/>
                <w:sz w:val="20"/>
                <w:szCs w:val="20"/>
              </w:rPr>
            </w:pPr>
          </w:p>
        </w:tc>
      </w:tr>
      <w:tr w:rsidR="00C37394" w:rsidRPr="00C37394" w14:paraId="3F758CE8" w14:textId="77777777" w:rsidTr="00C37394">
        <w:trPr>
          <w:trHeight w:val="285"/>
        </w:trPr>
        <w:tc>
          <w:tcPr>
            <w:tcW w:w="7636" w:type="dxa"/>
            <w:gridSpan w:val="8"/>
            <w:tcBorders>
              <w:top w:val="nil"/>
              <w:left w:val="nil"/>
              <w:bottom w:val="nil"/>
              <w:right w:val="nil"/>
            </w:tcBorders>
            <w:shd w:val="clear" w:color="auto" w:fill="auto"/>
            <w:noWrap/>
            <w:vAlign w:val="bottom"/>
            <w:hideMark/>
          </w:tcPr>
          <w:p w14:paraId="59201940" w14:textId="77777777" w:rsidR="00C37394" w:rsidRPr="00C37394" w:rsidRDefault="00C37394" w:rsidP="00C37394">
            <w:pPr>
              <w:spacing w:after="0" w:line="240" w:lineRule="auto"/>
              <w:jc w:val="center"/>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COMPREHENSIVE INCOME STATEMENTS</w:t>
            </w:r>
          </w:p>
        </w:tc>
      </w:tr>
      <w:tr w:rsidR="00C37394" w:rsidRPr="00C37394" w14:paraId="1E4A73FC" w14:textId="77777777" w:rsidTr="00C37394">
        <w:trPr>
          <w:trHeight w:val="285"/>
        </w:trPr>
        <w:tc>
          <w:tcPr>
            <w:tcW w:w="7636" w:type="dxa"/>
            <w:gridSpan w:val="8"/>
            <w:tcBorders>
              <w:top w:val="nil"/>
              <w:left w:val="nil"/>
              <w:bottom w:val="nil"/>
              <w:right w:val="nil"/>
            </w:tcBorders>
            <w:shd w:val="clear" w:color="auto" w:fill="auto"/>
            <w:noWrap/>
            <w:vAlign w:val="bottom"/>
            <w:hideMark/>
          </w:tcPr>
          <w:p w14:paraId="1BAB8643" w14:textId="77777777" w:rsidR="00C37394" w:rsidRPr="00C37394" w:rsidRDefault="00C37394" w:rsidP="00C37394">
            <w:pPr>
              <w:spacing w:after="0" w:line="240" w:lineRule="auto"/>
              <w:jc w:val="center"/>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(In millions)(Unaudited)</w:t>
            </w:r>
          </w:p>
        </w:tc>
      </w:tr>
      <w:tr w:rsidR="00C37394" w:rsidRPr="00C37394" w14:paraId="74CA218B" w14:textId="77777777" w:rsidTr="00C37394">
        <w:trPr>
          <w:trHeight w:val="285"/>
        </w:trPr>
        <w:tc>
          <w:tcPr>
            <w:tcW w:w="3180" w:type="dxa"/>
            <w:tcBorders>
              <w:top w:val="nil"/>
              <w:left w:val="nil"/>
              <w:bottom w:val="nil"/>
              <w:right w:val="nil"/>
            </w:tcBorders>
            <w:shd w:val="clear" w:color="auto" w:fill="auto"/>
            <w:noWrap/>
            <w:vAlign w:val="bottom"/>
            <w:hideMark/>
          </w:tcPr>
          <w:p w14:paraId="29505481" w14:textId="77777777" w:rsidR="00C37394" w:rsidRPr="00C37394" w:rsidRDefault="00C37394" w:rsidP="00C37394">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09C6970F" w14:textId="77777777" w:rsidR="00C37394" w:rsidRPr="00C37394" w:rsidRDefault="00C37394" w:rsidP="00C37394">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29DC4C9" w14:textId="77777777" w:rsidR="00C37394" w:rsidRPr="00C37394" w:rsidRDefault="00C37394" w:rsidP="00C37394">
            <w:pPr>
              <w:spacing w:after="0" w:line="240" w:lineRule="auto"/>
              <w:jc w:val="center"/>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19931E8D" w14:textId="77777777" w:rsidR="00C37394" w:rsidRPr="00C37394" w:rsidRDefault="00C37394" w:rsidP="00C37394">
            <w:pPr>
              <w:spacing w:after="0" w:line="240" w:lineRule="auto"/>
              <w:jc w:val="center"/>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3C07BE4C" w14:textId="77777777" w:rsidR="00C37394" w:rsidRPr="00C37394" w:rsidRDefault="00C37394" w:rsidP="00C37394">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01C307F" w14:textId="77777777" w:rsidR="00C37394" w:rsidRPr="00C37394" w:rsidRDefault="00C37394" w:rsidP="00C37394">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47D252C" w14:textId="77777777" w:rsidR="00C37394" w:rsidRPr="00C37394" w:rsidRDefault="00C37394" w:rsidP="00C37394">
            <w:pPr>
              <w:spacing w:after="0" w:line="240" w:lineRule="auto"/>
              <w:jc w:val="center"/>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7007C2D4" w14:textId="77777777" w:rsidR="00C37394" w:rsidRPr="00C37394" w:rsidRDefault="00C37394" w:rsidP="00C37394">
            <w:pPr>
              <w:spacing w:after="0" w:line="240" w:lineRule="auto"/>
              <w:jc w:val="center"/>
              <w:rPr>
                <w:rFonts w:ascii="Times New Roman" w:eastAsia="Times New Roman" w:hAnsi="Times New Roman"/>
                <w:sz w:val="20"/>
                <w:szCs w:val="20"/>
              </w:rPr>
            </w:pPr>
          </w:p>
        </w:tc>
      </w:tr>
      <w:tr w:rsidR="00C37394" w:rsidRPr="00C37394" w14:paraId="3ED34478" w14:textId="77777777" w:rsidTr="00C37394">
        <w:trPr>
          <w:trHeight w:val="285"/>
        </w:trPr>
        <w:tc>
          <w:tcPr>
            <w:tcW w:w="3180" w:type="dxa"/>
            <w:tcBorders>
              <w:top w:val="nil"/>
              <w:left w:val="nil"/>
              <w:bottom w:val="nil"/>
              <w:right w:val="nil"/>
            </w:tcBorders>
            <w:shd w:val="clear" w:color="auto" w:fill="auto"/>
            <w:noWrap/>
            <w:vAlign w:val="bottom"/>
            <w:hideMark/>
          </w:tcPr>
          <w:p w14:paraId="0975CC4F" w14:textId="77777777" w:rsidR="00C37394" w:rsidRPr="00C37394" w:rsidRDefault="00C37394" w:rsidP="00C37394">
            <w:pPr>
              <w:spacing w:after="0" w:line="240" w:lineRule="auto"/>
              <w:jc w:val="center"/>
              <w:rPr>
                <w:rFonts w:ascii="Times New Roman" w:eastAsia="Times New Roman" w:hAnsi="Times New Roman"/>
                <w:sz w:val="20"/>
                <w:szCs w:val="20"/>
              </w:rPr>
            </w:pPr>
          </w:p>
        </w:tc>
        <w:tc>
          <w:tcPr>
            <w:tcW w:w="2100" w:type="dxa"/>
            <w:gridSpan w:val="3"/>
            <w:vMerge w:val="restart"/>
            <w:tcBorders>
              <w:top w:val="nil"/>
              <w:left w:val="nil"/>
              <w:bottom w:val="nil"/>
              <w:right w:val="nil"/>
            </w:tcBorders>
            <w:shd w:val="clear" w:color="auto" w:fill="auto"/>
            <w:vAlign w:val="bottom"/>
            <w:hideMark/>
          </w:tcPr>
          <w:p w14:paraId="072B9B17"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Three Months Ended June 30,</w:t>
            </w:r>
          </w:p>
        </w:tc>
        <w:tc>
          <w:tcPr>
            <w:tcW w:w="156" w:type="dxa"/>
            <w:tcBorders>
              <w:top w:val="nil"/>
              <w:left w:val="nil"/>
              <w:bottom w:val="nil"/>
              <w:right w:val="nil"/>
            </w:tcBorders>
            <w:shd w:val="clear" w:color="auto" w:fill="auto"/>
            <w:vAlign w:val="bottom"/>
            <w:hideMark/>
          </w:tcPr>
          <w:p w14:paraId="2EE97129"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2200" w:type="dxa"/>
            <w:gridSpan w:val="3"/>
            <w:vMerge w:val="restart"/>
            <w:tcBorders>
              <w:top w:val="nil"/>
              <w:left w:val="nil"/>
              <w:bottom w:val="nil"/>
              <w:right w:val="nil"/>
            </w:tcBorders>
            <w:shd w:val="clear" w:color="auto" w:fill="auto"/>
            <w:vAlign w:val="bottom"/>
            <w:hideMark/>
          </w:tcPr>
          <w:p w14:paraId="4CA70763"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Twelve Months Ended June 30,</w:t>
            </w:r>
          </w:p>
        </w:tc>
      </w:tr>
      <w:tr w:rsidR="00C37394" w:rsidRPr="00C37394" w14:paraId="67A464A5" w14:textId="77777777" w:rsidTr="00C37394">
        <w:trPr>
          <w:trHeight w:val="285"/>
        </w:trPr>
        <w:tc>
          <w:tcPr>
            <w:tcW w:w="3180" w:type="dxa"/>
            <w:tcBorders>
              <w:top w:val="nil"/>
              <w:left w:val="nil"/>
              <w:bottom w:val="nil"/>
              <w:right w:val="nil"/>
            </w:tcBorders>
            <w:shd w:val="clear" w:color="auto" w:fill="auto"/>
            <w:noWrap/>
            <w:vAlign w:val="bottom"/>
            <w:hideMark/>
          </w:tcPr>
          <w:p w14:paraId="49F691D3"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2100" w:type="dxa"/>
            <w:gridSpan w:val="3"/>
            <w:vMerge/>
            <w:tcBorders>
              <w:top w:val="nil"/>
              <w:left w:val="nil"/>
              <w:bottom w:val="nil"/>
              <w:right w:val="nil"/>
            </w:tcBorders>
            <w:vAlign w:val="center"/>
            <w:hideMark/>
          </w:tcPr>
          <w:p w14:paraId="13452A84" w14:textId="77777777" w:rsidR="00C37394" w:rsidRPr="00C37394" w:rsidRDefault="00C37394" w:rsidP="00C37394">
            <w:pPr>
              <w:spacing w:after="0" w:line="240" w:lineRule="auto"/>
              <w:rPr>
                <w:rFonts w:ascii="Segoe UI" w:eastAsia="Times New Roman" w:hAnsi="Segoe UI" w:cs="Segoe UI"/>
                <w:b/>
                <w:bCs/>
                <w:color w:val="666666"/>
                <w:sz w:val="20"/>
                <w:szCs w:val="20"/>
              </w:rPr>
            </w:pPr>
          </w:p>
        </w:tc>
        <w:tc>
          <w:tcPr>
            <w:tcW w:w="156" w:type="dxa"/>
            <w:tcBorders>
              <w:top w:val="nil"/>
              <w:left w:val="nil"/>
              <w:bottom w:val="nil"/>
              <w:right w:val="nil"/>
            </w:tcBorders>
            <w:shd w:val="clear" w:color="auto" w:fill="auto"/>
            <w:vAlign w:val="bottom"/>
            <w:hideMark/>
          </w:tcPr>
          <w:p w14:paraId="5F7CBBC7" w14:textId="77777777" w:rsidR="00C37394" w:rsidRPr="00C37394" w:rsidRDefault="00C37394" w:rsidP="00C37394">
            <w:pPr>
              <w:spacing w:after="0" w:line="240" w:lineRule="auto"/>
              <w:rPr>
                <w:rFonts w:ascii="Times New Roman" w:eastAsia="Times New Roman" w:hAnsi="Times New Roman"/>
                <w:sz w:val="20"/>
                <w:szCs w:val="20"/>
              </w:rPr>
            </w:pPr>
          </w:p>
        </w:tc>
        <w:tc>
          <w:tcPr>
            <w:tcW w:w="2200" w:type="dxa"/>
            <w:gridSpan w:val="3"/>
            <w:vMerge/>
            <w:tcBorders>
              <w:top w:val="nil"/>
              <w:left w:val="nil"/>
              <w:bottom w:val="nil"/>
              <w:right w:val="nil"/>
            </w:tcBorders>
            <w:vAlign w:val="center"/>
            <w:hideMark/>
          </w:tcPr>
          <w:p w14:paraId="4F3CB97A" w14:textId="77777777" w:rsidR="00C37394" w:rsidRPr="00C37394" w:rsidRDefault="00C37394" w:rsidP="00C37394">
            <w:pPr>
              <w:spacing w:after="0" w:line="240" w:lineRule="auto"/>
              <w:rPr>
                <w:rFonts w:ascii="Segoe UI" w:eastAsia="Times New Roman" w:hAnsi="Segoe UI" w:cs="Segoe UI"/>
                <w:b/>
                <w:bCs/>
                <w:color w:val="666666"/>
                <w:sz w:val="20"/>
                <w:szCs w:val="20"/>
              </w:rPr>
            </w:pPr>
          </w:p>
        </w:tc>
      </w:tr>
      <w:tr w:rsidR="00C37394" w:rsidRPr="00C37394" w14:paraId="522C0158" w14:textId="77777777" w:rsidTr="00C37394">
        <w:trPr>
          <w:trHeight w:val="285"/>
        </w:trPr>
        <w:tc>
          <w:tcPr>
            <w:tcW w:w="3180" w:type="dxa"/>
            <w:tcBorders>
              <w:top w:val="nil"/>
              <w:left w:val="nil"/>
              <w:bottom w:val="single" w:sz="4" w:space="0" w:color="auto"/>
              <w:right w:val="nil"/>
            </w:tcBorders>
            <w:shd w:val="clear" w:color="auto" w:fill="auto"/>
            <w:noWrap/>
            <w:vAlign w:val="bottom"/>
            <w:hideMark/>
          </w:tcPr>
          <w:p w14:paraId="28B5FA4A" w14:textId="77777777" w:rsidR="00C37394" w:rsidRPr="00C37394" w:rsidRDefault="00C37394" w:rsidP="00C37394">
            <w:pPr>
              <w:spacing w:after="0" w:line="240" w:lineRule="auto"/>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684FB562"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2015</w:t>
            </w:r>
          </w:p>
        </w:tc>
        <w:tc>
          <w:tcPr>
            <w:tcW w:w="100" w:type="dxa"/>
            <w:tcBorders>
              <w:top w:val="nil"/>
              <w:left w:val="nil"/>
              <w:bottom w:val="single" w:sz="4" w:space="0" w:color="auto"/>
              <w:right w:val="nil"/>
            </w:tcBorders>
            <w:shd w:val="clear" w:color="auto" w:fill="auto"/>
            <w:noWrap/>
            <w:vAlign w:val="bottom"/>
            <w:hideMark/>
          </w:tcPr>
          <w:p w14:paraId="54EE5BE6"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57486497"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2014</w:t>
            </w:r>
          </w:p>
        </w:tc>
        <w:tc>
          <w:tcPr>
            <w:tcW w:w="156" w:type="dxa"/>
            <w:tcBorders>
              <w:top w:val="nil"/>
              <w:left w:val="nil"/>
              <w:bottom w:val="single" w:sz="4" w:space="0" w:color="auto"/>
              <w:right w:val="nil"/>
            </w:tcBorders>
            <w:shd w:val="clear" w:color="auto" w:fill="auto"/>
            <w:noWrap/>
            <w:vAlign w:val="bottom"/>
            <w:hideMark/>
          </w:tcPr>
          <w:p w14:paraId="0F47CD20"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5094F70D"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2015</w:t>
            </w:r>
          </w:p>
        </w:tc>
        <w:tc>
          <w:tcPr>
            <w:tcW w:w="100" w:type="dxa"/>
            <w:tcBorders>
              <w:top w:val="nil"/>
              <w:left w:val="nil"/>
              <w:bottom w:val="single" w:sz="4" w:space="0" w:color="auto"/>
              <w:right w:val="nil"/>
            </w:tcBorders>
            <w:shd w:val="clear" w:color="auto" w:fill="auto"/>
            <w:noWrap/>
            <w:vAlign w:val="bottom"/>
            <w:hideMark/>
          </w:tcPr>
          <w:p w14:paraId="7DD690ED"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2B82C0D2"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2014</w:t>
            </w:r>
          </w:p>
        </w:tc>
      </w:tr>
      <w:tr w:rsidR="00C37394" w:rsidRPr="00C37394" w14:paraId="4C539C74" w14:textId="77777777" w:rsidTr="00C37394">
        <w:trPr>
          <w:trHeight w:val="285"/>
        </w:trPr>
        <w:tc>
          <w:tcPr>
            <w:tcW w:w="3180" w:type="dxa"/>
            <w:tcBorders>
              <w:top w:val="nil"/>
              <w:left w:val="nil"/>
              <w:bottom w:val="nil"/>
              <w:right w:val="nil"/>
            </w:tcBorders>
            <w:shd w:val="clear" w:color="auto" w:fill="auto"/>
            <w:noWrap/>
            <w:vAlign w:val="bottom"/>
            <w:hideMark/>
          </w:tcPr>
          <w:p w14:paraId="7D3C6AA0" w14:textId="77777777" w:rsidR="00C37394" w:rsidRPr="00C37394" w:rsidRDefault="00C37394" w:rsidP="00C37394">
            <w:pPr>
              <w:spacing w:after="0" w:line="240" w:lineRule="auto"/>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Net income (loss)</w:t>
            </w:r>
          </w:p>
        </w:tc>
        <w:tc>
          <w:tcPr>
            <w:tcW w:w="1080" w:type="dxa"/>
            <w:tcBorders>
              <w:top w:val="nil"/>
              <w:left w:val="nil"/>
              <w:bottom w:val="single" w:sz="4" w:space="0" w:color="auto"/>
              <w:right w:val="nil"/>
            </w:tcBorders>
            <w:shd w:val="clear" w:color="auto" w:fill="auto"/>
            <w:noWrap/>
            <w:vAlign w:val="bottom"/>
            <w:hideMark/>
          </w:tcPr>
          <w:p w14:paraId="11D37E47"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 xml:space="preserve"> $   (3,195)</w:t>
            </w:r>
          </w:p>
        </w:tc>
        <w:tc>
          <w:tcPr>
            <w:tcW w:w="100" w:type="dxa"/>
            <w:tcBorders>
              <w:top w:val="nil"/>
              <w:left w:val="nil"/>
              <w:bottom w:val="nil"/>
              <w:right w:val="nil"/>
            </w:tcBorders>
            <w:shd w:val="clear" w:color="auto" w:fill="auto"/>
            <w:noWrap/>
            <w:vAlign w:val="bottom"/>
            <w:hideMark/>
          </w:tcPr>
          <w:p w14:paraId="79A030E6"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1180CFDC"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 $  4,612 </w:t>
            </w:r>
          </w:p>
        </w:tc>
        <w:tc>
          <w:tcPr>
            <w:tcW w:w="156" w:type="dxa"/>
            <w:tcBorders>
              <w:top w:val="nil"/>
              <w:left w:val="nil"/>
              <w:bottom w:val="nil"/>
              <w:right w:val="nil"/>
            </w:tcBorders>
            <w:shd w:val="clear" w:color="auto" w:fill="auto"/>
            <w:noWrap/>
            <w:vAlign w:val="bottom"/>
            <w:hideMark/>
          </w:tcPr>
          <w:p w14:paraId="15B2D868"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0924CB14"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 xml:space="preserve"> $    12,193 </w:t>
            </w:r>
          </w:p>
        </w:tc>
        <w:tc>
          <w:tcPr>
            <w:tcW w:w="100" w:type="dxa"/>
            <w:tcBorders>
              <w:top w:val="nil"/>
              <w:left w:val="nil"/>
              <w:bottom w:val="nil"/>
              <w:right w:val="nil"/>
            </w:tcBorders>
            <w:shd w:val="clear" w:color="auto" w:fill="auto"/>
            <w:noWrap/>
            <w:vAlign w:val="bottom"/>
            <w:hideMark/>
          </w:tcPr>
          <w:p w14:paraId="638F61B4"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0EA43360"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 $22,074 </w:t>
            </w:r>
          </w:p>
        </w:tc>
      </w:tr>
      <w:tr w:rsidR="00C37394" w:rsidRPr="00C37394" w14:paraId="7153E473" w14:textId="77777777" w:rsidTr="00C37394">
        <w:trPr>
          <w:trHeight w:val="285"/>
        </w:trPr>
        <w:tc>
          <w:tcPr>
            <w:tcW w:w="4260" w:type="dxa"/>
            <w:gridSpan w:val="2"/>
            <w:tcBorders>
              <w:top w:val="nil"/>
              <w:left w:val="nil"/>
              <w:bottom w:val="nil"/>
              <w:right w:val="nil"/>
            </w:tcBorders>
            <w:shd w:val="clear" w:color="auto" w:fill="auto"/>
            <w:noWrap/>
            <w:vAlign w:val="bottom"/>
            <w:hideMark/>
          </w:tcPr>
          <w:p w14:paraId="3EA5D8EB" w14:textId="77777777" w:rsidR="00C37394" w:rsidRPr="00C37394" w:rsidRDefault="00C37394" w:rsidP="00C37394">
            <w:pPr>
              <w:spacing w:after="0" w:line="240" w:lineRule="auto"/>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Other comprehensive income (loss):</w:t>
            </w:r>
          </w:p>
        </w:tc>
        <w:tc>
          <w:tcPr>
            <w:tcW w:w="100" w:type="dxa"/>
            <w:tcBorders>
              <w:top w:val="nil"/>
              <w:left w:val="nil"/>
              <w:bottom w:val="nil"/>
              <w:right w:val="nil"/>
            </w:tcBorders>
            <w:shd w:val="clear" w:color="auto" w:fill="auto"/>
            <w:noWrap/>
            <w:vAlign w:val="bottom"/>
            <w:hideMark/>
          </w:tcPr>
          <w:p w14:paraId="7B7F93D9" w14:textId="77777777" w:rsidR="00C37394" w:rsidRPr="00C37394" w:rsidRDefault="00C37394" w:rsidP="00C37394">
            <w:pPr>
              <w:spacing w:after="0" w:line="240" w:lineRule="auto"/>
              <w:rPr>
                <w:rFonts w:ascii="Segoe UI" w:eastAsia="Times New Roman" w:hAnsi="Segoe UI" w:cs="Segoe UI"/>
                <w:color w:val="666666"/>
                <w:sz w:val="20"/>
                <w:szCs w:val="20"/>
              </w:rPr>
            </w:pPr>
          </w:p>
        </w:tc>
        <w:tc>
          <w:tcPr>
            <w:tcW w:w="920" w:type="dxa"/>
            <w:tcBorders>
              <w:top w:val="nil"/>
              <w:left w:val="nil"/>
              <w:bottom w:val="nil"/>
              <w:right w:val="nil"/>
            </w:tcBorders>
            <w:shd w:val="clear" w:color="auto" w:fill="auto"/>
            <w:noWrap/>
            <w:vAlign w:val="bottom"/>
            <w:hideMark/>
          </w:tcPr>
          <w:p w14:paraId="6857DBEC" w14:textId="77777777" w:rsidR="00C37394" w:rsidRPr="00C37394" w:rsidRDefault="00C37394" w:rsidP="00C37394">
            <w:pPr>
              <w:spacing w:after="0" w:line="240" w:lineRule="auto"/>
              <w:jc w:val="right"/>
              <w:rPr>
                <w:rFonts w:ascii="Times New Roman" w:eastAsia="Times New Roman" w:hAnsi="Times New Roman"/>
                <w:sz w:val="20"/>
                <w:szCs w:val="20"/>
              </w:rPr>
            </w:pPr>
          </w:p>
        </w:tc>
        <w:tc>
          <w:tcPr>
            <w:tcW w:w="156" w:type="dxa"/>
            <w:tcBorders>
              <w:top w:val="nil"/>
              <w:left w:val="nil"/>
              <w:bottom w:val="nil"/>
              <w:right w:val="nil"/>
            </w:tcBorders>
            <w:shd w:val="clear" w:color="auto" w:fill="auto"/>
            <w:noWrap/>
            <w:vAlign w:val="bottom"/>
            <w:hideMark/>
          </w:tcPr>
          <w:p w14:paraId="0D9CE2C0" w14:textId="77777777" w:rsidR="00C37394" w:rsidRPr="00C37394" w:rsidRDefault="00C37394" w:rsidP="00C3739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6B39672" w14:textId="77777777" w:rsidR="00C37394" w:rsidRPr="00C37394" w:rsidRDefault="00C37394" w:rsidP="00C37394">
            <w:pPr>
              <w:spacing w:after="0" w:line="240" w:lineRule="auto"/>
              <w:jc w:val="right"/>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429F842E" w14:textId="77777777" w:rsidR="00C37394" w:rsidRPr="00C37394" w:rsidRDefault="00C37394" w:rsidP="00C37394">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7C9EC0B5" w14:textId="77777777" w:rsidR="00C37394" w:rsidRPr="00C37394" w:rsidRDefault="00C37394" w:rsidP="00C37394">
            <w:pPr>
              <w:spacing w:after="0" w:line="240" w:lineRule="auto"/>
              <w:jc w:val="right"/>
              <w:rPr>
                <w:rFonts w:ascii="Times New Roman" w:eastAsia="Times New Roman" w:hAnsi="Times New Roman"/>
                <w:sz w:val="20"/>
                <w:szCs w:val="20"/>
              </w:rPr>
            </w:pPr>
          </w:p>
        </w:tc>
      </w:tr>
      <w:tr w:rsidR="00C37394" w:rsidRPr="00C37394" w14:paraId="51102C5D" w14:textId="77777777" w:rsidTr="00C37394">
        <w:trPr>
          <w:trHeight w:val="855"/>
        </w:trPr>
        <w:tc>
          <w:tcPr>
            <w:tcW w:w="3180" w:type="dxa"/>
            <w:tcBorders>
              <w:top w:val="nil"/>
              <w:left w:val="nil"/>
              <w:bottom w:val="nil"/>
              <w:right w:val="nil"/>
            </w:tcBorders>
            <w:shd w:val="clear" w:color="auto" w:fill="auto"/>
            <w:vAlign w:val="bottom"/>
            <w:hideMark/>
          </w:tcPr>
          <w:p w14:paraId="3A7003FE" w14:textId="77777777" w:rsidR="00C37394" w:rsidRPr="00C37394" w:rsidRDefault="00C37394" w:rsidP="00C37394">
            <w:pPr>
              <w:spacing w:after="0" w:line="240" w:lineRule="auto"/>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   Net unrealized gains (losses) on </w:t>
            </w:r>
            <w:r w:rsidRPr="00C37394">
              <w:rPr>
                <w:rFonts w:ascii="Segoe UI" w:eastAsia="Times New Roman" w:hAnsi="Segoe UI" w:cs="Segoe UI"/>
                <w:color w:val="666666"/>
                <w:sz w:val="20"/>
                <w:szCs w:val="20"/>
              </w:rPr>
              <w:br/>
              <w:t xml:space="preserve">      derivatives (net of tax effects </w:t>
            </w:r>
            <w:r w:rsidRPr="00C37394">
              <w:rPr>
                <w:rFonts w:ascii="Segoe UI" w:eastAsia="Times New Roman" w:hAnsi="Segoe UI" w:cs="Segoe UI"/>
                <w:color w:val="666666"/>
                <w:sz w:val="20"/>
                <w:szCs w:val="20"/>
              </w:rPr>
              <w:br/>
              <w:t xml:space="preserve">      of </w:t>
            </w:r>
            <w:r w:rsidRPr="00C37394">
              <w:rPr>
                <w:rFonts w:ascii="Segoe UI" w:eastAsia="Times New Roman" w:hAnsi="Segoe UI" w:cs="Segoe UI"/>
                <w:b/>
                <w:bCs/>
                <w:color w:val="666666"/>
                <w:sz w:val="20"/>
                <w:szCs w:val="20"/>
              </w:rPr>
              <w:t>$(11)</w:t>
            </w:r>
            <w:r w:rsidRPr="00C37394">
              <w:rPr>
                <w:rFonts w:ascii="Segoe UI" w:eastAsia="Times New Roman" w:hAnsi="Segoe UI" w:cs="Segoe UI"/>
                <w:color w:val="666666"/>
                <w:sz w:val="20"/>
                <w:szCs w:val="20"/>
              </w:rPr>
              <w:t xml:space="preserve">, $(3), </w:t>
            </w:r>
            <w:r w:rsidRPr="00C37394">
              <w:rPr>
                <w:rFonts w:ascii="Segoe UI" w:eastAsia="Times New Roman" w:hAnsi="Segoe UI" w:cs="Segoe UI"/>
                <w:b/>
                <w:bCs/>
                <w:color w:val="666666"/>
                <w:sz w:val="20"/>
                <w:szCs w:val="20"/>
              </w:rPr>
              <w:t>$20</w:t>
            </w:r>
            <w:r w:rsidRPr="00C37394">
              <w:rPr>
                <w:rFonts w:ascii="Segoe UI" w:eastAsia="Times New Roman" w:hAnsi="Segoe UI" w:cs="Segoe UI"/>
                <w:color w:val="666666"/>
                <w:sz w:val="20"/>
                <w:szCs w:val="20"/>
              </w:rPr>
              <w:t>, and $(4))</w:t>
            </w:r>
          </w:p>
        </w:tc>
        <w:tc>
          <w:tcPr>
            <w:tcW w:w="1080" w:type="dxa"/>
            <w:tcBorders>
              <w:top w:val="nil"/>
              <w:left w:val="nil"/>
              <w:bottom w:val="nil"/>
              <w:right w:val="nil"/>
            </w:tcBorders>
            <w:shd w:val="clear" w:color="auto" w:fill="auto"/>
            <w:noWrap/>
            <w:vAlign w:val="bottom"/>
            <w:hideMark/>
          </w:tcPr>
          <w:p w14:paraId="7655F69F"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(408)</w:t>
            </w:r>
          </w:p>
        </w:tc>
        <w:tc>
          <w:tcPr>
            <w:tcW w:w="100" w:type="dxa"/>
            <w:tcBorders>
              <w:top w:val="nil"/>
              <w:left w:val="nil"/>
              <w:bottom w:val="nil"/>
              <w:right w:val="nil"/>
            </w:tcBorders>
            <w:shd w:val="clear" w:color="auto" w:fill="auto"/>
            <w:noWrap/>
            <w:vAlign w:val="bottom"/>
            <w:hideMark/>
          </w:tcPr>
          <w:p w14:paraId="5AE31950"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54EED19"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(21)</w:t>
            </w:r>
          </w:p>
        </w:tc>
        <w:tc>
          <w:tcPr>
            <w:tcW w:w="156" w:type="dxa"/>
            <w:tcBorders>
              <w:top w:val="nil"/>
              <w:left w:val="nil"/>
              <w:bottom w:val="nil"/>
              <w:right w:val="nil"/>
            </w:tcBorders>
            <w:shd w:val="clear" w:color="auto" w:fill="auto"/>
            <w:noWrap/>
            <w:vAlign w:val="bottom"/>
            <w:hideMark/>
          </w:tcPr>
          <w:p w14:paraId="4FEACC85"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DB4EE7E"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 xml:space="preserve">559 </w:t>
            </w:r>
          </w:p>
        </w:tc>
        <w:tc>
          <w:tcPr>
            <w:tcW w:w="100" w:type="dxa"/>
            <w:tcBorders>
              <w:top w:val="nil"/>
              <w:left w:val="nil"/>
              <w:bottom w:val="nil"/>
              <w:right w:val="nil"/>
            </w:tcBorders>
            <w:shd w:val="clear" w:color="auto" w:fill="auto"/>
            <w:noWrap/>
            <w:vAlign w:val="bottom"/>
            <w:hideMark/>
          </w:tcPr>
          <w:p w14:paraId="212E525C"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91A4D32"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(35)</w:t>
            </w:r>
          </w:p>
        </w:tc>
      </w:tr>
      <w:tr w:rsidR="00C37394" w:rsidRPr="00C37394" w14:paraId="6C6C35E4" w14:textId="77777777" w:rsidTr="00C37394">
        <w:trPr>
          <w:trHeight w:val="1140"/>
        </w:trPr>
        <w:tc>
          <w:tcPr>
            <w:tcW w:w="3180" w:type="dxa"/>
            <w:tcBorders>
              <w:top w:val="nil"/>
              <w:left w:val="nil"/>
              <w:bottom w:val="nil"/>
              <w:right w:val="nil"/>
            </w:tcBorders>
            <w:shd w:val="clear" w:color="auto" w:fill="auto"/>
            <w:vAlign w:val="bottom"/>
            <w:hideMark/>
          </w:tcPr>
          <w:p w14:paraId="7482C446" w14:textId="77777777" w:rsidR="00C37394" w:rsidRPr="00C37394" w:rsidRDefault="00C37394" w:rsidP="00C37394">
            <w:pPr>
              <w:spacing w:after="0" w:line="240" w:lineRule="auto"/>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   Net unrealized gains (losses) on </w:t>
            </w:r>
            <w:r w:rsidRPr="00C37394">
              <w:rPr>
                <w:rFonts w:ascii="Segoe UI" w:eastAsia="Times New Roman" w:hAnsi="Segoe UI" w:cs="Segoe UI"/>
                <w:color w:val="666666"/>
                <w:sz w:val="20"/>
                <w:szCs w:val="20"/>
              </w:rPr>
              <w:br/>
              <w:t xml:space="preserve">      investments (net of tax effects </w:t>
            </w:r>
            <w:r w:rsidRPr="00C37394">
              <w:rPr>
                <w:rFonts w:ascii="Segoe UI" w:eastAsia="Times New Roman" w:hAnsi="Segoe UI" w:cs="Segoe UI"/>
                <w:color w:val="666666"/>
                <w:sz w:val="20"/>
                <w:szCs w:val="20"/>
              </w:rPr>
              <w:br/>
              <w:t xml:space="preserve">      of </w:t>
            </w:r>
            <w:r w:rsidRPr="00C37394">
              <w:rPr>
                <w:rFonts w:ascii="Segoe UI" w:eastAsia="Times New Roman" w:hAnsi="Segoe UI" w:cs="Segoe UI"/>
                <w:b/>
                <w:bCs/>
                <w:color w:val="666666"/>
                <w:sz w:val="20"/>
                <w:szCs w:val="20"/>
              </w:rPr>
              <w:t>$(39)</w:t>
            </w:r>
            <w:r w:rsidRPr="00C37394">
              <w:rPr>
                <w:rFonts w:ascii="Segoe UI" w:eastAsia="Times New Roman" w:hAnsi="Segoe UI" w:cs="Segoe UI"/>
                <w:color w:val="666666"/>
                <w:sz w:val="20"/>
                <w:szCs w:val="20"/>
              </w:rPr>
              <w:t xml:space="preserve">, $162, </w:t>
            </w:r>
            <w:r w:rsidRPr="00C37394">
              <w:rPr>
                <w:rFonts w:ascii="Segoe UI" w:eastAsia="Times New Roman" w:hAnsi="Segoe UI" w:cs="Segoe UI"/>
                <w:b/>
                <w:bCs/>
                <w:color w:val="666666"/>
                <w:sz w:val="20"/>
                <w:szCs w:val="20"/>
              </w:rPr>
              <w:t>$(197)</w:t>
            </w:r>
            <w:r w:rsidRPr="00C37394">
              <w:rPr>
                <w:rFonts w:ascii="Segoe UI" w:eastAsia="Times New Roman" w:hAnsi="Segoe UI" w:cs="Segoe UI"/>
                <w:color w:val="666666"/>
                <w:sz w:val="20"/>
                <w:szCs w:val="20"/>
              </w:rPr>
              <w:t xml:space="preserve">, and </w:t>
            </w:r>
            <w:r w:rsidRPr="00C37394">
              <w:rPr>
                <w:rFonts w:ascii="Segoe UI" w:eastAsia="Times New Roman" w:hAnsi="Segoe UI" w:cs="Segoe UI"/>
                <w:color w:val="666666"/>
                <w:sz w:val="20"/>
                <w:szCs w:val="20"/>
              </w:rPr>
              <w:br/>
              <w:t xml:space="preserve">      $936)</w:t>
            </w:r>
          </w:p>
        </w:tc>
        <w:tc>
          <w:tcPr>
            <w:tcW w:w="1080" w:type="dxa"/>
            <w:tcBorders>
              <w:top w:val="nil"/>
              <w:left w:val="nil"/>
              <w:bottom w:val="nil"/>
              <w:right w:val="nil"/>
            </w:tcBorders>
            <w:shd w:val="clear" w:color="auto" w:fill="auto"/>
            <w:noWrap/>
            <w:vAlign w:val="bottom"/>
            <w:hideMark/>
          </w:tcPr>
          <w:p w14:paraId="57B09F20"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(67)</w:t>
            </w:r>
          </w:p>
        </w:tc>
        <w:tc>
          <w:tcPr>
            <w:tcW w:w="100" w:type="dxa"/>
            <w:tcBorders>
              <w:top w:val="nil"/>
              <w:left w:val="nil"/>
              <w:bottom w:val="nil"/>
              <w:right w:val="nil"/>
            </w:tcBorders>
            <w:shd w:val="clear" w:color="auto" w:fill="auto"/>
            <w:noWrap/>
            <w:vAlign w:val="bottom"/>
            <w:hideMark/>
          </w:tcPr>
          <w:p w14:paraId="2DD56578"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EA27413"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235 </w:t>
            </w:r>
          </w:p>
        </w:tc>
        <w:tc>
          <w:tcPr>
            <w:tcW w:w="156" w:type="dxa"/>
            <w:tcBorders>
              <w:top w:val="nil"/>
              <w:left w:val="nil"/>
              <w:bottom w:val="nil"/>
              <w:right w:val="nil"/>
            </w:tcBorders>
            <w:shd w:val="clear" w:color="auto" w:fill="auto"/>
            <w:noWrap/>
            <w:vAlign w:val="bottom"/>
            <w:hideMark/>
          </w:tcPr>
          <w:p w14:paraId="694BE1AE"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F1DB5E4"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(362)</w:t>
            </w:r>
          </w:p>
        </w:tc>
        <w:tc>
          <w:tcPr>
            <w:tcW w:w="100" w:type="dxa"/>
            <w:tcBorders>
              <w:top w:val="nil"/>
              <w:left w:val="nil"/>
              <w:bottom w:val="nil"/>
              <w:right w:val="nil"/>
            </w:tcBorders>
            <w:shd w:val="clear" w:color="auto" w:fill="auto"/>
            <w:noWrap/>
            <w:vAlign w:val="bottom"/>
            <w:hideMark/>
          </w:tcPr>
          <w:p w14:paraId="51D7B1F6"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AD304CE"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1,737 </w:t>
            </w:r>
          </w:p>
        </w:tc>
      </w:tr>
      <w:tr w:rsidR="00C37394" w:rsidRPr="00C37394" w14:paraId="5B3DF031" w14:textId="77777777" w:rsidTr="00C37394">
        <w:trPr>
          <w:trHeight w:val="855"/>
        </w:trPr>
        <w:tc>
          <w:tcPr>
            <w:tcW w:w="3180" w:type="dxa"/>
            <w:tcBorders>
              <w:top w:val="nil"/>
              <w:left w:val="nil"/>
              <w:bottom w:val="single" w:sz="4" w:space="0" w:color="auto"/>
              <w:right w:val="nil"/>
            </w:tcBorders>
            <w:shd w:val="clear" w:color="auto" w:fill="auto"/>
            <w:vAlign w:val="bottom"/>
            <w:hideMark/>
          </w:tcPr>
          <w:p w14:paraId="0E5C4A9E" w14:textId="77777777" w:rsidR="00C37394" w:rsidRPr="00C37394" w:rsidRDefault="00C37394" w:rsidP="00C37394">
            <w:pPr>
              <w:spacing w:after="0" w:line="240" w:lineRule="auto"/>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   Translation adjustments and </w:t>
            </w:r>
            <w:r w:rsidRPr="00C37394">
              <w:rPr>
                <w:rFonts w:ascii="Segoe UI" w:eastAsia="Times New Roman" w:hAnsi="Segoe UI" w:cs="Segoe UI"/>
                <w:color w:val="666666"/>
                <w:sz w:val="20"/>
                <w:szCs w:val="20"/>
              </w:rPr>
              <w:br/>
              <w:t xml:space="preserve">      other (net of tax effects of </w:t>
            </w:r>
            <w:r w:rsidRPr="00C37394">
              <w:rPr>
                <w:rFonts w:ascii="Segoe UI" w:eastAsia="Times New Roman" w:hAnsi="Segoe UI" w:cs="Segoe UI"/>
                <w:color w:val="666666"/>
                <w:sz w:val="20"/>
                <w:szCs w:val="20"/>
              </w:rPr>
              <w:br/>
              <w:t xml:space="preserve">      </w:t>
            </w:r>
            <w:r w:rsidRPr="00C37394">
              <w:rPr>
                <w:rFonts w:ascii="Segoe UI" w:eastAsia="Times New Roman" w:hAnsi="Segoe UI" w:cs="Segoe UI"/>
                <w:b/>
                <w:bCs/>
                <w:color w:val="666666"/>
                <w:sz w:val="20"/>
                <w:szCs w:val="20"/>
              </w:rPr>
              <w:t>$448</w:t>
            </w:r>
            <w:r w:rsidRPr="00C37394">
              <w:rPr>
                <w:rFonts w:ascii="Segoe UI" w:eastAsia="Times New Roman" w:hAnsi="Segoe UI" w:cs="Segoe UI"/>
                <w:color w:val="666666"/>
                <w:sz w:val="20"/>
                <w:szCs w:val="20"/>
              </w:rPr>
              <w:t xml:space="preserve">, $(41), </w:t>
            </w:r>
            <w:r w:rsidRPr="00C37394">
              <w:rPr>
                <w:rFonts w:ascii="Segoe UI" w:eastAsia="Times New Roman" w:hAnsi="Segoe UI" w:cs="Segoe UI"/>
                <w:b/>
                <w:bCs/>
                <w:color w:val="666666"/>
                <w:sz w:val="20"/>
                <w:szCs w:val="20"/>
              </w:rPr>
              <w:t>$16</w:t>
            </w:r>
            <w:r w:rsidRPr="00C37394">
              <w:rPr>
                <w:rFonts w:ascii="Segoe UI" w:eastAsia="Times New Roman" w:hAnsi="Segoe UI" w:cs="Segoe UI"/>
                <w:color w:val="666666"/>
                <w:sz w:val="20"/>
                <w:szCs w:val="20"/>
              </w:rPr>
              <w:t>, and $12)</w:t>
            </w:r>
          </w:p>
        </w:tc>
        <w:tc>
          <w:tcPr>
            <w:tcW w:w="1080" w:type="dxa"/>
            <w:tcBorders>
              <w:top w:val="nil"/>
              <w:left w:val="nil"/>
              <w:bottom w:val="single" w:sz="4" w:space="0" w:color="auto"/>
              <w:right w:val="nil"/>
            </w:tcBorders>
            <w:shd w:val="clear" w:color="auto" w:fill="auto"/>
            <w:noWrap/>
            <w:vAlign w:val="bottom"/>
            <w:hideMark/>
          </w:tcPr>
          <w:p w14:paraId="05A73A56"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(474)</w:t>
            </w:r>
          </w:p>
        </w:tc>
        <w:tc>
          <w:tcPr>
            <w:tcW w:w="100" w:type="dxa"/>
            <w:tcBorders>
              <w:top w:val="nil"/>
              <w:left w:val="nil"/>
              <w:bottom w:val="nil"/>
              <w:right w:val="nil"/>
            </w:tcBorders>
            <w:shd w:val="clear" w:color="auto" w:fill="auto"/>
            <w:noWrap/>
            <w:vAlign w:val="bottom"/>
            <w:hideMark/>
          </w:tcPr>
          <w:p w14:paraId="7B75ABC9"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6C4C4736"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162 </w:t>
            </w:r>
          </w:p>
        </w:tc>
        <w:tc>
          <w:tcPr>
            <w:tcW w:w="156" w:type="dxa"/>
            <w:tcBorders>
              <w:top w:val="nil"/>
              <w:left w:val="nil"/>
              <w:bottom w:val="nil"/>
              <w:right w:val="nil"/>
            </w:tcBorders>
            <w:shd w:val="clear" w:color="auto" w:fill="auto"/>
            <w:noWrap/>
            <w:vAlign w:val="bottom"/>
            <w:hideMark/>
          </w:tcPr>
          <w:p w14:paraId="4554D2EF"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622CFF73"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(1,383)</w:t>
            </w:r>
          </w:p>
        </w:tc>
        <w:tc>
          <w:tcPr>
            <w:tcW w:w="100" w:type="dxa"/>
            <w:tcBorders>
              <w:top w:val="nil"/>
              <w:left w:val="nil"/>
              <w:bottom w:val="nil"/>
              <w:right w:val="nil"/>
            </w:tcBorders>
            <w:shd w:val="clear" w:color="auto" w:fill="auto"/>
            <w:noWrap/>
            <w:vAlign w:val="bottom"/>
            <w:hideMark/>
          </w:tcPr>
          <w:p w14:paraId="7350DCCE"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0033B89C"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263 </w:t>
            </w:r>
          </w:p>
        </w:tc>
      </w:tr>
      <w:tr w:rsidR="00C37394" w:rsidRPr="00C37394" w14:paraId="0EE6C64C" w14:textId="77777777" w:rsidTr="00C37394">
        <w:trPr>
          <w:trHeight w:val="570"/>
        </w:trPr>
        <w:tc>
          <w:tcPr>
            <w:tcW w:w="3180" w:type="dxa"/>
            <w:tcBorders>
              <w:top w:val="nil"/>
              <w:left w:val="nil"/>
              <w:bottom w:val="single" w:sz="4" w:space="0" w:color="auto"/>
              <w:right w:val="nil"/>
            </w:tcBorders>
            <w:shd w:val="clear" w:color="auto" w:fill="auto"/>
            <w:vAlign w:val="bottom"/>
            <w:hideMark/>
          </w:tcPr>
          <w:p w14:paraId="7234787E" w14:textId="77777777" w:rsidR="00C37394" w:rsidRPr="00C37394" w:rsidRDefault="00C37394" w:rsidP="00C37394">
            <w:pPr>
              <w:spacing w:after="0" w:line="240" w:lineRule="auto"/>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      Other comprehensive income </w:t>
            </w:r>
            <w:r w:rsidRPr="00C37394">
              <w:rPr>
                <w:rFonts w:ascii="Segoe UI" w:eastAsia="Times New Roman" w:hAnsi="Segoe UI" w:cs="Segoe UI"/>
                <w:color w:val="666666"/>
                <w:sz w:val="20"/>
                <w:szCs w:val="20"/>
              </w:rPr>
              <w:br/>
              <w:t xml:space="preserve">        (loss)</w:t>
            </w:r>
          </w:p>
        </w:tc>
        <w:tc>
          <w:tcPr>
            <w:tcW w:w="1080" w:type="dxa"/>
            <w:tcBorders>
              <w:top w:val="nil"/>
              <w:left w:val="nil"/>
              <w:bottom w:val="single" w:sz="4" w:space="0" w:color="auto"/>
              <w:right w:val="nil"/>
            </w:tcBorders>
            <w:shd w:val="clear" w:color="auto" w:fill="auto"/>
            <w:noWrap/>
            <w:vAlign w:val="bottom"/>
            <w:hideMark/>
          </w:tcPr>
          <w:p w14:paraId="61FF6931"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(949)</w:t>
            </w:r>
          </w:p>
        </w:tc>
        <w:tc>
          <w:tcPr>
            <w:tcW w:w="100" w:type="dxa"/>
            <w:tcBorders>
              <w:top w:val="nil"/>
              <w:left w:val="nil"/>
              <w:bottom w:val="nil"/>
              <w:right w:val="nil"/>
            </w:tcBorders>
            <w:shd w:val="clear" w:color="auto" w:fill="auto"/>
            <w:noWrap/>
            <w:vAlign w:val="bottom"/>
            <w:hideMark/>
          </w:tcPr>
          <w:p w14:paraId="1E735A8A"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4A651C86"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376 </w:t>
            </w:r>
          </w:p>
        </w:tc>
        <w:tc>
          <w:tcPr>
            <w:tcW w:w="156" w:type="dxa"/>
            <w:tcBorders>
              <w:top w:val="nil"/>
              <w:left w:val="nil"/>
              <w:bottom w:val="nil"/>
              <w:right w:val="nil"/>
            </w:tcBorders>
            <w:shd w:val="clear" w:color="auto" w:fill="auto"/>
            <w:noWrap/>
            <w:vAlign w:val="bottom"/>
            <w:hideMark/>
          </w:tcPr>
          <w:p w14:paraId="240429F5"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4ECA5759"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(1,186)</w:t>
            </w:r>
          </w:p>
        </w:tc>
        <w:tc>
          <w:tcPr>
            <w:tcW w:w="100" w:type="dxa"/>
            <w:tcBorders>
              <w:top w:val="nil"/>
              <w:left w:val="nil"/>
              <w:bottom w:val="nil"/>
              <w:right w:val="nil"/>
            </w:tcBorders>
            <w:shd w:val="clear" w:color="auto" w:fill="auto"/>
            <w:noWrap/>
            <w:vAlign w:val="bottom"/>
            <w:hideMark/>
          </w:tcPr>
          <w:p w14:paraId="4385C5C7"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7E0131F7"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1,965 </w:t>
            </w:r>
          </w:p>
        </w:tc>
      </w:tr>
      <w:tr w:rsidR="00C37394" w:rsidRPr="00C37394" w14:paraId="2A64BA9B" w14:textId="77777777" w:rsidTr="00C37394">
        <w:trPr>
          <w:trHeight w:val="300"/>
        </w:trPr>
        <w:tc>
          <w:tcPr>
            <w:tcW w:w="3180" w:type="dxa"/>
            <w:tcBorders>
              <w:top w:val="nil"/>
              <w:left w:val="nil"/>
              <w:bottom w:val="nil"/>
              <w:right w:val="nil"/>
            </w:tcBorders>
            <w:shd w:val="clear" w:color="auto" w:fill="auto"/>
            <w:noWrap/>
            <w:vAlign w:val="bottom"/>
            <w:hideMark/>
          </w:tcPr>
          <w:p w14:paraId="465204EF" w14:textId="77777777" w:rsidR="00C37394" w:rsidRPr="00C37394" w:rsidRDefault="00C37394" w:rsidP="00C37394">
            <w:pPr>
              <w:spacing w:after="0" w:line="240" w:lineRule="auto"/>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Comprehensive income (loss)</w:t>
            </w:r>
          </w:p>
        </w:tc>
        <w:tc>
          <w:tcPr>
            <w:tcW w:w="1080" w:type="dxa"/>
            <w:tcBorders>
              <w:top w:val="nil"/>
              <w:left w:val="nil"/>
              <w:bottom w:val="single" w:sz="8" w:space="0" w:color="auto"/>
              <w:right w:val="nil"/>
            </w:tcBorders>
            <w:shd w:val="clear" w:color="auto" w:fill="auto"/>
            <w:noWrap/>
            <w:vAlign w:val="bottom"/>
            <w:hideMark/>
          </w:tcPr>
          <w:p w14:paraId="53942EEC"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 xml:space="preserve"> $   (4,144)</w:t>
            </w:r>
          </w:p>
        </w:tc>
        <w:tc>
          <w:tcPr>
            <w:tcW w:w="100" w:type="dxa"/>
            <w:tcBorders>
              <w:top w:val="nil"/>
              <w:left w:val="nil"/>
              <w:bottom w:val="nil"/>
              <w:right w:val="nil"/>
            </w:tcBorders>
            <w:shd w:val="clear" w:color="auto" w:fill="auto"/>
            <w:noWrap/>
            <w:vAlign w:val="bottom"/>
            <w:hideMark/>
          </w:tcPr>
          <w:p w14:paraId="76D8F55D"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7C49E49F"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 $  4,988 </w:t>
            </w:r>
          </w:p>
        </w:tc>
        <w:tc>
          <w:tcPr>
            <w:tcW w:w="156" w:type="dxa"/>
            <w:tcBorders>
              <w:top w:val="nil"/>
              <w:left w:val="nil"/>
              <w:bottom w:val="nil"/>
              <w:right w:val="nil"/>
            </w:tcBorders>
            <w:shd w:val="clear" w:color="auto" w:fill="auto"/>
            <w:noWrap/>
            <w:vAlign w:val="bottom"/>
            <w:hideMark/>
          </w:tcPr>
          <w:p w14:paraId="39D4A112"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8" w:space="0" w:color="auto"/>
              <w:right w:val="nil"/>
            </w:tcBorders>
            <w:shd w:val="clear" w:color="auto" w:fill="auto"/>
            <w:noWrap/>
            <w:vAlign w:val="bottom"/>
            <w:hideMark/>
          </w:tcPr>
          <w:p w14:paraId="2D340C60"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r w:rsidRPr="00C37394">
              <w:rPr>
                <w:rFonts w:ascii="Segoe UI" w:eastAsia="Times New Roman" w:hAnsi="Segoe UI" w:cs="Segoe UI"/>
                <w:b/>
                <w:bCs/>
                <w:color w:val="666666"/>
                <w:sz w:val="20"/>
                <w:szCs w:val="20"/>
              </w:rPr>
              <w:t xml:space="preserve"> $    11,007 </w:t>
            </w:r>
          </w:p>
        </w:tc>
        <w:tc>
          <w:tcPr>
            <w:tcW w:w="100" w:type="dxa"/>
            <w:tcBorders>
              <w:top w:val="nil"/>
              <w:left w:val="nil"/>
              <w:bottom w:val="nil"/>
              <w:right w:val="nil"/>
            </w:tcBorders>
            <w:shd w:val="clear" w:color="auto" w:fill="auto"/>
            <w:noWrap/>
            <w:vAlign w:val="bottom"/>
            <w:hideMark/>
          </w:tcPr>
          <w:p w14:paraId="40CB9ABD" w14:textId="77777777" w:rsidR="00C37394" w:rsidRPr="00C37394" w:rsidRDefault="00C37394" w:rsidP="00C37394">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5DFC12A9" w14:textId="77777777" w:rsidR="00C37394" w:rsidRPr="00C37394" w:rsidRDefault="00C37394" w:rsidP="00C37394">
            <w:pPr>
              <w:spacing w:after="0" w:line="240" w:lineRule="auto"/>
              <w:jc w:val="right"/>
              <w:rPr>
                <w:rFonts w:ascii="Segoe UI" w:eastAsia="Times New Roman" w:hAnsi="Segoe UI" w:cs="Segoe UI"/>
                <w:color w:val="666666"/>
                <w:sz w:val="20"/>
                <w:szCs w:val="20"/>
              </w:rPr>
            </w:pPr>
            <w:r w:rsidRPr="00C37394">
              <w:rPr>
                <w:rFonts w:ascii="Segoe UI" w:eastAsia="Times New Roman" w:hAnsi="Segoe UI" w:cs="Segoe UI"/>
                <w:color w:val="666666"/>
                <w:sz w:val="20"/>
                <w:szCs w:val="20"/>
              </w:rPr>
              <w:t xml:space="preserve"> $24,039 </w:t>
            </w:r>
          </w:p>
        </w:tc>
      </w:tr>
    </w:tbl>
    <w:p w14:paraId="77068D6A" w14:textId="77777777" w:rsidR="000C2E7E" w:rsidRDefault="000C2E7E" w:rsidP="00EA786C">
      <w:pPr>
        <w:pStyle w:val="NoSpacing"/>
        <w:spacing w:after="200" w:line="280" w:lineRule="exact"/>
        <w:rPr>
          <w:rFonts w:ascii="Segoe UI" w:hAnsi="Segoe UI" w:cs="Segoe UI"/>
          <w:color w:val="666666"/>
          <w:sz w:val="20"/>
          <w:szCs w:val="20"/>
        </w:rPr>
      </w:pPr>
    </w:p>
    <w:p w14:paraId="54A27244" w14:textId="77777777" w:rsidR="000C2E7E" w:rsidRDefault="000C2E7E" w:rsidP="00EA786C">
      <w:pPr>
        <w:pStyle w:val="NoSpacing"/>
        <w:spacing w:after="200" w:line="280" w:lineRule="exact"/>
        <w:rPr>
          <w:rFonts w:ascii="Segoe UI" w:hAnsi="Segoe UI" w:cs="Segoe UI"/>
          <w:color w:val="666666"/>
          <w:sz w:val="20"/>
          <w:szCs w:val="20"/>
        </w:rPr>
      </w:pPr>
    </w:p>
    <w:p w14:paraId="72A3BCC5" w14:textId="77777777" w:rsidR="000C2E7E" w:rsidRDefault="000C2E7E" w:rsidP="00EA786C">
      <w:pPr>
        <w:pStyle w:val="NoSpacing"/>
        <w:spacing w:after="200" w:line="280" w:lineRule="exact"/>
        <w:rPr>
          <w:rFonts w:ascii="Segoe UI" w:hAnsi="Segoe UI" w:cs="Segoe UI"/>
          <w:color w:val="666666"/>
          <w:sz w:val="20"/>
          <w:szCs w:val="20"/>
        </w:rPr>
      </w:pPr>
    </w:p>
    <w:p w14:paraId="0E8DD25F" w14:textId="77777777" w:rsidR="000C2E7E" w:rsidRDefault="000C2E7E" w:rsidP="00EA786C">
      <w:pPr>
        <w:pStyle w:val="NoSpacing"/>
        <w:spacing w:after="200" w:line="280" w:lineRule="exact"/>
        <w:rPr>
          <w:rFonts w:ascii="Segoe UI" w:hAnsi="Segoe UI" w:cs="Segoe UI"/>
          <w:color w:val="666666"/>
          <w:sz w:val="20"/>
          <w:szCs w:val="20"/>
        </w:rPr>
      </w:pPr>
    </w:p>
    <w:p w14:paraId="71CC4347" w14:textId="77777777" w:rsidR="000C2E7E" w:rsidRDefault="000C2E7E" w:rsidP="00EA786C">
      <w:pPr>
        <w:pStyle w:val="NoSpacing"/>
        <w:spacing w:after="200" w:line="280" w:lineRule="exact"/>
        <w:rPr>
          <w:rFonts w:ascii="Segoe UI" w:hAnsi="Segoe UI" w:cs="Segoe UI"/>
          <w:color w:val="666666"/>
          <w:sz w:val="20"/>
          <w:szCs w:val="20"/>
        </w:rPr>
      </w:pPr>
    </w:p>
    <w:p w14:paraId="443DE08C" w14:textId="77777777" w:rsidR="000C2E7E" w:rsidRDefault="000C2E7E" w:rsidP="00EA786C">
      <w:pPr>
        <w:pStyle w:val="NoSpacing"/>
        <w:spacing w:after="200" w:line="280" w:lineRule="exact"/>
        <w:rPr>
          <w:rFonts w:ascii="Segoe UI" w:hAnsi="Segoe UI" w:cs="Segoe UI"/>
          <w:color w:val="666666"/>
          <w:sz w:val="20"/>
          <w:szCs w:val="20"/>
        </w:rPr>
      </w:pPr>
    </w:p>
    <w:p w14:paraId="14DC281D" w14:textId="77777777" w:rsidR="000C2E7E" w:rsidRDefault="000C2E7E" w:rsidP="00EA786C">
      <w:pPr>
        <w:pStyle w:val="NoSpacing"/>
        <w:spacing w:after="200" w:line="280" w:lineRule="exact"/>
        <w:rPr>
          <w:rFonts w:ascii="Segoe UI" w:hAnsi="Segoe UI" w:cs="Segoe UI"/>
          <w:color w:val="666666"/>
          <w:sz w:val="20"/>
          <w:szCs w:val="20"/>
        </w:rPr>
      </w:pPr>
    </w:p>
    <w:p w14:paraId="5CFB9E6D" w14:textId="77777777" w:rsidR="000C2E7E" w:rsidRDefault="000C2E7E" w:rsidP="00EA786C">
      <w:pPr>
        <w:pStyle w:val="NoSpacing"/>
        <w:spacing w:after="200" w:line="280" w:lineRule="exact"/>
        <w:rPr>
          <w:rFonts w:ascii="Segoe UI" w:hAnsi="Segoe UI" w:cs="Segoe UI"/>
          <w:color w:val="666666"/>
          <w:sz w:val="20"/>
          <w:szCs w:val="20"/>
        </w:rPr>
      </w:pPr>
    </w:p>
    <w:p w14:paraId="3BF996C9" w14:textId="77777777" w:rsidR="000C2E7E" w:rsidRDefault="000C2E7E" w:rsidP="00EA786C">
      <w:pPr>
        <w:pStyle w:val="NoSpacing"/>
        <w:spacing w:after="200" w:line="280" w:lineRule="exact"/>
        <w:rPr>
          <w:rFonts w:ascii="Segoe UI" w:hAnsi="Segoe UI" w:cs="Segoe UI"/>
          <w:color w:val="666666"/>
          <w:sz w:val="20"/>
          <w:szCs w:val="20"/>
        </w:rPr>
      </w:pPr>
    </w:p>
    <w:p w14:paraId="711A7907" w14:textId="77777777" w:rsidR="000C2E7E" w:rsidRDefault="000C2E7E" w:rsidP="00EA786C">
      <w:pPr>
        <w:pStyle w:val="NoSpacing"/>
        <w:spacing w:after="200" w:line="280" w:lineRule="exact"/>
        <w:rPr>
          <w:rFonts w:ascii="Segoe UI" w:hAnsi="Segoe UI" w:cs="Segoe UI"/>
          <w:color w:val="666666"/>
          <w:sz w:val="20"/>
          <w:szCs w:val="20"/>
        </w:rPr>
      </w:pPr>
    </w:p>
    <w:p w14:paraId="1FA203D8" w14:textId="77777777" w:rsidR="000C2E7E" w:rsidRDefault="000C2E7E" w:rsidP="00EA786C">
      <w:pPr>
        <w:pStyle w:val="NoSpacing"/>
        <w:spacing w:after="200" w:line="280" w:lineRule="exact"/>
        <w:rPr>
          <w:rFonts w:ascii="Segoe UI" w:hAnsi="Segoe UI" w:cs="Segoe UI"/>
          <w:color w:val="666666"/>
          <w:sz w:val="20"/>
          <w:szCs w:val="20"/>
        </w:rPr>
      </w:pPr>
    </w:p>
    <w:p w14:paraId="257A4A84" w14:textId="77777777" w:rsidR="000C2E7E" w:rsidRDefault="000C2E7E" w:rsidP="00EA786C">
      <w:pPr>
        <w:pStyle w:val="NoSpacing"/>
        <w:spacing w:after="200" w:line="280" w:lineRule="exact"/>
        <w:rPr>
          <w:rFonts w:ascii="Segoe UI" w:hAnsi="Segoe UI" w:cs="Segoe UI"/>
          <w:color w:val="666666"/>
          <w:sz w:val="20"/>
          <w:szCs w:val="20"/>
        </w:rPr>
      </w:pPr>
    </w:p>
    <w:p w14:paraId="5F8963A5" w14:textId="77777777" w:rsidR="000C2E7E" w:rsidRDefault="000C2E7E" w:rsidP="00EA786C">
      <w:pPr>
        <w:pStyle w:val="NoSpacing"/>
        <w:spacing w:after="200" w:line="280" w:lineRule="exact"/>
        <w:rPr>
          <w:rFonts w:ascii="Segoe UI" w:hAnsi="Segoe UI" w:cs="Segoe UI"/>
          <w:color w:val="666666"/>
          <w:sz w:val="20"/>
          <w:szCs w:val="20"/>
        </w:rPr>
      </w:pPr>
    </w:p>
    <w:p w14:paraId="34C0ABE6" w14:textId="77777777" w:rsidR="000C2E7E" w:rsidRDefault="000C2E7E" w:rsidP="00EA786C">
      <w:pPr>
        <w:pStyle w:val="NoSpacing"/>
        <w:spacing w:after="200" w:line="280" w:lineRule="exact"/>
        <w:rPr>
          <w:rFonts w:ascii="Segoe UI" w:hAnsi="Segoe UI" w:cs="Segoe UI"/>
          <w:color w:val="666666"/>
          <w:sz w:val="20"/>
          <w:szCs w:val="20"/>
        </w:rPr>
      </w:pPr>
    </w:p>
    <w:p w14:paraId="5E8F732A" w14:textId="77777777" w:rsidR="000C2E7E" w:rsidRDefault="000C2E7E" w:rsidP="00EA786C">
      <w:pPr>
        <w:pStyle w:val="NoSpacing"/>
        <w:spacing w:after="200" w:line="280" w:lineRule="exact"/>
        <w:rPr>
          <w:rFonts w:ascii="Segoe UI" w:hAnsi="Segoe UI" w:cs="Segoe UI"/>
          <w:color w:val="666666"/>
          <w:sz w:val="20"/>
          <w:szCs w:val="20"/>
        </w:rPr>
      </w:pPr>
    </w:p>
    <w:p w14:paraId="4041FF94" w14:textId="77777777" w:rsidR="000C2E7E" w:rsidRDefault="000C2E7E" w:rsidP="00EA786C">
      <w:pPr>
        <w:pStyle w:val="NoSpacing"/>
        <w:spacing w:after="200" w:line="280" w:lineRule="exact"/>
        <w:rPr>
          <w:rFonts w:ascii="Segoe UI" w:hAnsi="Segoe UI" w:cs="Segoe UI"/>
          <w:color w:val="666666"/>
          <w:sz w:val="20"/>
          <w:szCs w:val="20"/>
        </w:rPr>
      </w:pPr>
    </w:p>
    <w:p w14:paraId="3EF6AB21" w14:textId="77777777" w:rsidR="000C2E7E" w:rsidRDefault="000C2E7E" w:rsidP="00EA786C">
      <w:pPr>
        <w:pStyle w:val="NoSpacing"/>
        <w:spacing w:after="200" w:line="280" w:lineRule="exact"/>
        <w:rPr>
          <w:rFonts w:ascii="Segoe UI" w:hAnsi="Segoe UI" w:cs="Segoe UI"/>
          <w:color w:val="666666"/>
          <w:sz w:val="20"/>
          <w:szCs w:val="20"/>
        </w:rPr>
      </w:pPr>
    </w:p>
    <w:tbl>
      <w:tblPr>
        <w:tblW w:w="7824" w:type="dxa"/>
        <w:tblCellMar>
          <w:left w:w="0" w:type="dxa"/>
          <w:right w:w="0" w:type="dxa"/>
        </w:tblCellMar>
        <w:tblLook w:val="04A0" w:firstRow="1" w:lastRow="0" w:firstColumn="1" w:lastColumn="0" w:noHBand="0" w:noVBand="1"/>
      </w:tblPr>
      <w:tblGrid>
        <w:gridCol w:w="5052"/>
        <w:gridCol w:w="1472"/>
        <w:gridCol w:w="212"/>
        <w:gridCol w:w="1152"/>
      </w:tblGrid>
      <w:tr w:rsidR="000C2E7E" w:rsidRPr="000C2E7E" w14:paraId="5BE3E24D" w14:textId="77777777" w:rsidTr="000C2E7E">
        <w:trPr>
          <w:trHeight w:val="285"/>
        </w:trPr>
        <w:tc>
          <w:tcPr>
            <w:tcW w:w="5036" w:type="dxa"/>
            <w:tcBorders>
              <w:top w:val="nil"/>
              <w:left w:val="nil"/>
              <w:bottom w:val="nil"/>
              <w:right w:val="nil"/>
            </w:tcBorders>
            <w:shd w:val="clear" w:color="auto" w:fill="auto"/>
            <w:noWrap/>
            <w:vAlign w:val="bottom"/>
            <w:hideMark/>
          </w:tcPr>
          <w:p w14:paraId="610F7D6C"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MICROSOFT CORPORATION</w:t>
            </w:r>
          </w:p>
        </w:tc>
        <w:tc>
          <w:tcPr>
            <w:tcW w:w="1456" w:type="dxa"/>
            <w:tcBorders>
              <w:top w:val="nil"/>
              <w:left w:val="nil"/>
              <w:bottom w:val="nil"/>
              <w:right w:val="nil"/>
            </w:tcBorders>
            <w:shd w:val="clear" w:color="auto" w:fill="auto"/>
            <w:noWrap/>
            <w:vAlign w:val="bottom"/>
            <w:hideMark/>
          </w:tcPr>
          <w:p w14:paraId="2A4B8B53"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2F2CC8FE"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642789F2"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37A30C3E" w14:textId="77777777" w:rsidTr="000C2E7E">
        <w:trPr>
          <w:trHeight w:val="285"/>
        </w:trPr>
        <w:tc>
          <w:tcPr>
            <w:tcW w:w="5036" w:type="dxa"/>
            <w:tcBorders>
              <w:top w:val="nil"/>
              <w:left w:val="nil"/>
              <w:bottom w:val="nil"/>
              <w:right w:val="nil"/>
            </w:tcBorders>
            <w:shd w:val="clear" w:color="auto" w:fill="auto"/>
            <w:noWrap/>
            <w:vAlign w:val="bottom"/>
            <w:hideMark/>
          </w:tcPr>
          <w:p w14:paraId="506D988F"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456" w:type="dxa"/>
            <w:tcBorders>
              <w:top w:val="nil"/>
              <w:left w:val="nil"/>
              <w:bottom w:val="nil"/>
              <w:right w:val="nil"/>
            </w:tcBorders>
            <w:shd w:val="clear" w:color="auto" w:fill="auto"/>
            <w:noWrap/>
            <w:vAlign w:val="bottom"/>
            <w:hideMark/>
          </w:tcPr>
          <w:p w14:paraId="17829811" w14:textId="77777777" w:rsidR="000C2E7E" w:rsidRPr="000C2E7E" w:rsidRDefault="000C2E7E" w:rsidP="000C2E7E">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08109028"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7E77090C"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3DBD48B3" w14:textId="77777777" w:rsidTr="000C2E7E">
        <w:trPr>
          <w:trHeight w:val="285"/>
        </w:trPr>
        <w:tc>
          <w:tcPr>
            <w:tcW w:w="7824" w:type="dxa"/>
            <w:gridSpan w:val="4"/>
            <w:tcBorders>
              <w:top w:val="nil"/>
              <w:left w:val="nil"/>
              <w:bottom w:val="nil"/>
              <w:right w:val="nil"/>
            </w:tcBorders>
            <w:shd w:val="clear" w:color="auto" w:fill="auto"/>
            <w:noWrap/>
            <w:vAlign w:val="bottom"/>
            <w:hideMark/>
          </w:tcPr>
          <w:p w14:paraId="05197C2C"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BALANCE SHEETS</w:t>
            </w:r>
          </w:p>
        </w:tc>
      </w:tr>
      <w:tr w:rsidR="000C2E7E" w:rsidRPr="000C2E7E" w14:paraId="4BEADA10" w14:textId="77777777" w:rsidTr="000C2E7E">
        <w:trPr>
          <w:trHeight w:val="285"/>
        </w:trPr>
        <w:tc>
          <w:tcPr>
            <w:tcW w:w="7824" w:type="dxa"/>
            <w:gridSpan w:val="4"/>
            <w:tcBorders>
              <w:top w:val="nil"/>
              <w:left w:val="nil"/>
              <w:bottom w:val="nil"/>
              <w:right w:val="nil"/>
            </w:tcBorders>
            <w:shd w:val="clear" w:color="auto" w:fill="auto"/>
            <w:noWrap/>
            <w:vAlign w:val="bottom"/>
            <w:hideMark/>
          </w:tcPr>
          <w:p w14:paraId="219AD505"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(In millions)(Unaudited)</w:t>
            </w:r>
          </w:p>
        </w:tc>
      </w:tr>
      <w:tr w:rsidR="000C2E7E" w:rsidRPr="000C2E7E" w14:paraId="3665B23C" w14:textId="77777777" w:rsidTr="000C2E7E">
        <w:trPr>
          <w:trHeight w:val="285"/>
        </w:trPr>
        <w:tc>
          <w:tcPr>
            <w:tcW w:w="5036" w:type="dxa"/>
            <w:tcBorders>
              <w:top w:val="nil"/>
              <w:left w:val="nil"/>
              <w:bottom w:val="nil"/>
              <w:right w:val="nil"/>
            </w:tcBorders>
            <w:shd w:val="clear" w:color="auto" w:fill="auto"/>
            <w:noWrap/>
            <w:vAlign w:val="bottom"/>
            <w:hideMark/>
          </w:tcPr>
          <w:p w14:paraId="0BBC68F7"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p>
        </w:tc>
        <w:tc>
          <w:tcPr>
            <w:tcW w:w="1456" w:type="dxa"/>
            <w:tcBorders>
              <w:top w:val="nil"/>
              <w:left w:val="nil"/>
              <w:bottom w:val="nil"/>
              <w:right w:val="nil"/>
            </w:tcBorders>
            <w:shd w:val="clear" w:color="auto" w:fill="auto"/>
            <w:noWrap/>
            <w:vAlign w:val="bottom"/>
            <w:hideMark/>
          </w:tcPr>
          <w:p w14:paraId="56137457"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436318AE"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BB69457" w14:textId="77777777" w:rsidR="000C2E7E" w:rsidRPr="000C2E7E" w:rsidRDefault="000C2E7E" w:rsidP="000C2E7E">
            <w:pPr>
              <w:spacing w:after="0" w:line="240" w:lineRule="auto"/>
              <w:jc w:val="center"/>
              <w:rPr>
                <w:rFonts w:ascii="Times New Roman" w:eastAsia="Times New Roman" w:hAnsi="Times New Roman"/>
                <w:sz w:val="20"/>
                <w:szCs w:val="20"/>
              </w:rPr>
            </w:pPr>
          </w:p>
        </w:tc>
      </w:tr>
      <w:tr w:rsidR="000C2E7E" w:rsidRPr="000C2E7E" w14:paraId="49B7BDF6" w14:textId="77777777" w:rsidTr="000C2E7E">
        <w:trPr>
          <w:trHeight w:val="570"/>
        </w:trPr>
        <w:tc>
          <w:tcPr>
            <w:tcW w:w="5036" w:type="dxa"/>
            <w:tcBorders>
              <w:top w:val="nil"/>
              <w:left w:val="nil"/>
              <w:bottom w:val="single" w:sz="4" w:space="0" w:color="auto"/>
              <w:right w:val="nil"/>
            </w:tcBorders>
            <w:shd w:val="clear" w:color="auto" w:fill="auto"/>
            <w:noWrap/>
            <w:vAlign w:val="bottom"/>
            <w:hideMark/>
          </w:tcPr>
          <w:p w14:paraId="76737F76"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456" w:type="dxa"/>
            <w:tcBorders>
              <w:top w:val="nil"/>
              <w:left w:val="nil"/>
              <w:bottom w:val="single" w:sz="4" w:space="0" w:color="auto"/>
              <w:right w:val="nil"/>
            </w:tcBorders>
            <w:shd w:val="clear" w:color="auto" w:fill="auto"/>
            <w:vAlign w:val="bottom"/>
            <w:hideMark/>
          </w:tcPr>
          <w:p w14:paraId="47EDBFA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June 30,</w:t>
            </w:r>
            <w:r w:rsidRPr="000C2E7E">
              <w:rPr>
                <w:rFonts w:ascii="Segoe UI" w:eastAsia="Times New Roman" w:hAnsi="Segoe UI" w:cs="Segoe UI"/>
                <w:b/>
                <w:bCs/>
                <w:color w:val="666666"/>
                <w:sz w:val="20"/>
                <w:szCs w:val="20"/>
              </w:rPr>
              <w:br/>
              <w:t>2015</w:t>
            </w:r>
          </w:p>
        </w:tc>
        <w:tc>
          <w:tcPr>
            <w:tcW w:w="196" w:type="dxa"/>
            <w:tcBorders>
              <w:top w:val="nil"/>
              <w:left w:val="nil"/>
              <w:bottom w:val="single" w:sz="4" w:space="0" w:color="auto"/>
              <w:right w:val="nil"/>
            </w:tcBorders>
            <w:shd w:val="clear" w:color="auto" w:fill="auto"/>
            <w:vAlign w:val="bottom"/>
            <w:hideMark/>
          </w:tcPr>
          <w:p w14:paraId="06DDAE1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auto" w:fill="auto"/>
            <w:vAlign w:val="bottom"/>
            <w:hideMark/>
          </w:tcPr>
          <w:p w14:paraId="016CE5C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June 30, 2014</w:t>
            </w:r>
          </w:p>
        </w:tc>
      </w:tr>
      <w:tr w:rsidR="000C2E7E" w:rsidRPr="000C2E7E" w14:paraId="6483DB6C" w14:textId="77777777" w:rsidTr="000C2E7E">
        <w:trPr>
          <w:trHeight w:val="285"/>
        </w:trPr>
        <w:tc>
          <w:tcPr>
            <w:tcW w:w="5036" w:type="dxa"/>
            <w:tcBorders>
              <w:top w:val="nil"/>
              <w:left w:val="nil"/>
              <w:bottom w:val="nil"/>
              <w:right w:val="nil"/>
            </w:tcBorders>
            <w:shd w:val="clear" w:color="auto" w:fill="auto"/>
            <w:noWrap/>
            <w:vAlign w:val="bottom"/>
            <w:hideMark/>
          </w:tcPr>
          <w:p w14:paraId="28FF68D3"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Assets</w:t>
            </w:r>
          </w:p>
        </w:tc>
        <w:tc>
          <w:tcPr>
            <w:tcW w:w="1456" w:type="dxa"/>
            <w:tcBorders>
              <w:top w:val="nil"/>
              <w:left w:val="nil"/>
              <w:bottom w:val="nil"/>
              <w:right w:val="nil"/>
            </w:tcBorders>
            <w:shd w:val="clear" w:color="auto" w:fill="auto"/>
            <w:vAlign w:val="bottom"/>
            <w:hideMark/>
          </w:tcPr>
          <w:p w14:paraId="69653F84"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6C429520"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515FD539"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1638F84C" w14:textId="77777777" w:rsidTr="000C2E7E">
        <w:trPr>
          <w:trHeight w:val="450"/>
        </w:trPr>
        <w:tc>
          <w:tcPr>
            <w:tcW w:w="5036" w:type="dxa"/>
            <w:tcBorders>
              <w:top w:val="nil"/>
              <w:left w:val="nil"/>
              <w:bottom w:val="nil"/>
              <w:right w:val="nil"/>
            </w:tcBorders>
            <w:shd w:val="clear" w:color="auto" w:fill="auto"/>
            <w:noWrap/>
            <w:vAlign w:val="bottom"/>
            <w:hideMark/>
          </w:tcPr>
          <w:p w14:paraId="3185B7C5"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Current assets:</w:t>
            </w:r>
          </w:p>
        </w:tc>
        <w:tc>
          <w:tcPr>
            <w:tcW w:w="1456" w:type="dxa"/>
            <w:tcBorders>
              <w:top w:val="nil"/>
              <w:left w:val="nil"/>
              <w:bottom w:val="nil"/>
              <w:right w:val="nil"/>
            </w:tcBorders>
            <w:shd w:val="clear" w:color="auto" w:fill="auto"/>
            <w:noWrap/>
            <w:vAlign w:val="bottom"/>
            <w:hideMark/>
          </w:tcPr>
          <w:p w14:paraId="71E7CBDE" w14:textId="77777777" w:rsidR="000C2E7E" w:rsidRPr="000C2E7E" w:rsidRDefault="000C2E7E" w:rsidP="000C2E7E">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6484F28A"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5B5991BD"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40E4BB0D" w14:textId="77777777" w:rsidTr="000C2E7E">
        <w:trPr>
          <w:trHeight w:val="285"/>
        </w:trPr>
        <w:tc>
          <w:tcPr>
            <w:tcW w:w="5036" w:type="dxa"/>
            <w:tcBorders>
              <w:top w:val="nil"/>
              <w:left w:val="nil"/>
              <w:bottom w:val="nil"/>
              <w:right w:val="nil"/>
            </w:tcBorders>
            <w:shd w:val="clear" w:color="auto" w:fill="auto"/>
            <w:noWrap/>
            <w:vAlign w:val="bottom"/>
            <w:hideMark/>
          </w:tcPr>
          <w:p w14:paraId="229A4005"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Cash and cash equivalents</w:t>
            </w:r>
          </w:p>
        </w:tc>
        <w:tc>
          <w:tcPr>
            <w:tcW w:w="1456" w:type="dxa"/>
            <w:tcBorders>
              <w:top w:val="nil"/>
              <w:left w:val="nil"/>
              <w:bottom w:val="nil"/>
              <w:right w:val="nil"/>
            </w:tcBorders>
            <w:shd w:val="clear" w:color="auto" w:fill="auto"/>
            <w:noWrap/>
            <w:vAlign w:val="bottom"/>
            <w:hideMark/>
          </w:tcPr>
          <w:p w14:paraId="1296D37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5,595 </w:t>
            </w:r>
          </w:p>
        </w:tc>
        <w:tc>
          <w:tcPr>
            <w:tcW w:w="196" w:type="dxa"/>
            <w:tcBorders>
              <w:top w:val="nil"/>
              <w:left w:val="nil"/>
              <w:bottom w:val="nil"/>
              <w:right w:val="nil"/>
            </w:tcBorders>
            <w:shd w:val="clear" w:color="auto" w:fill="auto"/>
            <w:noWrap/>
            <w:vAlign w:val="bottom"/>
            <w:hideMark/>
          </w:tcPr>
          <w:p w14:paraId="3F3A3E7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387A24D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8,669 </w:t>
            </w:r>
          </w:p>
        </w:tc>
      </w:tr>
      <w:tr w:rsidR="000C2E7E" w:rsidRPr="000C2E7E" w14:paraId="03DEA59B" w14:textId="77777777" w:rsidTr="000C2E7E">
        <w:trPr>
          <w:trHeight w:val="570"/>
        </w:trPr>
        <w:tc>
          <w:tcPr>
            <w:tcW w:w="5036" w:type="dxa"/>
            <w:tcBorders>
              <w:top w:val="nil"/>
              <w:left w:val="nil"/>
              <w:bottom w:val="single" w:sz="4" w:space="0" w:color="auto"/>
              <w:right w:val="nil"/>
            </w:tcBorders>
            <w:shd w:val="clear" w:color="auto" w:fill="auto"/>
            <w:vAlign w:val="bottom"/>
            <w:hideMark/>
          </w:tcPr>
          <w:p w14:paraId="21E8C53B"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Short-term investments (including securities</w:t>
            </w:r>
            <w:r w:rsidRPr="000C2E7E">
              <w:rPr>
                <w:rFonts w:ascii="Segoe UI" w:eastAsia="Times New Roman" w:hAnsi="Segoe UI" w:cs="Segoe UI"/>
                <w:color w:val="666666"/>
                <w:sz w:val="20"/>
                <w:szCs w:val="20"/>
              </w:rPr>
              <w:br/>
              <w:t xml:space="preserve">    loaned of </w:t>
            </w:r>
            <w:r w:rsidRPr="000C2E7E">
              <w:rPr>
                <w:rFonts w:ascii="Segoe UI" w:eastAsia="Times New Roman" w:hAnsi="Segoe UI" w:cs="Segoe UI"/>
                <w:b/>
                <w:bCs/>
                <w:color w:val="666666"/>
                <w:sz w:val="20"/>
                <w:szCs w:val="20"/>
              </w:rPr>
              <w:t>$75</w:t>
            </w:r>
            <w:r w:rsidRPr="000C2E7E">
              <w:rPr>
                <w:rFonts w:ascii="Segoe UI" w:eastAsia="Times New Roman" w:hAnsi="Segoe UI" w:cs="Segoe UI"/>
                <w:color w:val="666666"/>
                <w:sz w:val="20"/>
                <w:szCs w:val="20"/>
              </w:rPr>
              <w:t xml:space="preserve"> and $541)</w:t>
            </w:r>
          </w:p>
        </w:tc>
        <w:tc>
          <w:tcPr>
            <w:tcW w:w="1456" w:type="dxa"/>
            <w:tcBorders>
              <w:top w:val="nil"/>
              <w:left w:val="nil"/>
              <w:bottom w:val="single" w:sz="4" w:space="0" w:color="auto"/>
              <w:right w:val="nil"/>
            </w:tcBorders>
            <w:shd w:val="clear" w:color="auto" w:fill="auto"/>
            <w:noWrap/>
            <w:vAlign w:val="bottom"/>
            <w:hideMark/>
          </w:tcPr>
          <w:p w14:paraId="79E3244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90,931 </w:t>
            </w:r>
          </w:p>
        </w:tc>
        <w:tc>
          <w:tcPr>
            <w:tcW w:w="196" w:type="dxa"/>
            <w:tcBorders>
              <w:top w:val="nil"/>
              <w:left w:val="nil"/>
              <w:bottom w:val="nil"/>
              <w:right w:val="nil"/>
            </w:tcBorders>
            <w:shd w:val="clear" w:color="auto" w:fill="auto"/>
            <w:noWrap/>
            <w:vAlign w:val="bottom"/>
            <w:hideMark/>
          </w:tcPr>
          <w:p w14:paraId="19F47CD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5365CFB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77,040 </w:t>
            </w:r>
          </w:p>
        </w:tc>
      </w:tr>
      <w:tr w:rsidR="000C2E7E" w:rsidRPr="000C2E7E" w14:paraId="3F3AF3A0" w14:textId="77777777" w:rsidTr="000C2E7E">
        <w:trPr>
          <w:trHeight w:val="570"/>
        </w:trPr>
        <w:tc>
          <w:tcPr>
            <w:tcW w:w="5036" w:type="dxa"/>
            <w:tcBorders>
              <w:top w:val="nil"/>
              <w:left w:val="nil"/>
              <w:bottom w:val="nil"/>
              <w:right w:val="nil"/>
            </w:tcBorders>
            <w:shd w:val="clear" w:color="auto" w:fill="auto"/>
            <w:vAlign w:val="bottom"/>
            <w:hideMark/>
          </w:tcPr>
          <w:p w14:paraId="0F83E408"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Total cash, cash equivalents, and short-term </w:t>
            </w:r>
            <w:r w:rsidRPr="000C2E7E">
              <w:rPr>
                <w:rFonts w:ascii="Segoe UI" w:eastAsia="Times New Roman" w:hAnsi="Segoe UI" w:cs="Segoe UI"/>
                <w:color w:val="666666"/>
                <w:sz w:val="20"/>
                <w:szCs w:val="20"/>
              </w:rPr>
              <w:br/>
              <w:t xml:space="preserve">      investments</w:t>
            </w:r>
          </w:p>
        </w:tc>
        <w:tc>
          <w:tcPr>
            <w:tcW w:w="1456" w:type="dxa"/>
            <w:tcBorders>
              <w:top w:val="nil"/>
              <w:left w:val="nil"/>
              <w:bottom w:val="nil"/>
              <w:right w:val="nil"/>
            </w:tcBorders>
            <w:shd w:val="clear" w:color="auto" w:fill="auto"/>
            <w:noWrap/>
            <w:vAlign w:val="bottom"/>
            <w:hideMark/>
          </w:tcPr>
          <w:p w14:paraId="51CFCDA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96,526 </w:t>
            </w:r>
          </w:p>
        </w:tc>
        <w:tc>
          <w:tcPr>
            <w:tcW w:w="196" w:type="dxa"/>
            <w:tcBorders>
              <w:top w:val="nil"/>
              <w:left w:val="nil"/>
              <w:bottom w:val="nil"/>
              <w:right w:val="nil"/>
            </w:tcBorders>
            <w:shd w:val="clear" w:color="auto" w:fill="auto"/>
            <w:noWrap/>
            <w:vAlign w:val="bottom"/>
            <w:hideMark/>
          </w:tcPr>
          <w:p w14:paraId="2C10D20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1C568BB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85,709 </w:t>
            </w:r>
          </w:p>
        </w:tc>
      </w:tr>
      <w:tr w:rsidR="000C2E7E" w:rsidRPr="000C2E7E" w14:paraId="46465E2D" w14:textId="77777777" w:rsidTr="000C2E7E">
        <w:trPr>
          <w:trHeight w:val="570"/>
        </w:trPr>
        <w:tc>
          <w:tcPr>
            <w:tcW w:w="5036" w:type="dxa"/>
            <w:tcBorders>
              <w:top w:val="nil"/>
              <w:left w:val="nil"/>
              <w:bottom w:val="nil"/>
              <w:right w:val="nil"/>
            </w:tcBorders>
            <w:shd w:val="clear" w:color="auto" w:fill="auto"/>
            <w:vAlign w:val="bottom"/>
            <w:hideMark/>
          </w:tcPr>
          <w:p w14:paraId="53A11C89"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Accounts receivable, net of allowance for doubtful</w:t>
            </w:r>
            <w:r w:rsidRPr="000C2E7E">
              <w:rPr>
                <w:rFonts w:ascii="Segoe UI" w:eastAsia="Times New Roman" w:hAnsi="Segoe UI" w:cs="Segoe UI"/>
                <w:color w:val="666666"/>
                <w:sz w:val="20"/>
                <w:szCs w:val="20"/>
              </w:rPr>
              <w:br/>
              <w:t xml:space="preserve">    accounts of </w:t>
            </w:r>
            <w:r w:rsidRPr="000C2E7E">
              <w:rPr>
                <w:rFonts w:ascii="Segoe UI" w:eastAsia="Times New Roman" w:hAnsi="Segoe UI" w:cs="Segoe UI"/>
                <w:b/>
                <w:bCs/>
                <w:color w:val="666666"/>
                <w:sz w:val="20"/>
                <w:szCs w:val="20"/>
              </w:rPr>
              <w:t>$335</w:t>
            </w:r>
            <w:r w:rsidRPr="000C2E7E">
              <w:rPr>
                <w:rFonts w:ascii="Segoe UI" w:eastAsia="Times New Roman" w:hAnsi="Segoe UI" w:cs="Segoe UI"/>
                <w:color w:val="666666"/>
                <w:sz w:val="20"/>
                <w:szCs w:val="20"/>
              </w:rPr>
              <w:t xml:space="preserve"> and $301</w:t>
            </w:r>
          </w:p>
        </w:tc>
        <w:tc>
          <w:tcPr>
            <w:tcW w:w="1456" w:type="dxa"/>
            <w:tcBorders>
              <w:top w:val="nil"/>
              <w:left w:val="nil"/>
              <w:bottom w:val="nil"/>
              <w:right w:val="nil"/>
            </w:tcBorders>
            <w:shd w:val="clear" w:color="auto" w:fill="auto"/>
            <w:noWrap/>
            <w:vAlign w:val="bottom"/>
            <w:hideMark/>
          </w:tcPr>
          <w:p w14:paraId="66D0A4A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17,908 </w:t>
            </w:r>
          </w:p>
        </w:tc>
        <w:tc>
          <w:tcPr>
            <w:tcW w:w="196" w:type="dxa"/>
            <w:tcBorders>
              <w:top w:val="nil"/>
              <w:left w:val="nil"/>
              <w:bottom w:val="nil"/>
              <w:right w:val="nil"/>
            </w:tcBorders>
            <w:shd w:val="clear" w:color="auto" w:fill="auto"/>
            <w:noWrap/>
            <w:vAlign w:val="bottom"/>
            <w:hideMark/>
          </w:tcPr>
          <w:p w14:paraId="6D4AC38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83B4EA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19,544 </w:t>
            </w:r>
          </w:p>
        </w:tc>
      </w:tr>
      <w:tr w:rsidR="000C2E7E" w:rsidRPr="000C2E7E" w14:paraId="4616302C" w14:textId="77777777" w:rsidTr="000C2E7E">
        <w:trPr>
          <w:trHeight w:val="285"/>
        </w:trPr>
        <w:tc>
          <w:tcPr>
            <w:tcW w:w="5036" w:type="dxa"/>
            <w:tcBorders>
              <w:top w:val="nil"/>
              <w:left w:val="nil"/>
              <w:bottom w:val="nil"/>
              <w:right w:val="nil"/>
            </w:tcBorders>
            <w:shd w:val="clear" w:color="auto" w:fill="auto"/>
            <w:noWrap/>
            <w:vAlign w:val="bottom"/>
            <w:hideMark/>
          </w:tcPr>
          <w:p w14:paraId="1497AC95"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Inventories</w:t>
            </w:r>
          </w:p>
        </w:tc>
        <w:tc>
          <w:tcPr>
            <w:tcW w:w="1456" w:type="dxa"/>
            <w:tcBorders>
              <w:top w:val="nil"/>
              <w:left w:val="nil"/>
              <w:bottom w:val="nil"/>
              <w:right w:val="nil"/>
            </w:tcBorders>
            <w:shd w:val="clear" w:color="auto" w:fill="auto"/>
            <w:noWrap/>
            <w:vAlign w:val="bottom"/>
            <w:hideMark/>
          </w:tcPr>
          <w:p w14:paraId="19C4878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2,902 </w:t>
            </w:r>
          </w:p>
        </w:tc>
        <w:tc>
          <w:tcPr>
            <w:tcW w:w="196" w:type="dxa"/>
            <w:tcBorders>
              <w:top w:val="nil"/>
              <w:left w:val="nil"/>
              <w:bottom w:val="nil"/>
              <w:right w:val="nil"/>
            </w:tcBorders>
            <w:shd w:val="clear" w:color="auto" w:fill="auto"/>
            <w:noWrap/>
            <w:vAlign w:val="bottom"/>
            <w:hideMark/>
          </w:tcPr>
          <w:p w14:paraId="238F1C4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43BD2E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2,660 </w:t>
            </w:r>
          </w:p>
        </w:tc>
      </w:tr>
      <w:tr w:rsidR="000C2E7E" w:rsidRPr="000C2E7E" w14:paraId="6A6DFE64" w14:textId="77777777" w:rsidTr="000C2E7E">
        <w:trPr>
          <w:trHeight w:val="285"/>
        </w:trPr>
        <w:tc>
          <w:tcPr>
            <w:tcW w:w="5036" w:type="dxa"/>
            <w:tcBorders>
              <w:top w:val="nil"/>
              <w:left w:val="nil"/>
              <w:bottom w:val="nil"/>
              <w:right w:val="nil"/>
            </w:tcBorders>
            <w:shd w:val="clear" w:color="auto" w:fill="auto"/>
            <w:noWrap/>
            <w:vAlign w:val="bottom"/>
            <w:hideMark/>
          </w:tcPr>
          <w:p w14:paraId="5C42DC6D"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Deferred income taxes</w:t>
            </w:r>
          </w:p>
        </w:tc>
        <w:tc>
          <w:tcPr>
            <w:tcW w:w="1456" w:type="dxa"/>
            <w:tcBorders>
              <w:top w:val="nil"/>
              <w:left w:val="nil"/>
              <w:bottom w:val="nil"/>
              <w:right w:val="nil"/>
            </w:tcBorders>
            <w:shd w:val="clear" w:color="auto" w:fill="auto"/>
            <w:noWrap/>
            <w:vAlign w:val="bottom"/>
            <w:hideMark/>
          </w:tcPr>
          <w:p w14:paraId="0C0F36A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1,915 </w:t>
            </w:r>
          </w:p>
        </w:tc>
        <w:tc>
          <w:tcPr>
            <w:tcW w:w="196" w:type="dxa"/>
            <w:tcBorders>
              <w:top w:val="nil"/>
              <w:left w:val="nil"/>
              <w:bottom w:val="nil"/>
              <w:right w:val="nil"/>
            </w:tcBorders>
            <w:shd w:val="clear" w:color="auto" w:fill="auto"/>
            <w:noWrap/>
            <w:vAlign w:val="bottom"/>
            <w:hideMark/>
          </w:tcPr>
          <w:p w14:paraId="3EAFDA6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7B5AEE1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1,941 </w:t>
            </w:r>
          </w:p>
        </w:tc>
      </w:tr>
      <w:tr w:rsidR="000C2E7E" w:rsidRPr="000C2E7E" w14:paraId="6EFC35D7" w14:textId="77777777" w:rsidTr="000C2E7E">
        <w:trPr>
          <w:trHeight w:val="285"/>
        </w:trPr>
        <w:tc>
          <w:tcPr>
            <w:tcW w:w="5036" w:type="dxa"/>
            <w:tcBorders>
              <w:top w:val="nil"/>
              <w:left w:val="nil"/>
              <w:bottom w:val="single" w:sz="4" w:space="0" w:color="auto"/>
              <w:right w:val="nil"/>
            </w:tcBorders>
            <w:shd w:val="clear" w:color="auto" w:fill="auto"/>
            <w:noWrap/>
            <w:vAlign w:val="center"/>
            <w:hideMark/>
          </w:tcPr>
          <w:p w14:paraId="18C52829"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Other</w:t>
            </w:r>
          </w:p>
        </w:tc>
        <w:tc>
          <w:tcPr>
            <w:tcW w:w="1456" w:type="dxa"/>
            <w:tcBorders>
              <w:top w:val="nil"/>
              <w:left w:val="nil"/>
              <w:bottom w:val="single" w:sz="4" w:space="0" w:color="auto"/>
              <w:right w:val="nil"/>
            </w:tcBorders>
            <w:shd w:val="clear" w:color="auto" w:fill="auto"/>
            <w:noWrap/>
            <w:vAlign w:val="bottom"/>
            <w:hideMark/>
          </w:tcPr>
          <w:p w14:paraId="5EA25A9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5,461 </w:t>
            </w:r>
          </w:p>
        </w:tc>
        <w:tc>
          <w:tcPr>
            <w:tcW w:w="196" w:type="dxa"/>
            <w:tcBorders>
              <w:top w:val="nil"/>
              <w:left w:val="nil"/>
              <w:bottom w:val="nil"/>
              <w:right w:val="nil"/>
            </w:tcBorders>
            <w:shd w:val="clear" w:color="auto" w:fill="auto"/>
            <w:noWrap/>
            <w:vAlign w:val="bottom"/>
            <w:hideMark/>
          </w:tcPr>
          <w:p w14:paraId="157A982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1B2B80E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4,392 </w:t>
            </w:r>
          </w:p>
        </w:tc>
      </w:tr>
      <w:tr w:rsidR="000C2E7E" w:rsidRPr="000C2E7E" w14:paraId="28280A25" w14:textId="77777777" w:rsidTr="000C2E7E">
        <w:trPr>
          <w:trHeight w:val="285"/>
        </w:trPr>
        <w:tc>
          <w:tcPr>
            <w:tcW w:w="5036" w:type="dxa"/>
            <w:tcBorders>
              <w:top w:val="nil"/>
              <w:left w:val="nil"/>
              <w:bottom w:val="nil"/>
              <w:right w:val="nil"/>
            </w:tcBorders>
            <w:shd w:val="clear" w:color="auto" w:fill="auto"/>
            <w:noWrap/>
            <w:vAlign w:val="bottom"/>
            <w:hideMark/>
          </w:tcPr>
          <w:p w14:paraId="5CAA6DD8"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Total current assets</w:t>
            </w:r>
          </w:p>
        </w:tc>
        <w:tc>
          <w:tcPr>
            <w:tcW w:w="1456" w:type="dxa"/>
            <w:tcBorders>
              <w:top w:val="nil"/>
              <w:left w:val="nil"/>
              <w:bottom w:val="nil"/>
              <w:right w:val="nil"/>
            </w:tcBorders>
            <w:shd w:val="clear" w:color="auto" w:fill="auto"/>
            <w:noWrap/>
            <w:vAlign w:val="bottom"/>
            <w:hideMark/>
          </w:tcPr>
          <w:p w14:paraId="1144D15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124,712 </w:t>
            </w:r>
          </w:p>
        </w:tc>
        <w:tc>
          <w:tcPr>
            <w:tcW w:w="196" w:type="dxa"/>
            <w:tcBorders>
              <w:top w:val="nil"/>
              <w:left w:val="nil"/>
              <w:bottom w:val="nil"/>
              <w:right w:val="nil"/>
            </w:tcBorders>
            <w:shd w:val="clear" w:color="auto" w:fill="auto"/>
            <w:noWrap/>
            <w:vAlign w:val="bottom"/>
            <w:hideMark/>
          </w:tcPr>
          <w:p w14:paraId="181E956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85536E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114,246 </w:t>
            </w:r>
          </w:p>
        </w:tc>
      </w:tr>
      <w:tr w:rsidR="000C2E7E" w:rsidRPr="000C2E7E" w14:paraId="30640F1C" w14:textId="77777777" w:rsidTr="000C2E7E">
        <w:trPr>
          <w:trHeight w:val="570"/>
        </w:trPr>
        <w:tc>
          <w:tcPr>
            <w:tcW w:w="5036" w:type="dxa"/>
            <w:tcBorders>
              <w:top w:val="nil"/>
              <w:left w:val="nil"/>
              <w:bottom w:val="nil"/>
              <w:right w:val="nil"/>
            </w:tcBorders>
            <w:shd w:val="clear" w:color="auto" w:fill="auto"/>
            <w:vAlign w:val="bottom"/>
            <w:hideMark/>
          </w:tcPr>
          <w:p w14:paraId="2319F932"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Property and equipment, net of accumulated</w:t>
            </w:r>
            <w:r w:rsidRPr="000C2E7E">
              <w:rPr>
                <w:rFonts w:ascii="Segoe UI" w:eastAsia="Times New Roman" w:hAnsi="Segoe UI" w:cs="Segoe UI"/>
                <w:color w:val="666666"/>
                <w:sz w:val="20"/>
                <w:szCs w:val="20"/>
              </w:rPr>
              <w:br/>
              <w:t xml:space="preserve">  depreciation of </w:t>
            </w:r>
            <w:r w:rsidRPr="000C2E7E">
              <w:rPr>
                <w:rFonts w:ascii="Segoe UI" w:eastAsia="Times New Roman" w:hAnsi="Segoe UI" w:cs="Segoe UI"/>
                <w:b/>
                <w:bCs/>
                <w:color w:val="666666"/>
                <w:sz w:val="20"/>
                <w:szCs w:val="20"/>
              </w:rPr>
              <w:t>$17,606</w:t>
            </w:r>
            <w:r w:rsidRPr="000C2E7E">
              <w:rPr>
                <w:rFonts w:ascii="Segoe UI" w:eastAsia="Times New Roman" w:hAnsi="Segoe UI" w:cs="Segoe UI"/>
                <w:color w:val="666666"/>
                <w:sz w:val="20"/>
                <w:szCs w:val="20"/>
              </w:rPr>
              <w:t xml:space="preserve"> and $14,793</w:t>
            </w:r>
          </w:p>
        </w:tc>
        <w:tc>
          <w:tcPr>
            <w:tcW w:w="1456" w:type="dxa"/>
            <w:tcBorders>
              <w:top w:val="nil"/>
              <w:left w:val="nil"/>
              <w:bottom w:val="nil"/>
              <w:right w:val="nil"/>
            </w:tcBorders>
            <w:shd w:val="clear" w:color="auto" w:fill="auto"/>
            <w:noWrap/>
            <w:vAlign w:val="bottom"/>
            <w:hideMark/>
          </w:tcPr>
          <w:p w14:paraId="3679BF2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14,731 </w:t>
            </w:r>
          </w:p>
        </w:tc>
        <w:tc>
          <w:tcPr>
            <w:tcW w:w="196" w:type="dxa"/>
            <w:tcBorders>
              <w:top w:val="nil"/>
              <w:left w:val="nil"/>
              <w:bottom w:val="nil"/>
              <w:right w:val="nil"/>
            </w:tcBorders>
            <w:shd w:val="clear" w:color="auto" w:fill="auto"/>
            <w:noWrap/>
            <w:vAlign w:val="bottom"/>
            <w:hideMark/>
          </w:tcPr>
          <w:p w14:paraId="77A6A8F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FACB9E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13,011 </w:t>
            </w:r>
          </w:p>
        </w:tc>
      </w:tr>
      <w:tr w:rsidR="000C2E7E" w:rsidRPr="000C2E7E" w14:paraId="3ED47975" w14:textId="77777777" w:rsidTr="000C2E7E">
        <w:trPr>
          <w:trHeight w:val="285"/>
        </w:trPr>
        <w:tc>
          <w:tcPr>
            <w:tcW w:w="5036" w:type="dxa"/>
            <w:tcBorders>
              <w:top w:val="nil"/>
              <w:left w:val="nil"/>
              <w:bottom w:val="nil"/>
              <w:right w:val="nil"/>
            </w:tcBorders>
            <w:shd w:val="clear" w:color="auto" w:fill="auto"/>
            <w:noWrap/>
            <w:vAlign w:val="bottom"/>
            <w:hideMark/>
          </w:tcPr>
          <w:p w14:paraId="09A4704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Equity and other investments</w:t>
            </w:r>
          </w:p>
        </w:tc>
        <w:tc>
          <w:tcPr>
            <w:tcW w:w="1456" w:type="dxa"/>
            <w:tcBorders>
              <w:top w:val="nil"/>
              <w:left w:val="nil"/>
              <w:bottom w:val="nil"/>
              <w:right w:val="nil"/>
            </w:tcBorders>
            <w:shd w:val="clear" w:color="auto" w:fill="auto"/>
            <w:noWrap/>
            <w:vAlign w:val="bottom"/>
            <w:hideMark/>
          </w:tcPr>
          <w:p w14:paraId="0473213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12,053 </w:t>
            </w:r>
          </w:p>
        </w:tc>
        <w:tc>
          <w:tcPr>
            <w:tcW w:w="196" w:type="dxa"/>
            <w:tcBorders>
              <w:top w:val="nil"/>
              <w:left w:val="nil"/>
              <w:bottom w:val="nil"/>
              <w:right w:val="nil"/>
            </w:tcBorders>
            <w:shd w:val="clear" w:color="auto" w:fill="auto"/>
            <w:noWrap/>
            <w:vAlign w:val="bottom"/>
            <w:hideMark/>
          </w:tcPr>
          <w:p w14:paraId="4FCF00C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535D56B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14,597 </w:t>
            </w:r>
          </w:p>
        </w:tc>
      </w:tr>
      <w:tr w:rsidR="000C2E7E" w:rsidRPr="000C2E7E" w14:paraId="5919A75B" w14:textId="77777777" w:rsidTr="000C2E7E">
        <w:trPr>
          <w:trHeight w:val="285"/>
        </w:trPr>
        <w:tc>
          <w:tcPr>
            <w:tcW w:w="5036" w:type="dxa"/>
            <w:tcBorders>
              <w:top w:val="nil"/>
              <w:left w:val="nil"/>
              <w:bottom w:val="nil"/>
              <w:right w:val="nil"/>
            </w:tcBorders>
            <w:shd w:val="clear" w:color="auto" w:fill="auto"/>
            <w:noWrap/>
            <w:vAlign w:val="bottom"/>
            <w:hideMark/>
          </w:tcPr>
          <w:p w14:paraId="78444236"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Goodwill</w:t>
            </w:r>
          </w:p>
        </w:tc>
        <w:tc>
          <w:tcPr>
            <w:tcW w:w="1456" w:type="dxa"/>
            <w:tcBorders>
              <w:top w:val="nil"/>
              <w:left w:val="nil"/>
              <w:bottom w:val="nil"/>
              <w:right w:val="nil"/>
            </w:tcBorders>
            <w:shd w:val="clear" w:color="auto" w:fill="auto"/>
            <w:noWrap/>
            <w:vAlign w:val="bottom"/>
            <w:hideMark/>
          </w:tcPr>
          <w:p w14:paraId="6DAD011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16,939 </w:t>
            </w:r>
          </w:p>
        </w:tc>
        <w:tc>
          <w:tcPr>
            <w:tcW w:w="196" w:type="dxa"/>
            <w:tcBorders>
              <w:top w:val="nil"/>
              <w:left w:val="nil"/>
              <w:bottom w:val="nil"/>
              <w:right w:val="nil"/>
            </w:tcBorders>
            <w:shd w:val="clear" w:color="auto" w:fill="auto"/>
            <w:noWrap/>
            <w:vAlign w:val="bottom"/>
            <w:hideMark/>
          </w:tcPr>
          <w:p w14:paraId="211073C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0F37573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20,127 </w:t>
            </w:r>
          </w:p>
        </w:tc>
      </w:tr>
      <w:tr w:rsidR="000C2E7E" w:rsidRPr="000C2E7E" w14:paraId="5116BCBC" w14:textId="77777777" w:rsidTr="000C2E7E">
        <w:trPr>
          <w:trHeight w:val="285"/>
        </w:trPr>
        <w:tc>
          <w:tcPr>
            <w:tcW w:w="5036" w:type="dxa"/>
            <w:tcBorders>
              <w:top w:val="nil"/>
              <w:left w:val="nil"/>
              <w:bottom w:val="nil"/>
              <w:right w:val="nil"/>
            </w:tcBorders>
            <w:shd w:val="clear" w:color="auto" w:fill="auto"/>
            <w:noWrap/>
            <w:vAlign w:val="bottom"/>
            <w:hideMark/>
          </w:tcPr>
          <w:p w14:paraId="483627BF"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Intangible assets, net</w:t>
            </w:r>
          </w:p>
        </w:tc>
        <w:tc>
          <w:tcPr>
            <w:tcW w:w="1456" w:type="dxa"/>
            <w:tcBorders>
              <w:top w:val="nil"/>
              <w:left w:val="nil"/>
              <w:bottom w:val="nil"/>
              <w:right w:val="nil"/>
            </w:tcBorders>
            <w:shd w:val="clear" w:color="auto" w:fill="auto"/>
            <w:noWrap/>
            <w:vAlign w:val="bottom"/>
            <w:hideMark/>
          </w:tcPr>
          <w:p w14:paraId="609FB47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4,835 </w:t>
            </w:r>
          </w:p>
        </w:tc>
        <w:tc>
          <w:tcPr>
            <w:tcW w:w="196" w:type="dxa"/>
            <w:tcBorders>
              <w:top w:val="nil"/>
              <w:left w:val="nil"/>
              <w:bottom w:val="nil"/>
              <w:right w:val="nil"/>
            </w:tcBorders>
            <w:shd w:val="clear" w:color="auto" w:fill="auto"/>
            <w:noWrap/>
            <w:vAlign w:val="bottom"/>
            <w:hideMark/>
          </w:tcPr>
          <w:p w14:paraId="69DBDAA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326112B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6,981 </w:t>
            </w:r>
          </w:p>
        </w:tc>
      </w:tr>
      <w:tr w:rsidR="000C2E7E" w:rsidRPr="000C2E7E" w14:paraId="183130EC" w14:textId="77777777" w:rsidTr="000C2E7E">
        <w:trPr>
          <w:trHeight w:val="285"/>
        </w:trPr>
        <w:tc>
          <w:tcPr>
            <w:tcW w:w="5036" w:type="dxa"/>
            <w:tcBorders>
              <w:top w:val="nil"/>
              <w:left w:val="nil"/>
              <w:bottom w:val="single" w:sz="4" w:space="0" w:color="auto"/>
              <w:right w:val="nil"/>
            </w:tcBorders>
            <w:shd w:val="clear" w:color="auto" w:fill="auto"/>
            <w:noWrap/>
            <w:vAlign w:val="bottom"/>
            <w:hideMark/>
          </w:tcPr>
          <w:p w14:paraId="7053471E"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Other long-term assets</w:t>
            </w:r>
          </w:p>
        </w:tc>
        <w:tc>
          <w:tcPr>
            <w:tcW w:w="1456" w:type="dxa"/>
            <w:tcBorders>
              <w:top w:val="nil"/>
              <w:left w:val="nil"/>
              <w:bottom w:val="single" w:sz="4" w:space="0" w:color="auto"/>
              <w:right w:val="nil"/>
            </w:tcBorders>
            <w:shd w:val="clear" w:color="auto" w:fill="auto"/>
            <w:noWrap/>
            <w:vAlign w:val="bottom"/>
            <w:hideMark/>
          </w:tcPr>
          <w:p w14:paraId="45DC4D6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2,953 </w:t>
            </w:r>
          </w:p>
        </w:tc>
        <w:tc>
          <w:tcPr>
            <w:tcW w:w="196" w:type="dxa"/>
            <w:tcBorders>
              <w:top w:val="nil"/>
              <w:left w:val="nil"/>
              <w:bottom w:val="nil"/>
              <w:right w:val="nil"/>
            </w:tcBorders>
            <w:shd w:val="clear" w:color="auto" w:fill="auto"/>
            <w:noWrap/>
            <w:vAlign w:val="bottom"/>
            <w:hideMark/>
          </w:tcPr>
          <w:p w14:paraId="2F92138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1203005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3,422 </w:t>
            </w:r>
          </w:p>
        </w:tc>
      </w:tr>
      <w:tr w:rsidR="000C2E7E" w:rsidRPr="000C2E7E" w14:paraId="202C7ACE" w14:textId="77777777" w:rsidTr="000C2E7E">
        <w:trPr>
          <w:trHeight w:val="300"/>
        </w:trPr>
        <w:tc>
          <w:tcPr>
            <w:tcW w:w="5036" w:type="dxa"/>
            <w:tcBorders>
              <w:top w:val="nil"/>
              <w:left w:val="nil"/>
              <w:bottom w:val="nil"/>
              <w:right w:val="nil"/>
            </w:tcBorders>
            <w:shd w:val="clear" w:color="auto" w:fill="auto"/>
            <w:noWrap/>
            <w:vAlign w:val="bottom"/>
            <w:hideMark/>
          </w:tcPr>
          <w:p w14:paraId="322E985D"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Total assets</w:t>
            </w:r>
          </w:p>
        </w:tc>
        <w:tc>
          <w:tcPr>
            <w:tcW w:w="1456" w:type="dxa"/>
            <w:tcBorders>
              <w:top w:val="nil"/>
              <w:left w:val="nil"/>
              <w:bottom w:val="single" w:sz="8" w:space="0" w:color="auto"/>
              <w:right w:val="nil"/>
            </w:tcBorders>
            <w:shd w:val="clear" w:color="auto" w:fill="auto"/>
            <w:noWrap/>
            <w:vAlign w:val="bottom"/>
            <w:hideMark/>
          </w:tcPr>
          <w:p w14:paraId="4097FE5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176,223 </w:t>
            </w:r>
          </w:p>
        </w:tc>
        <w:tc>
          <w:tcPr>
            <w:tcW w:w="196" w:type="dxa"/>
            <w:tcBorders>
              <w:top w:val="nil"/>
              <w:left w:val="nil"/>
              <w:bottom w:val="nil"/>
              <w:right w:val="nil"/>
            </w:tcBorders>
            <w:shd w:val="clear" w:color="auto" w:fill="auto"/>
            <w:noWrap/>
            <w:vAlign w:val="bottom"/>
            <w:hideMark/>
          </w:tcPr>
          <w:p w14:paraId="2204AE7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8" w:space="0" w:color="auto"/>
              <w:right w:val="nil"/>
            </w:tcBorders>
            <w:shd w:val="clear" w:color="auto" w:fill="auto"/>
            <w:noWrap/>
            <w:vAlign w:val="bottom"/>
            <w:hideMark/>
          </w:tcPr>
          <w:p w14:paraId="28A6C05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172,384 </w:t>
            </w:r>
          </w:p>
        </w:tc>
      </w:tr>
      <w:tr w:rsidR="000C2E7E" w:rsidRPr="000C2E7E" w14:paraId="0FAB4AF3" w14:textId="77777777" w:rsidTr="000C2E7E">
        <w:trPr>
          <w:trHeight w:val="285"/>
        </w:trPr>
        <w:tc>
          <w:tcPr>
            <w:tcW w:w="5036" w:type="dxa"/>
            <w:tcBorders>
              <w:top w:val="nil"/>
              <w:left w:val="nil"/>
              <w:bottom w:val="nil"/>
              <w:right w:val="nil"/>
            </w:tcBorders>
            <w:shd w:val="clear" w:color="auto" w:fill="auto"/>
            <w:noWrap/>
            <w:vAlign w:val="bottom"/>
            <w:hideMark/>
          </w:tcPr>
          <w:p w14:paraId="656FFE1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456" w:type="dxa"/>
            <w:tcBorders>
              <w:top w:val="nil"/>
              <w:left w:val="nil"/>
              <w:bottom w:val="nil"/>
              <w:right w:val="nil"/>
            </w:tcBorders>
            <w:shd w:val="clear" w:color="auto" w:fill="auto"/>
            <w:noWrap/>
            <w:vAlign w:val="bottom"/>
            <w:hideMark/>
          </w:tcPr>
          <w:p w14:paraId="14737640" w14:textId="77777777" w:rsidR="000C2E7E" w:rsidRPr="000C2E7E" w:rsidRDefault="000C2E7E" w:rsidP="000C2E7E">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2C8C2A13"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1836F6EB"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301B1348" w14:textId="77777777" w:rsidTr="000C2E7E">
        <w:trPr>
          <w:trHeight w:val="285"/>
        </w:trPr>
        <w:tc>
          <w:tcPr>
            <w:tcW w:w="5036" w:type="dxa"/>
            <w:tcBorders>
              <w:top w:val="nil"/>
              <w:left w:val="nil"/>
              <w:bottom w:val="nil"/>
              <w:right w:val="nil"/>
            </w:tcBorders>
            <w:shd w:val="clear" w:color="auto" w:fill="auto"/>
            <w:noWrap/>
            <w:vAlign w:val="bottom"/>
            <w:hideMark/>
          </w:tcPr>
          <w:p w14:paraId="3966FAE2"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Liabilities and stockholders' equity</w:t>
            </w:r>
          </w:p>
        </w:tc>
        <w:tc>
          <w:tcPr>
            <w:tcW w:w="1456" w:type="dxa"/>
            <w:tcBorders>
              <w:top w:val="nil"/>
              <w:left w:val="nil"/>
              <w:bottom w:val="nil"/>
              <w:right w:val="nil"/>
            </w:tcBorders>
            <w:shd w:val="clear" w:color="auto" w:fill="auto"/>
            <w:noWrap/>
            <w:vAlign w:val="bottom"/>
            <w:hideMark/>
          </w:tcPr>
          <w:p w14:paraId="3EB38931"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08A2F585"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6EB1A530"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16C191C1" w14:textId="77777777" w:rsidTr="000C2E7E">
        <w:trPr>
          <w:trHeight w:val="285"/>
        </w:trPr>
        <w:tc>
          <w:tcPr>
            <w:tcW w:w="5036" w:type="dxa"/>
            <w:tcBorders>
              <w:top w:val="nil"/>
              <w:left w:val="nil"/>
              <w:bottom w:val="nil"/>
              <w:right w:val="nil"/>
            </w:tcBorders>
            <w:shd w:val="clear" w:color="auto" w:fill="auto"/>
            <w:noWrap/>
            <w:vAlign w:val="bottom"/>
            <w:hideMark/>
          </w:tcPr>
          <w:p w14:paraId="19BF79EA"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Current liabilities:</w:t>
            </w:r>
          </w:p>
        </w:tc>
        <w:tc>
          <w:tcPr>
            <w:tcW w:w="1456" w:type="dxa"/>
            <w:tcBorders>
              <w:top w:val="nil"/>
              <w:left w:val="nil"/>
              <w:bottom w:val="nil"/>
              <w:right w:val="nil"/>
            </w:tcBorders>
            <w:shd w:val="clear" w:color="auto" w:fill="auto"/>
            <w:noWrap/>
            <w:vAlign w:val="bottom"/>
            <w:hideMark/>
          </w:tcPr>
          <w:p w14:paraId="61B4C7CB" w14:textId="77777777" w:rsidR="000C2E7E" w:rsidRPr="000C2E7E" w:rsidRDefault="000C2E7E" w:rsidP="000C2E7E">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6F61A304"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0FB7BC5A"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0A9F7ECC" w14:textId="77777777" w:rsidTr="000C2E7E">
        <w:trPr>
          <w:trHeight w:val="285"/>
        </w:trPr>
        <w:tc>
          <w:tcPr>
            <w:tcW w:w="5036" w:type="dxa"/>
            <w:tcBorders>
              <w:top w:val="nil"/>
              <w:left w:val="nil"/>
              <w:bottom w:val="nil"/>
              <w:right w:val="nil"/>
            </w:tcBorders>
            <w:shd w:val="clear" w:color="auto" w:fill="auto"/>
            <w:noWrap/>
            <w:vAlign w:val="bottom"/>
            <w:hideMark/>
          </w:tcPr>
          <w:p w14:paraId="1B01506A"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Accounts payable</w:t>
            </w:r>
          </w:p>
        </w:tc>
        <w:tc>
          <w:tcPr>
            <w:tcW w:w="1456" w:type="dxa"/>
            <w:tcBorders>
              <w:top w:val="nil"/>
              <w:left w:val="nil"/>
              <w:bottom w:val="nil"/>
              <w:right w:val="nil"/>
            </w:tcBorders>
            <w:shd w:val="clear" w:color="auto" w:fill="auto"/>
            <w:noWrap/>
            <w:vAlign w:val="bottom"/>
            <w:hideMark/>
          </w:tcPr>
          <w:p w14:paraId="1C76A7E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6,591 </w:t>
            </w:r>
          </w:p>
        </w:tc>
        <w:tc>
          <w:tcPr>
            <w:tcW w:w="196" w:type="dxa"/>
            <w:tcBorders>
              <w:top w:val="nil"/>
              <w:left w:val="nil"/>
              <w:bottom w:val="nil"/>
              <w:right w:val="nil"/>
            </w:tcBorders>
            <w:shd w:val="clear" w:color="auto" w:fill="auto"/>
            <w:noWrap/>
            <w:vAlign w:val="bottom"/>
            <w:hideMark/>
          </w:tcPr>
          <w:p w14:paraId="0F1542D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3DB2ACE4"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7,432 </w:t>
            </w:r>
          </w:p>
        </w:tc>
      </w:tr>
      <w:tr w:rsidR="000C2E7E" w:rsidRPr="000C2E7E" w14:paraId="22C12A1E" w14:textId="77777777" w:rsidTr="000C2E7E">
        <w:trPr>
          <w:trHeight w:val="285"/>
        </w:trPr>
        <w:tc>
          <w:tcPr>
            <w:tcW w:w="5036" w:type="dxa"/>
            <w:tcBorders>
              <w:top w:val="nil"/>
              <w:left w:val="nil"/>
              <w:bottom w:val="nil"/>
              <w:right w:val="nil"/>
            </w:tcBorders>
            <w:shd w:val="clear" w:color="auto" w:fill="auto"/>
            <w:noWrap/>
            <w:vAlign w:val="bottom"/>
            <w:hideMark/>
          </w:tcPr>
          <w:p w14:paraId="23D01507"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Short-term debt</w:t>
            </w:r>
          </w:p>
        </w:tc>
        <w:tc>
          <w:tcPr>
            <w:tcW w:w="1456" w:type="dxa"/>
            <w:tcBorders>
              <w:top w:val="nil"/>
              <w:left w:val="nil"/>
              <w:bottom w:val="nil"/>
              <w:right w:val="nil"/>
            </w:tcBorders>
            <w:shd w:val="clear" w:color="auto" w:fill="auto"/>
            <w:noWrap/>
            <w:vAlign w:val="bottom"/>
            <w:hideMark/>
          </w:tcPr>
          <w:p w14:paraId="00C37AE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4,985 </w:t>
            </w:r>
          </w:p>
        </w:tc>
        <w:tc>
          <w:tcPr>
            <w:tcW w:w="196" w:type="dxa"/>
            <w:tcBorders>
              <w:top w:val="nil"/>
              <w:left w:val="nil"/>
              <w:bottom w:val="nil"/>
              <w:right w:val="nil"/>
            </w:tcBorders>
            <w:shd w:val="clear" w:color="auto" w:fill="auto"/>
            <w:noWrap/>
            <w:vAlign w:val="bottom"/>
            <w:hideMark/>
          </w:tcPr>
          <w:p w14:paraId="664D81D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67C1F14"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2,000 </w:t>
            </w:r>
          </w:p>
        </w:tc>
      </w:tr>
      <w:tr w:rsidR="000C2E7E" w:rsidRPr="000C2E7E" w14:paraId="32D3AD82" w14:textId="77777777" w:rsidTr="000C2E7E">
        <w:trPr>
          <w:trHeight w:val="285"/>
        </w:trPr>
        <w:tc>
          <w:tcPr>
            <w:tcW w:w="5036" w:type="dxa"/>
            <w:tcBorders>
              <w:top w:val="nil"/>
              <w:left w:val="nil"/>
              <w:bottom w:val="nil"/>
              <w:right w:val="nil"/>
            </w:tcBorders>
            <w:shd w:val="clear" w:color="auto" w:fill="auto"/>
            <w:noWrap/>
            <w:vAlign w:val="bottom"/>
            <w:hideMark/>
          </w:tcPr>
          <w:p w14:paraId="6779914B"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Current portion of long-term debt</w:t>
            </w:r>
          </w:p>
        </w:tc>
        <w:tc>
          <w:tcPr>
            <w:tcW w:w="1456" w:type="dxa"/>
            <w:tcBorders>
              <w:top w:val="nil"/>
              <w:left w:val="nil"/>
              <w:bottom w:val="nil"/>
              <w:right w:val="nil"/>
            </w:tcBorders>
            <w:shd w:val="clear" w:color="auto" w:fill="auto"/>
            <w:noWrap/>
            <w:vAlign w:val="bottom"/>
            <w:hideMark/>
          </w:tcPr>
          <w:p w14:paraId="3DC7E6A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2,499 </w:t>
            </w:r>
          </w:p>
        </w:tc>
        <w:tc>
          <w:tcPr>
            <w:tcW w:w="196" w:type="dxa"/>
            <w:tcBorders>
              <w:top w:val="nil"/>
              <w:left w:val="nil"/>
              <w:bottom w:val="nil"/>
              <w:right w:val="nil"/>
            </w:tcBorders>
            <w:shd w:val="clear" w:color="auto" w:fill="auto"/>
            <w:noWrap/>
            <w:vAlign w:val="bottom"/>
            <w:hideMark/>
          </w:tcPr>
          <w:p w14:paraId="38E7760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22A86FB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0 </w:t>
            </w:r>
          </w:p>
        </w:tc>
      </w:tr>
      <w:tr w:rsidR="000C2E7E" w:rsidRPr="000C2E7E" w14:paraId="7955EF50" w14:textId="77777777" w:rsidTr="000C2E7E">
        <w:trPr>
          <w:trHeight w:val="285"/>
        </w:trPr>
        <w:tc>
          <w:tcPr>
            <w:tcW w:w="5036" w:type="dxa"/>
            <w:tcBorders>
              <w:top w:val="nil"/>
              <w:left w:val="nil"/>
              <w:bottom w:val="nil"/>
              <w:right w:val="nil"/>
            </w:tcBorders>
            <w:shd w:val="clear" w:color="auto" w:fill="auto"/>
            <w:noWrap/>
            <w:vAlign w:val="bottom"/>
            <w:hideMark/>
          </w:tcPr>
          <w:p w14:paraId="7DB413C3"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Accrued compensation</w:t>
            </w:r>
          </w:p>
        </w:tc>
        <w:tc>
          <w:tcPr>
            <w:tcW w:w="1456" w:type="dxa"/>
            <w:tcBorders>
              <w:top w:val="nil"/>
              <w:left w:val="nil"/>
              <w:bottom w:val="nil"/>
              <w:right w:val="nil"/>
            </w:tcBorders>
            <w:shd w:val="clear" w:color="auto" w:fill="auto"/>
            <w:noWrap/>
            <w:vAlign w:val="bottom"/>
            <w:hideMark/>
          </w:tcPr>
          <w:p w14:paraId="0067213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5,096 </w:t>
            </w:r>
          </w:p>
        </w:tc>
        <w:tc>
          <w:tcPr>
            <w:tcW w:w="196" w:type="dxa"/>
            <w:tcBorders>
              <w:top w:val="nil"/>
              <w:left w:val="nil"/>
              <w:bottom w:val="nil"/>
              <w:right w:val="nil"/>
            </w:tcBorders>
            <w:shd w:val="clear" w:color="auto" w:fill="auto"/>
            <w:noWrap/>
            <w:vAlign w:val="bottom"/>
            <w:hideMark/>
          </w:tcPr>
          <w:p w14:paraId="0F7315A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D1352A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4,797 </w:t>
            </w:r>
          </w:p>
        </w:tc>
      </w:tr>
      <w:tr w:rsidR="000C2E7E" w:rsidRPr="000C2E7E" w14:paraId="2973CA47" w14:textId="77777777" w:rsidTr="000C2E7E">
        <w:trPr>
          <w:trHeight w:val="285"/>
        </w:trPr>
        <w:tc>
          <w:tcPr>
            <w:tcW w:w="5036" w:type="dxa"/>
            <w:tcBorders>
              <w:top w:val="nil"/>
              <w:left w:val="nil"/>
              <w:bottom w:val="nil"/>
              <w:right w:val="nil"/>
            </w:tcBorders>
            <w:shd w:val="clear" w:color="auto" w:fill="auto"/>
            <w:noWrap/>
            <w:vAlign w:val="bottom"/>
            <w:hideMark/>
          </w:tcPr>
          <w:p w14:paraId="70CADA0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Income taxes</w:t>
            </w:r>
          </w:p>
        </w:tc>
        <w:tc>
          <w:tcPr>
            <w:tcW w:w="1456" w:type="dxa"/>
            <w:tcBorders>
              <w:top w:val="nil"/>
              <w:left w:val="nil"/>
              <w:bottom w:val="nil"/>
              <w:right w:val="nil"/>
            </w:tcBorders>
            <w:shd w:val="clear" w:color="auto" w:fill="auto"/>
            <w:noWrap/>
            <w:vAlign w:val="bottom"/>
            <w:hideMark/>
          </w:tcPr>
          <w:p w14:paraId="311A41A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606 </w:t>
            </w:r>
          </w:p>
        </w:tc>
        <w:tc>
          <w:tcPr>
            <w:tcW w:w="196" w:type="dxa"/>
            <w:tcBorders>
              <w:top w:val="nil"/>
              <w:left w:val="nil"/>
              <w:bottom w:val="nil"/>
              <w:right w:val="nil"/>
            </w:tcBorders>
            <w:shd w:val="clear" w:color="auto" w:fill="auto"/>
            <w:noWrap/>
            <w:vAlign w:val="bottom"/>
            <w:hideMark/>
          </w:tcPr>
          <w:p w14:paraId="5754EBF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FEE710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782 </w:t>
            </w:r>
          </w:p>
        </w:tc>
      </w:tr>
      <w:tr w:rsidR="000C2E7E" w:rsidRPr="000C2E7E" w14:paraId="1665A5C6" w14:textId="77777777" w:rsidTr="000C2E7E">
        <w:trPr>
          <w:trHeight w:val="285"/>
        </w:trPr>
        <w:tc>
          <w:tcPr>
            <w:tcW w:w="5036" w:type="dxa"/>
            <w:tcBorders>
              <w:top w:val="nil"/>
              <w:left w:val="nil"/>
              <w:bottom w:val="nil"/>
              <w:right w:val="nil"/>
            </w:tcBorders>
            <w:shd w:val="clear" w:color="auto" w:fill="auto"/>
            <w:noWrap/>
            <w:vAlign w:val="bottom"/>
            <w:hideMark/>
          </w:tcPr>
          <w:p w14:paraId="5A23D57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Short-term unearned revenue</w:t>
            </w:r>
          </w:p>
        </w:tc>
        <w:tc>
          <w:tcPr>
            <w:tcW w:w="1456" w:type="dxa"/>
            <w:tcBorders>
              <w:top w:val="nil"/>
              <w:left w:val="nil"/>
              <w:bottom w:val="nil"/>
              <w:right w:val="nil"/>
            </w:tcBorders>
            <w:shd w:val="clear" w:color="auto" w:fill="auto"/>
            <w:noWrap/>
            <w:vAlign w:val="bottom"/>
            <w:hideMark/>
          </w:tcPr>
          <w:p w14:paraId="2BC02D1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23,223 </w:t>
            </w:r>
          </w:p>
        </w:tc>
        <w:tc>
          <w:tcPr>
            <w:tcW w:w="196" w:type="dxa"/>
            <w:tcBorders>
              <w:top w:val="nil"/>
              <w:left w:val="nil"/>
              <w:bottom w:val="nil"/>
              <w:right w:val="nil"/>
            </w:tcBorders>
            <w:shd w:val="clear" w:color="auto" w:fill="auto"/>
            <w:noWrap/>
            <w:vAlign w:val="bottom"/>
            <w:hideMark/>
          </w:tcPr>
          <w:p w14:paraId="068F7BF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9928E3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23,150 </w:t>
            </w:r>
          </w:p>
        </w:tc>
      </w:tr>
      <w:tr w:rsidR="000C2E7E" w:rsidRPr="000C2E7E" w14:paraId="591C2D20" w14:textId="77777777" w:rsidTr="000C2E7E">
        <w:trPr>
          <w:trHeight w:val="285"/>
        </w:trPr>
        <w:tc>
          <w:tcPr>
            <w:tcW w:w="5036" w:type="dxa"/>
            <w:tcBorders>
              <w:top w:val="nil"/>
              <w:left w:val="nil"/>
              <w:bottom w:val="nil"/>
              <w:right w:val="nil"/>
            </w:tcBorders>
            <w:shd w:val="clear" w:color="auto" w:fill="auto"/>
            <w:noWrap/>
            <w:vAlign w:val="bottom"/>
            <w:hideMark/>
          </w:tcPr>
          <w:p w14:paraId="54956AB4"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Securities lending payable</w:t>
            </w:r>
          </w:p>
        </w:tc>
        <w:tc>
          <w:tcPr>
            <w:tcW w:w="1456" w:type="dxa"/>
            <w:tcBorders>
              <w:top w:val="nil"/>
              <w:left w:val="nil"/>
              <w:bottom w:val="nil"/>
              <w:right w:val="nil"/>
            </w:tcBorders>
            <w:shd w:val="clear" w:color="auto" w:fill="auto"/>
            <w:noWrap/>
            <w:vAlign w:val="bottom"/>
            <w:hideMark/>
          </w:tcPr>
          <w:p w14:paraId="032B6A1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92 </w:t>
            </w:r>
          </w:p>
        </w:tc>
        <w:tc>
          <w:tcPr>
            <w:tcW w:w="196" w:type="dxa"/>
            <w:tcBorders>
              <w:top w:val="nil"/>
              <w:left w:val="nil"/>
              <w:bottom w:val="nil"/>
              <w:right w:val="nil"/>
            </w:tcBorders>
            <w:shd w:val="clear" w:color="auto" w:fill="auto"/>
            <w:noWrap/>
            <w:vAlign w:val="bottom"/>
            <w:hideMark/>
          </w:tcPr>
          <w:p w14:paraId="3390A62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F4304C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558 </w:t>
            </w:r>
          </w:p>
        </w:tc>
      </w:tr>
      <w:tr w:rsidR="000C2E7E" w:rsidRPr="000C2E7E" w14:paraId="0A3BEE9B" w14:textId="77777777" w:rsidTr="000C2E7E">
        <w:trPr>
          <w:trHeight w:val="285"/>
        </w:trPr>
        <w:tc>
          <w:tcPr>
            <w:tcW w:w="5036" w:type="dxa"/>
            <w:tcBorders>
              <w:top w:val="nil"/>
              <w:left w:val="nil"/>
              <w:bottom w:val="single" w:sz="4" w:space="0" w:color="auto"/>
              <w:right w:val="nil"/>
            </w:tcBorders>
            <w:shd w:val="clear" w:color="auto" w:fill="auto"/>
            <w:noWrap/>
            <w:vAlign w:val="bottom"/>
            <w:hideMark/>
          </w:tcPr>
          <w:p w14:paraId="28FBF9BF"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Other</w:t>
            </w:r>
          </w:p>
        </w:tc>
        <w:tc>
          <w:tcPr>
            <w:tcW w:w="1456" w:type="dxa"/>
            <w:tcBorders>
              <w:top w:val="nil"/>
              <w:left w:val="nil"/>
              <w:bottom w:val="single" w:sz="4" w:space="0" w:color="auto"/>
              <w:right w:val="nil"/>
            </w:tcBorders>
            <w:shd w:val="clear" w:color="auto" w:fill="auto"/>
            <w:noWrap/>
            <w:vAlign w:val="bottom"/>
            <w:hideMark/>
          </w:tcPr>
          <w:p w14:paraId="65A8D50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6,766 </w:t>
            </w:r>
          </w:p>
        </w:tc>
        <w:tc>
          <w:tcPr>
            <w:tcW w:w="196" w:type="dxa"/>
            <w:tcBorders>
              <w:top w:val="nil"/>
              <w:left w:val="nil"/>
              <w:bottom w:val="nil"/>
              <w:right w:val="nil"/>
            </w:tcBorders>
            <w:shd w:val="clear" w:color="auto" w:fill="auto"/>
            <w:noWrap/>
            <w:vAlign w:val="bottom"/>
            <w:hideMark/>
          </w:tcPr>
          <w:p w14:paraId="1902243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02336F2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6,906 </w:t>
            </w:r>
          </w:p>
        </w:tc>
      </w:tr>
      <w:tr w:rsidR="000C2E7E" w:rsidRPr="000C2E7E" w14:paraId="3F462759" w14:textId="77777777" w:rsidTr="000C2E7E">
        <w:trPr>
          <w:trHeight w:val="285"/>
        </w:trPr>
        <w:tc>
          <w:tcPr>
            <w:tcW w:w="5036" w:type="dxa"/>
            <w:tcBorders>
              <w:top w:val="nil"/>
              <w:left w:val="nil"/>
              <w:bottom w:val="nil"/>
              <w:right w:val="nil"/>
            </w:tcBorders>
            <w:shd w:val="clear" w:color="auto" w:fill="auto"/>
            <w:noWrap/>
            <w:vAlign w:val="bottom"/>
            <w:hideMark/>
          </w:tcPr>
          <w:p w14:paraId="383D7612"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Total current liabilities</w:t>
            </w:r>
          </w:p>
        </w:tc>
        <w:tc>
          <w:tcPr>
            <w:tcW w:w="1456" w:type="dxa"/>
            <w:tcBorders>
              <w:top w:val="nil"/>
              <w:left w:val="nil"/>
              <w:bottom w:val="nil"/>
              <w:right w:val="nil"/>
            </w:tcBorders>
            <w:shd w:val="clear" w:color="auto" w:fill="auto"/>
            <w:noWrap/>
            <w:vAlign w:val="bottom"/>
            <w:hideMark/>
          </w:tcPr>
          <w:p w14:paraId="28E75F2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49,858 </w:t>
            </w:r>
          </w:p>
        </w:tc>
        <w:tc>
          <w:tcPr>
            <w:tcW w:w="196" w:type="dxa"/>
            <w:tcBorders>
              <w:top w:val="nil"/>
              <w:left w:val="nil"/>
              <w:bottom w:val="nil"/>
              <w:right w:val="nil"/>
            </w:tcBorders>
            <w:shd w:val="clear" w:color="auto" w:fill="auto"/>
            <w:noWrap/>
            <w:vAlign w:val="bottom"/>
            <w:hideMark/>
          </w:tcPr>
          <w:p w14:paraId="4F39544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563C33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45,625 </w:t>
            </w:r>
          </w:p>
        </w:tc>
      </w:tr>
      <w:tr w:rsidR="000C2E7E" w:rsidRPr="000C2E7E" w14:paraId="50272C65" w14:textId="77777777" w:rsidTr="000C2E7E">
        <w:trPr>
          <w:trHeight w:val="285"/>
        </w:trPr>
        <w:tc>
          <w:tcPr>
            <w:tcW w:w="5036" w:type="dxa"/>
            <w:tcBorders>
              <w:top w:val="nil"/>
              <w:left w:val="nil"/>
              <w:bottom w:val="nil"/>
              <w:right w:val="nil"/>
            </w:tcBorders>
            <w:shd w:val="clear" w:color="auto" w:fill="auto"/>
            <w:noWrap/>
            <w:vAlign w:val="bottom"/>
            <w:hideMark/>
          </w:tcPr>
          <w:p w14:paraId="0160448C"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Long-term debt</w:t>
            </w:r>
          </w:p>
        </w:tc>
        <w:tc>
          <w:tcPr>
            <w:tcW w:w="1456" w:type="dxa"/>
            <w:tcBorders>
              <w:top w:val="nil"/>
              <w:left w:val="nil"/>
              <w:bottom w:val="nil"/>
              <w:right w:val="nil"/>
            </w:tcBorders>
            <w:shd w:val="clear" w:color="auto" w:fill="auto"/>
            <w:noWrap/>
            <w:vAlign w:val="bottom"/>
            <w:hideMark/>
          </w:tcPr>
          <w:p w14:paraId="65325FB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27,808 </w:t>
            </w:r>
          </w:p>
        </w:tc>
        <w:tc>
          <w:tcPr>
            <w:tcW w:w="196" w:type="dxa"/>
            <w:tcBorders>
              <w:top w:val="nil"/>
              <w:left w:val="nil"/>
              <w:bottom w:val="nil"/>
              <w:right w:val="nil"/>
            </w:tcBorders>
            <w:shd w:val="clear" w:color="auto" w:fill="auto"/>
            <w:noWrap/>
            <w:vAlign w:val="bottom"/>
            <w:hideMark/>
          </w:tcPr>
          <w:p w14:paraId="588EB37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7586D1A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20,645 </w:t>
            </w:r>
          </w:p>
        </w:tc>
      </w:tr>
      <w:tr w:rsidR="000C2E7E" w:rsidRPr="000C2E7E" w14:paraId="778E47F4" w14:textId="77777777" w:rsidTr="000C2E7E">
        <w:trPr>
          <w:trHeight w:val="285"/>
        </w:trPr>
        <w:tc>
          <w:tcPr>
            <w:tcW w:w="5036" w:type="dxa"/>
            <w:tcBorders>
              <w:top w:val="nil"/>
              <w:left w:val="nil"/>
              <w:bottom w:val="nil"/>
              <w:right w:val="nil"/>
            </w:tcBorders>
            <w:shd w:val="clear" w:color="auto" w:fill="auto"/>
            <w:noWrap/>
            <w:vAlign w:val="bottom"/>
            <w:hideMark/>
          </w:tcPr>
          <w:p w14:paraId="09DF086B"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Long-term unearned revenue</w:t>
            </w:r>
          </w:p>
        </w:tc>
        <w:tc>
          <w:tcPr>
            <w:tcW w:w="1456" w:type="dxa"/>
            <w:tcBorders>
              <w:top w:val="nil"/>
              <w:left w:val="nil"/>
              <w:bottom w:val="nil"/>
              <w:right w:val="nil"/>
            </w:tcBorders>
            <w:shd w:val="clear" w:color="auto" w:fill="auto"/>
            <w:noWrap/>
            <w:vAlign w:val="bottom"/>
            <w:hideMark/>
          </w:tcPr>
          <w:p w14:paraId="4C52AFA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2,095 </w:t>
            </w:r>
          </w:p>
        </w:tc>
        <w:tc>
          <w:tcPr>
            <w:tcW w:w="196" w:type="dxa"/>
            <w:tcBorders>
              <w:top w:val="nil"/>
              <w:left w:val="nil"/>
              <w:bottom w:val="nil"/>
              <w:right w:val="nil"/>
            </w:tcBorders>
            <w:shd w:val="clear" w:color="auto" w:fill="auto"/>
            <w:noWrap/>
            <w:vAlign w:val="bottom"/>
            <w:hideMark/>
          </w:tcPr>
          <w:p w14:paraId="1B29C87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2CFCC13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2,008 </w:t>
            </w:r>
          </w:p>
        </w:tc>
      </w:tr>
      <w:tr w:rsidR="000C2E7E" w:rsidRPr="000C2E7E" w14:paraId="78046446" w14:textId="77777777" w:rsidTr="000C2E7E">
        <w:trPr>
          <w:trHeight w:val="285"/>
        </w:trPr>
        <w:tc>
          <w:tcPr>
            <w:tcW w:w="5036" w:type="dxa"/>
            <w:tcBorders>
              <w:top w:val="nil"/>
              <w:left w:val="nil"/>
              <w:bottom w:val="nil"/>
              <w:right w:val="nil"/>
            </w:tcBorders>
            <w:shd w:val="clear" w:color="auto" w:fill="auto"/>
            <w:noWrap/>
            <w:vAlign w:val="bottom"/>
            <w:hideMark/>
          </w:tcPr>
          <w:p w14:paraId="286B5314"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Deferred income taxes</w:t>
            </w:r>
          </w:p>
        </w:tc>
        <w:tc>
          <w:tcPr>
            <w:tcW w:w="1456" w:type="dxa"/>
            <w:tcBorders>
              <w:top w:val="nil"/>
              <w:left w:val="nil"/>
              <w:bottom w:val="nil"/>
              <w:right w:val="nil"/>
            </w:tcBorders>
            <w:shd w:val="clear" w:color="auto" w:fill="auto"/>
            <w:noWrap/>
            <w:vAlign w:val="bottom"/>
            <w:hideMark/>
          </w:tcPr>
          <w:p w14:paraId="385EEE6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2,835 </w:t>
            </w:r>
          </w:p>
        </w:tc>
        <w:tc>
          <w:tcPr>
            <w:tcW w:w="196" w:type="dxa"/>
            <w:tcBorders>
              <w:top w:val="nil"/>
              <w:left w:val="nil"/>
              <w:bottom w:val="nil"/>
              <w:right w:val="nil"/>
            </w:tcBorders>
            <w:shd w:val="clear" w:color="auto" w:fill="auto"/>
            <w:noWrap/>
            <w:vAlign w:val="bottom"/>
            <w:hideMark/>
          </w:tcPr>
          <w:p w14:paraId="2CED7C0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2DBAF2E1"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2,728 </w:t>
            </w:r>
          </w:p>
        </w:tc>
      </w:tr>
      <w:tr w:rsidR="000C2E7E" w:rsidRPr="000C2E7E" w14:paraId="65EC20EF" w14:textId="77777777" w:rsidTr="000C2E7E">
        <w:trPr>
          <w:trHeight w:val="330"/>
        </w:trPr>
        <w:tc>
          <w:tcPr>
            <w:tcW w:w="5036" w:type="dxa"/>
            <w:tcBorders>
              <w:top w:val="nil"/>
              <w:left w:val="nil"/>
              <w:bottom w:val="single" w:sz="4" w:space="0" w:color="auto"/>
              <w:right w:val="nil"/>
            </w:tcBorders>
            <w:shd w:val="clear" w:color="auto" w:fill="auto"/>
            <w:noWrap/>
            <w:vAlign w:val="bottom"/>
            <w:hideMark/>
          </w:tcPr>
          <w:p w14:paraId="5B87B6A8"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Other long-term liabilities</w:t>
            </w:r>
          </w:p>
        </w:tc>
        <w:tc>
          <w:tcPr>
            <w:tcW w:w="1456" w:type="dxa"/>
            <w:tcBorders>
              <w:top w:val="nil"/>
              <w:left w:val="nil"/>
              <w:bottom w:val="single" w:sz="4" w:space="0" w:color="auto"/>
              <w:right w:val="nil"/>
            </w:tcBorders>
            <w:shd w:val="clear" w:color="auto" w:fill="auto"/>
            <w:noWrap/>
            <w:vAlign w:val="bottom"/>
            <w:hideMark/>
          </w:tcPr>
          <w:p w14:paraId="0077342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13,544 </w:t>
            </w:r>
          </w:p>
        </w:tc>
        <w:tc>
          <w:tcPr>
            <w:tcW w:w="196" w:type="dxa"/>
            <w:tcBorders>
              <w:top w:val="nil"/>
              <w:left w:val="nil"/>
              <w:bottom w:val="nil"/>
              <w:right w:val="nil"/>
            </w:tcBorders>
            <w:shd w:val="clear" w:color="auto" w:fill="auto"/>
            <w:noWrap/>
            <w:vAlign w:val="bottom"/>
            <w:hideMark/>
          </w:tcPr>
          <w:p w14:paraId="7818B64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671684A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11,594 </w:t>
            </w:r>
          </w:p>
        </w:tc>
      </w:tr>
      <w:tr w:rsidR="000C2E7E" w:rsidRPr="000C2E7E" w14:paraId="528DBE00" w14:textId="77777777" w:rsidTr="000C2E7E">
        <w:trPr>
          <w:trHeight w:val="285"/>
        </w:trPr>
        <w:tc>
          <w:tcPr>
            <w:tcW w:w="5036" w:type="dxa"/>
            <w:tcBorders>
              <w:top w:val="nil"/>
              <w:left w:val="nil"/>
              <w:bottom w:val="single" w:sz="4" w:space="0" w:color="auto"/>
              <w:right w:val="nil"/>
            </w:tcBorders>
            <w:shd w:val="clear" w:color="auto" w:fill="auto"/>
            <w:noWrap/>
            <w:vAlign w:val="bottom"/>
            <w:hideMark/>
          </w:tcPr>
          <w:p w14:paraId="2EB84CFD"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Total liabilities</w:t>
            </w:r>
          </w:p>
        </w:tc>
        <w:tc>
          <w:tcPr>
            <w:tcW w:w="1456" w:type="dxa"/>
            <w:tcBorders>
              <w:top w:val="nil"/>
              <w:left w:val="nil"/>
              <w:bottom w:val="single" w:sz="4" w:space="0" w:color="auto"/>
              <w:right w:val="nil"/>
            </w:tcBorders>
            <w:shd w:val="clear" w:color="auto" w:fill="auto"/>
            <w:noWrap/>
            <w:vAlign w:val="bottom"/>
            <w:hideMark/>
          </w:tcPr>
          <w:p w14:paraId="6F6E496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96,140 </w:t>
            </w:r>
          </w:p>
        </w:tc>
        <w:tc>
          <w:tcPr>
            <w:tcW w:w="196" w:type="dxa"/>
            <w:tcBorders>
              <w:top w:val="nil"/>
              <w:left w:val="nil"/>
              <w:bottom w:val="nil"/>
              <w:right w:val="nil"/>
            </w:tcBorders>
            <w:shd w:val="clear" w:color="auto" w:fill="auto"/>
            <w:noWrap/>
            <w:vAlign w:val="bottom"/>
            <w:hideMark/>
          </w:tcPr>
          <w:p w14:paraId="750380F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2277373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82,600 </w:t>
            </w:r>
          </w:p>
        </w:tc>
      </w:tr>
      <w:tr w:rsidR="000C2E7E" w:rsidRPr="000C2E7E" w14:paraId="1941BF55" w14:textId="77777777" w:rsidTr="000C2E7E">
        <w:trPr>
          <w:trHeight w:val="285"/>
        </w:trPr>
        <w:tc>
          <w:tcPr>
            <w:tcW w:w="5036" w:type="dxa"/>
            <w:tcBorders>
              <w:top w:val="nil"/>
              <w:left w:val="nil"/>
              <w:bottom w:val="nil"/>
              <w:right w:val="nil"/>
            </w:tcBorders>
            <w:shd w:val="clear" w:color="auto" w:fill="auto"/>
            <w:noWrap/>
            <w:vAlign w:val="bottom"/>
            <w:hideMark/>
          </w:tcPr>
          <w:p w14:paraId="22BEE65C"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Commitments and contingencies</w:t>
            </w:r>
          </w:p>
        </w:tc>
        <w:tc>
          <w:tcPr>
            <w:tcW w:w="1456" w:type="dxa"/>
            <w:tcBorders>
              <w:top w:val="nil"/>
              <w:left w:val="nil"/>
              <w:bottom w:val="nil"/>
              <w:right w:val="nil"/>
            </w:tcBorders>
            <w:shd w:val="clear" w:color="auto" w:fill="auto"/>
            <w:noWrap/>
            <w:vAlign w:val="bottom"/>
            <w:hideMark/>
          </w:tcPr>
          <w:p w14:paraId="10982187" w14:textId="77777777" w:rsidR="000C2E7E" w:rsidRPr="000C2E7E" w:rsidRDefault="000C2E7E" w:rsidP="000C2E7E">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374B042C"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53EBD470"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0868C62C" w14:textId="77777777" w:rsidTr="000C2E7E">
        <w:trPr>
          <w:trHeight w:val="285"/>
        </w:trPr>
        <w:tc>
          <w:tcPr>
            <w:tcW w:w="5036" w:type="dxa"/>
            <w:tcBorders>
              <w:top w:val="nil"/>
              <w:left w:val="nil"/>
              <w:bottom w:val="nil"/>
              <w:right w:val="nil"/>
            </w:tcBorders>
            <w:shd w:val="clear" w:color="auto" w:fill="auto"/>
            <w:noWrap/>
            <w:vAlign w:val="bottom"/>
            <w:hideMark/>
          </w:tcPr>
          <w:p w14:paraId="0A55CFE9"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Stockholders' equity:</w:t>
            </w:r>
          </w:p>
        </w:tc>
        <w:tc>
          <w:tcPr>
            <w:tcW w:w="1456" w:type="dxa"/>
            <w:tcBorders>
              <w:top w:val="nil"/>
              <w:left w:val="nil"/>
              <w:bottom w:val="nil"/>
              <w:right w:val="nil"/>
            </w:tcBorders>
            <w:shd w:val="clear" w:color="auto" w:fill="auto"/>
            <w:noWrap/>
            <w:vAlign w:val="bottom"/>
            <w:hideMark/>
          </w:tcPr>
          <w:p w14:paraId="1915E1AF" w14:textId="77777777" w:rsidR="000C2E7E" w:rsidRPr="000C2E7E" w:rsidRDefault="000C2E7E" w:rsidP="000C2E7E">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777FA759"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77440B0C"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319F0F4B" w14:textId="77777777" w:rsidTr="000C2E7E">
        <w:trPr>
          <w:trHeight w:val="570"/>
        </w:trPr>
        <w:tc>
          <w:tcPr>
            <w:tcW w:w="5036" w:type="dxa"/>
            <w:tcBorders>
              <w:top w:val="nil"/>
              <w:left w:val="nil"/>
              <w:bottom w:val="nil"/>
              <w:right w:val="nil"/>
            </w:tcBorders>
            <w:shd w:val="clear" w:color="auto" w:fill="auto"/>
            <w:vAlign w:val="bottom"/>
            <w:hideMark/>
          </w:tcPr>
          <w:p w14:paraId="36872E5F"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Common stock and paid-in capital - shares</w:t>
            </w:r>
            <w:r w:rsidRPr="000C2E7E">
              <w:rPr>
                <w:rFonts w:ascii="Segoe UI" w:eastAsia="Times New Roman" w:hAnsi="Segoe UI" w:cs="Segoe UI"/>
                <w:color w:val="666666"/>
                <w:sz w:val="20"/>
                <w:szCs w:val="20"/>
              </w:rPr>
              <w:br/>
              <w:t xml:space="preserve">     authorized 24,000; outstanding </w:t>
            </w:r>
            <w:r w:rsidRPr="000C2E7E">
              <w:rPr>
                <w:rFonts w:ascii="Segoe UI" w:eastAsia="Times New Roman" w:hAnsi="Segoe UI" w:cs="Segoe UI"/>
                <w:b/>
                <w:bCs/>
                <w:color w:val="666666"/>
                <w:sz w:val="20"/>
                <w:szCs w:val="20"/>
              </w:rPr>
              <w:t>8,027</w:t>
            </w:r>
            <w:r w:rsidRPr="000C2E7E">
              <w:rPr>
                <w:rFonts w:ascii="Segoe UI" w:eastAsia="Times New Roman" w:hAnsi="Segoe UI" w:cs="Segoe UI"/>
                <w:color w:val="666666"/>
                <w:sz w:val="20"/>
                <w:szCs w:val="20"/>
              </w:rPr>
              <w:t xml:space="preserve"> and 8,239</w:t>
            </w:r>
          </w:p>
        </w:tc>
        <w:tc>
          <w:tcPr>
            <w:tcW w:w="1456" w:type="dxa"/>
            <w:tcBorders>
              <w:top w:val="nil"/>
              <w:left w:val="nil"/>
              <w:bottom w:val="nil"/>
              <w:right w:val="nil"/>
            </w:tcBorders>
            <w:shd w:val="clear" w:color="auto" w:fill="auto"/>
            <w:noWrap/>
            <w:vAlign w:val="bottom"/>
            <w:hideMark/>
          </w:tcPr>
          <w:p w14:paraId="7B0AC8A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68,465 </w:t>
            </w:r>
          </w:p>
        </w:tc>
        <w:tc>
          <w:tcPr>
            <w:tcW w:w="196" w:type="dxa"/>
            <w:tcBorders>
              <w:top w:val="nil"/>
              <w:left w:val="nil"/>
              <w:bottom w:val="nil"/>
              <w:right w:val="nil"/>
            </w:tcBorders>
            <w:shd w:val="clear" w:color="auto" w:fill="auto"/>
            <w:noWrap/>
            <w:vAlign w:val="bottom"/>
            <w:hideMark/>
          </w:tcPr>
          <w:p w14:paraId="67C190B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07D92CF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68,366 </w:t>
            </w:r>
          </w:p>
        </w:tc>
      </w:tr>
      <w:tr w:rsidR="000C2E7E" w:rsidRPr="000C2E7E" w14:paraId="2ED7FD17" w14:textId="77777777" w:rsidTr="000C2E7E">
        <w:trPr>
          <w:trHeight w:val="285"/>
        </w:trPr>
        <w:tc>
          <w:tcPr>
            <w:tcW w:w="5036" w:type="dxa"/>
            <w:tcBorders>
              <w:top w:val="nil"/>
              <w:left w:val="nil"/>
              <w:bottom w:val="nil"/>
              <w:right w:val="nil"/>
            </w:tcBorders>
            <w:shd w:val="clear" w:color="auto" w:fill="auto"/>
            <w:vAlign w:val="bottom"/>
            <w:hideMark/>
          </w:tcPr>
          <w:p w14:paraId="3E1A8AFC"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Retained earnings</w:t>
            </w:r>
          </w:p>
        </w:tc>
        <w:tc>
          <w:tcPr>
            <w:tcW w:w="1456" w:type="dxa"/>
            <w:tcBorders>
              <w:top w:val="nil"/>
              <w:left w:val="nil"/>
              <w:bottom w:val="nil"/>
              <w:right w:val="nil"/>
            </w:tcBorders>
            <w:shd w:val="clear" w:color="auto" w:fill="auto"/>
            <w:noWrap/>
            <w:vAlign w:val="bottom"/>
            <w:hideMark/>
          </w:tcPr>
          <w:p w14:paraId="1B52BE1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9,096 </w:t>
            </w:r>
          </w:p>
        </w:tc>
        <w:tc>
          <w:tcPr>
            <w:tcW w:w="196" w:type="dxa"/>
            <w:tcBorders>
              <w:top w:val="nil"/>
              <w:left w:val="nil"/>
              <w:bottom w:val="nil"/>
              <w:right w:val="nil"/>
            </w:tcBorders>
            <w:shd w:val="clear" w:color="auto" w:fill="auto"/>
            <w:noWrap/>
            <w:vAlign w:val="bottom"/>
            <w:hideMark/>
          </w:tcPr>
          <w:p w14:paraId="50542CD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848E07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17,710 </w:t>
            </w:r>
          </w:p>
        </w:tc>
      </w:tr>
      <w:tr w:rsidR="000C2E7E" w:rsidRPr="000C2E7E" w14:paraId="56D0671F" w14:textId="77777777" w:rsidTr="000C2E7E">
        <w:trPr>
          <w:trHeight w:val="285"/>
        </w:trPr>
        <w:tc>
          <w:tcPr>
            <w:tcW w:w="5036" w:type="dxa"/>
            <w:tcBorders>
              <w:top w:val="nil"/>
              <w:left w:val="nil"/>
              <w:bottom w:val="single" w:sz="4" w:space="0" w:color="auto"/>
              <w:right w:val="nil"/>
            </w:tcBorders>
            <w:shd w:val="clear" w:color="auto" w:fill="auto"/>
            <w:noWrap/>
            <w:vAlign w:val="bottom"/>
            <w:hideMark/>
          </w:tcPr>
          <w:p w14:paraId="2F151640"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Accumulated other comprehensive income</w:t>
            </w:r>
          </w:p>
        </w:tc>
        <w:tc>
          <w:tcPr>
            <w:tcW w:w="1456" w:type="dxa"/>
            <w:tcBorders>
              <w:top w:val="nil"/>
              <w:left w:val="nil"/>
              <w:bottom w:val="single" w:sz="4" w:space="0" w:color="auto"/>
              <w:right w:val="nil"/>
            </w:tcBorders>
            <w:shd w:val="clear" w:color="auto" w:fill="auto"/>
            <w:noWrap/>
            <w:vAlign w:val="bottom"/>
            <w:hideMark/>
          </w:tcPr>
          <w:p w14:paraId="5703663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2,522 </w:t>
            </w:r>
          </w:p>
        </w:tc>
        <w:tc>
          <w:tcPr>
            <w:tcW w:w="196" w:type="dxa"/>
            <w:tcBorders>
              <w:top w:val="nil"/>
              <w:left w:val="nil"/>
              <w:bottom w:val="nil"/>
              <w:right w:val="nil"/>
            </w:tcBorders>
            <w:shd w:val="clear" w:color="auto" w:fill="auto"/>
            <w:noWrap/>
            <w:vAlign w:val="bottom"/>
            <w:hideMark/>
          </w:tcPr>
          <w:p w14:paraId="3876664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313EF1D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3,708 </w:t>
            </w:r>
          </w:p>
        </w:tc>
      </w:tr>
      <w:tr w:rsidR="000C2E7E" w:rsidRPr="000C2E7E" w14:paraId="3A1C1DBF" w14:textId="77777777" w:rsidTr="000C2E7E">
        <w:trPr>
          <w:trHeight w:val="330"/>
        </w:trPr>
        <w:tc>
          <w:tcPr>
            <w:tcW w:w="5036" w:type="dxa"/>
            <w:tcBorders>
              <w:top w:val="nil"/>
              <w:left w:val="nil"/>
              <w:bottom w:val="single" w:sz="4" w:space="0" w:color="auto"/>
              <w:right w:val="nil"/>
            </w:tcBorders>
            <w:shd w:val="clear" w:color="auto" w:fill="auto"/>
            <w:noWrap/>
            <w:vAlign w:val="bottom"/>
            <w:hideMark/>
          </w:tcPr>
          <w:p w14:paraId="1410FBF0"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Total stockholders' equity</w:t>
            </w:r>
          </w:p>
        </w:tc>
        <w:tc>
          <w:tcPr>
            <w:tcW w:w="1456" w:type="dxa"/>
            <w:tcBorders>
              <w:top w:val="nil"/>
              <w:left w:val="nil"/>
              <w:bottom w:val="single" w:sz="4" w:space="0" w:color="auto"/>
              <w:right w:val="nil"/>
            </w:tcBorders>
            <w:shd w:val="clear" w:color="auto" w:fill="auto"/>
            <w:noWrap/>
            <w:vAlign w:val="bottom"/>
            <w:hideMark/>
          </w:tcPr>
          <w:p w14:paraId="6A9DDA5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80,083 </w:t>
            </w:r>
          </w:p>
        </w:tc>
        <w:tc>
          <w:tcPr>
            <w:tcW w:w="196" w:type="dxa"/>
            <w:tcBorders>
              <w:top w:val="nil"/>
              <w:left w:val="nil"/>
              <w:bottom w:val="nil"/>
              <w:right w:val="nil"/>
            </w:tcBorders>
            <w:shd w:val="clear" w:color="auto" w:fill="auto"/>
            <w:noWrap/>
            <w:vAlign w:val="bottom"/>
            <w:hideMark/>
          </w:tcPr>
          <w:p w14:paraId="44CDFF4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single" w:sz="4" w:space="0" w:color="auto"/>
              <w:left w:val="nil"/>
              <w:bottom w:val="single" w:sz="4" w:space="0" w:color="auto"/>
              <w:right w:val="nil"/>
            </w:tcBorders>
            <w:shd w:val="clear" w:color="auto" w:fill="auto"/>
            <w:noWrap/>
            <w:vAlign w:val="bottom"/>
            <w:hideMark/>
          </w:tcPr>
          <w:p w14:paraId="2DC6AE5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89,784 </w:t>
            </w:r>
          </w:p>
        </w:tc>
      </w:tr>
      <w:tr w:rsidR="000C2E7E" w:rsidRPr="000C2E7E" w14:paraId="48562C85" w14:textId="77777777" w:rsidTr="000C2E7E">
        <w:trPr>
          <w:trHeight w:val="345"/>
        </w:trPr>
        <w:tc>
          <w:tcPr>
            <w:tcW w:w="5036" w:type="dxa"/>
            <w:tcBorders>
              <w:top w:val="nil"/>
              <w:left w:val="nil"/>
              <w:bottom w:val="nil"/>
              <w:right w:val="nil"/>
            </w:tcBorders>
            <w:shd w:val="clear" w:color="auto" w:fill="auto"/>
            <w:noWrap/>
            <w:vAlign w:val="bottom"/>
            <w:hideMark/>
          </w:tcPr>
          <w:p w14:paraId="63ADFACE"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Total liabilities and stockholders' equity</w:t>
            </w:r>
          </w:p>
        </w:tc>
        <w:tc>
          <w:tcPr>
            <w:tcW w:w="1456" w:type="dxa"/>
            <w:tcBorders>
              <w:top w:val="nil"/>
              <w:left w:val="nil"/>
              <w:bottom w:val="single" w:sz="8" w:space="0" w:color="auto"/>
              <w:right w:val="nil"/>
            </w:tcBorders>
            <w:shd w:val="clear" w:color="auto" w:fill="auto"/>
            <w:noWrap/>
            <w:vAlign w:val="bottom"/>
            <w:hideMark/>
          </w:tcPr>
          <w:p w14:paraId="247BA98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176,223 </w:t>
            </w:r>
          </w:p>
        </w:tc>
        <w:tc>
          <w:tcPr>
            <w:tcW w:w="196" w:type="dxa"/>
            <w:tcBorders>
              <w:top w:val="nil"/>
              <w:left w:val="nil"/>
              <w:bottom w:val="nil"/>
              <w:right w:val="nil"/>
            </w:tcBorders>
            <w:shd w:val="clear" w:color="auto" w:fill="auto"/>
            <w:noWrap/>
            <w:vAlign w:val="bottom"/>
            <w:hideMark/>
          </w:tcPr>
          <w:p w14:paraId="37242B3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8" w:space="0" w:color="auto"/>
              <w:right w:val="nil"/>
            </w:tcBorders>
            <w:shd w:val="clear" w:color="auto" w:fill="auto"/>
            <w:noWrap/>
            <w:vAlign w:val="bottom"/>
            <w:hideMark/>
          </w:tcPr>
          <w:p w14:paraId="019B92A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172,384 </w:t>
            </w:r>
          </w:p>
        </w:tc>
      </w:tr>
    </w:tbl>
    <w:p w14:paraId="668C207D" w14:textId="77777777" w:rsidR="000C2E7E" w:rsidRDefault="000C2E7E" w:rsidP="00EA786C">
      <w:pPr>
        <w:pStyle w:val="NoSpacing"/>
        <w:spacing w:after="200" w:line="280" w:lineRule="exact"/>
        <w:rPr>
          <w:rFonts w:ascii="Segoe UI" w:hAnsi="Segoe UI" w:cs="Segoe UI"/>
          <w:color w:val="666666"/>
          <w:sz w:val="20"/>
          <w:szCs w:val="20"/>
        </w:rPr>
      </w:pPr>
    </w:p>
    <w:tbl>
      <w:tblPr>
        <w:tblW w:w="7580" w:type="dxa"/>
        <w:tblCellMar>
          <w:left w:w="0" w:type="dxa"/>
          <w:right w:w="0" w:type="dxa"/>
        </w:tblCellMar>
        <w:tblLook w:val="04A0" w:firstRow="1" w:lastRow="0" w:firstColumn="1" w:lastColumn="0" w:noHBand="0" w:noVBand="1"/>
      </w:tblPr>
      <w:tblGrid>
        <w:gridCol w:w="3196"/>
        <w:gridCol w:w="1096"/>
        <w:gridCol w:w="116"/>
        <w:gridCol w:w="936"/>
        <w:gridCol w:w="116"/>
        <w:gridCol w:w="1196"/>
        <w:gridCol w:w="116"/>
        <w:gridCol w:w="936"/>
      </w:tblGrid>
      <w:tr w:rsidR="000C2E7E" w:rsidRPr="000C2E7E" w14:paraId="75FE6F1F" w14:textId="77777777" w:rsidTr="000C2E7E">
        <w:trPr>
          <w:trHeight w:val="285"/>
        </w:trPr>
        <w:tc>
          <w:tcPr>
            <w:tcW w:w="3180" w:type="dxa"/>
            <w:tcBorders>
              <w:top w:val="nil"/>
              <w:left w:val="nil"/>
              <w:bottom w:val="nil"/>
              <w:right w:val="nil"/>
            </w:tcBorders>
            <w:shd w:val="clear" w:color="auto" w:fill="auto"/>
            <w:noWrap/>
            <w:vAlign w:val="bottom"/>
            <w:hideMark/>
          </w:tcPr>
          <w:p w14:paraId="2635BB1F"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MICROSOFT CORPORATION</w:t>
            </w:r>
          </w:p>
        </w:tc>
        <w:tc>
          <w:tcPr>
            <w:tcW w:w="1080" w:type="dxa"/>
            <w:tcBorders>
              <w:top w:val="nil"/>
              <w:left w:val="nil"/>
              <w:bottom w:val="nil"/>
              <w:right w:val="nil"/>
            </w:tcBorders>
            <w:shd w:val="clear" w:color="auto" w:fill="auto"/>
            <w:noWrap/>
            <w:vAlign w:val="bottom"/>
            <w:hideMark/>
          </w:tcPr>
          <w:p w14:paraId="76585140"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3531FEE9"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5A0CF175"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D97F3EA"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9752CC1"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6F42AC4C"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6BD8C4AF"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094E3345" w14:textId="77777777" w:rsidTr="000C2E7E">
        <w:trPr>
          <w:trHeight w:val="285"/>
        </w:trPr>
        <w:tc>
          <w:tcPr>
            <w:tcW w:w="3180" w:type="dxa"/>
            <w:tcBorders>
              <w:top w:val="nil"/>
              <w:left w:val="nil"/>
              <w:bottom w:val="nil"/>
              <w:right w:val="nil"/>
            </w:tcBorders>
            <w:shd w:val="clear" w:color="auto" w:fill="auto"/>
            <w:noWrap/>
            <w:vAlign w:val="bottom"/>
            <w:hideMark/>
          </w:tcPr>
          <w:p w14:paraId="3CF9FAB6"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5D13FB19"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6294C5E5"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0078DDE7"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7E59620"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DBD0DBC"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58C4CEDF"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1141184E"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72F86AF6" w14:textId="77777777" w:rsidTr="000C2E7E">
        <w:trPr>
          <w:trHeight w:val="285"/>
        </w:trPr>
        <w:tc>
          <w:tcPr>
            <w:tcW w:w="7580" w:type="dxa"/>
            <w:gridSpan w:val="8"/>
            <w:tcBorders>
              <w:top w:val="nil"/>
              <w:left w:val="nil"/>
              <w:bottom w:val="nil"/>
              <w:right w:val="nil"/>
            </w:tcBorders>
            <w:shd w:val="clear" w:color="auto" w:fill="auto"/>
            <w:noWrap/>
            <w:vAlign w:val="bottom"/>
            <w:hideMark/>
          </w:tcPr>
          <w:p w14:paraId="181183C2"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CASH FLOWS STATEMENTS</w:t>
            </w:r>
          </w:p>
        </w:tc>
      </w:tr>
      <w:tr w:rsidR="000C2E7E" w:rsidRPr="000C2E7E" w14:paraId="22F10615" w14:textId="77777777" w:rsidTr="000C2E7E">
        <w:trPr>
          <w:trHeight w:val="285"/>
        </w:trPr>
        <w:tc>
          <w:tcPr>
            <w:tcW w:w="7580" w:type="dxa"/>
            <w:gridSpan w:val="8"/>
            <w:tcBorders>
              <w:top w:val="nil"/>
              <w:left w:val="nil"/>
              <w:bottom w:val="nil"/>
              <w:right w:val="nil"/>
            </w:tcBorders>
            <w:shd w:val="clear" w:color="auto" w:fill="auto"/>
            <w:noWrap/>
            <w:vAlign w:val="bottom"/>
            <w:hideMark/>
          </w:tcPr>
          <w:p w14:paraId="3F2C5621"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(In millions)(Unaudited)</w:t>
            </w:r>
          </w:p>
        </w:tc>
      </w:tr>
      <w:tr w:rsidR="000C2E7E" w:rsidRPr="000C2E7E" w14:paraId="59D9D129" w14:textId="77777777" w:rsidTr="000C2E7E">
        <w:trPr>
          <w:trHeight w:val="285"/>
        </w:trPr>
        <w:tc>
          <w:tcPr>
            <w:tcW w:w="3180" w:type="dxa"/>
            <w:tcBorders>
              <w:top w:val="nil"/>
              <w:left w:val="nil"/>
              <w:bottom w:val="nil"/>
              <w:right w:val="nil"/>
            </w:tcBorders>
            <w:shd w:val="clear" w:color="auto" w:fill="auto"/>
            <w:noWrap/>
            <w:vAlign w:val="bottom"/>
            <w:hideMark/>
          </w:tcPr>
          <w:p w14:paraId="13832228"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28C219CC"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964629A"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5B279053"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17D8ACF3"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E6FB639"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4EAEA1A4"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1C7BF103" w14:textId="77777777" w:rsidR="000C2E7E" w:rsidRPr="000C2E7E" w:rsidRDefault="000C2E7E" w:rsidP="000C2E7E">
            <w:pPr>
              <w:spacing w:after="0" w:line="240" w:lineRule="auto"/>
              <w:jc w:val="center"/>
              <w:rPr>
                <w:rFonts w:ascii="Times New Roman" w:eastAsia="Times New Roman" w:hAnsi="Times New Roman"/>
                <w:sz w:val="20"/>
                <w:szCs w:val="20"/>
              </w:rPr>
            </w:pPr>
          </w:p>
        </w:tc>
      </w:tr>
      <w:tr w:rsidR="000C2E7E" w:rsidRPr="000C2E7E" w14:paraId="7F1CEA49" w14:textId="77777777" w:rsidTr="000C2E7E">
        <w:trPr>
          <w:trHeight w:val="300"/>
        </w:trPr>
        <w:tc>
          <w:tcPr>
            <w:tcW w:w="3180" w:type="dxa"/>
            <w:tcBorders>
              <w:top w:val="nil"/>
              <w:left w:val="nil"/>
              <w:bottom w:val="nil"/>
              <w:right w:val="nil"/>
            </w:tcBorders>
            <w:shd w:val="clear" w:color="auto" w:fill="auto"/>
            <w:noWrap/>
            <w:vAlign w:val="bottom"/>
            <w:hideMark/>
          </w:tcPr>
          <w:p w14:paraId="143A0044"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2100" w:type="dxa"/>
            <w:gridSpan w:val="3"/>
            <w:vMerge w:val="restart"/>
            <w:tcBorders>
              <w:top w:val="nil"/>
              <w:left w:val="nil"/>
              <w:bottom w:val="nil"/>
              <w:right w:val="nil"/>
            </w:tcBorders>
            <w:shd w:val="clear" w:color="auto" w:fill="auto"/>
            <w:vAlign w:val="bottom"/>
            <w:hideMark/>
          </w:tcPr>
          <w:p w14:paraId="1028F98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Three Months Ended June 30,</w:t>
            </w:r>
          </w:p>
        </w:tc>
        <w:tc>
          <w:tcPr>
            <w:tcW w:w="100" w:type="dxa"/>
            <w:tcBorders>
              <w:top w:val="nil"/>
              <w:left w:val="nil"/>
              <w:bottom w:val="nil"/>
              <w:right w:val="nil"/>
            </w:tcBorders>
            <w:shd w:val="clear" w:color="auto" w:fill="auto"/>
            <w:noWrap/>
            <w:vAlign w:val="bottom"/>
            <w:hideMark/>
          </w:tcPr>
          <w:p w14:paraId="0EF9C58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2200" w:type="dxa"/>
            <w:gridSpan w:val="3"/>
            <w:vMerge w:val="restart"/>
            <w:tcBorders>
              <w:top w:val="nil"/>
              <w:left w:val="nil"/>
              <w:bottom w:val="nil"/>
              <w:right w:val="nil"/>
            </w:tcBorders>
            <w:shd w:val="clear" w:color="auto" w:fill="auto"/>
            <w:vAlign w:val="bottom"/>
            <w:hideMark/>
          </w:tcPr>
          <w:p w14:paraId="1F1B8DD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Twelve Months Ended June 30,</w:t>
            </w:r>
          </w:p>
        </w:tc>
      </w:tr>
      <w:tr w:rsidR="000C2E7E" w:rsidRPr="000C2E7E" w14:paraId="1DB2E9BD" w14:textId="77777777" w:rsidTr="000C2E7E">
        <w:trPr>
          <w:trHeight w:val="285"/>
        </w:trPr>
        <w:tc>
          <w:tcPr>
            <w:tcW w:w="3180" w:type="dxa"/>
            <w:tcBorders>
              <w:top w:val="nil"/>
              <w:left w:val="nil"/>
              <w:bottom w:val="nil"/>
              <w:right w:val="nil"/>
            </w:tcBorders>
            <w:shd w:val="clear" w:color="auto" w:fill="auto"/>
            <w:noWrap/>
            <w:vAlign w:val="bottom"/>
            <w:hideMark/>
          </w:tcPr>
          <w:p w14:paraId="1354DE6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2100" w:type="dxa"/>
            <w:gridSpan w:val="3"/>
            <w:vMerge/>
            <w:tcBorders>
              <w:top w:val="nil"/>
              <w:left w:val="nil"/>
              <w:bottom w:val="nil"/>
              <w:right w:val="nil"/>
            </w:tcBorders>
            <w:vAlign w:val="center"/>
            <w:hideMark/>
          </w:tcPr>
          <w:p w14:paraId="39E577ED"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33369CC2" w14:textId="77777777" w:rsidR="000C2E7E" w:rsidRPr="000C2E7E" w:rsidRDefault="000C2E7E" w:rsidP="000C2E7E">
            <w:pPr>
              <w:spacing w:after="0" w:line="240" w:lineRule="auto"/>
              <w:rPr>
                <w:rFonts w:ascii="Times New Roman" w:eastAsia="Times New Roman" w:hAnsi="Times New Roman"/>
                <w:sz w:val="20"/>
                <w:szCs w:val="20"/>
              </w:rPr>
            </w:pPr>
          </w:p>
        </w:tc>
        <w:tc>
          <w:tcPr>
            <w:tcW w:w="2200" w:type="dxa"/>
            <w:gridSpan w:val="3"/>
            <w:vMerge/>
            <w:tcBorders>
              <w:top w:val="nil"/>
              <w:left w:val="nil"/>
              <w:bottom w:val="nil"/>
              <w:right w:val="nil"/>
            </w:tcBorders>
            <w:vAlign w:val="center"/>
            <w:hideMark/>
          </w:tcPr>
          <w:p w14:paraId="51289A43"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r>
      <w:tr w:rsidR="000C2E7E" w:rsidRPr="000C2E7E" w14:paraId="77573187" w14:textId="77777777" w:rsidTr="000C2E7E">
        <w:trPr>
          <w:trHeight w:val="285"/>
        </w:trPr>
        <w:tc>
          <w:tcPr>
            <w:tcW w:w="3180" w:type="dxa"/>
            <w:tcBorders>
              <w:top w:val="nil"/>
              <w:left w:val="nil"/>
              <w:bottom w:val="single" w:sz="4" w:space="0" w:color="auto"/>
              <w:right w:val="nil"/>
            </w:tcBorders>
            <w:shd w:val="clear" w:color="auto" w:fill="auto"/>
            <w:noWrap/>
            <w:vAlign w:val="bottom"/>
            <w:hideMark/>
          </w:tcPr>
          <w:p w14:paraId="73BDB2A0"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4F7AA27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2015</w:t>
            </w:r>
          </w:p>
        </w:tc>
        <w:tc>
          <w:tcPr>
            <w:tcW w:w="100" w:type="dxa"/>
            <w:tcBorders>
              <w:top w:val="nil"/>
              <w:left w:val="nil"/>
              <w:bottom w:val="single" w:sz="4" w:space="0" w:color="auto"/>
              <w:right w:val="nil"/>
            </w:tcBorders>
            <w:shd w:val="clear" w:color="auto" w:fill="auto"/>
            <w:noWrap/>
            <w:vAlign w:val="bottom"/>
            <w:hideMark/>
          </w:tcPr>
          <w:p w14:paraId="2EB71F9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4242FF4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2014</w:t>
            </w:r>
          </w:p>
        </w:tc>
        <w:tc>
          <w:tcPr>
            <w:tcW w:w="100" w:type="dxa"/>
            <w:tcBorders>
              <w:top w:val="nil"/>
              <w:left w:val="nil"/>
              <w:bottom w:val="single" w:sz="4" w:space="0" w:color="auto"/>
              <w:right w:val="nil"/>
            </w:tcBorders>
            <w:shd w:val="clear" w:color="auto" w:fill="auto"/>
            <w:noWrap/>
            <w:vAlign w:val="bottom"/>
            <w:hideMark/>
          </w:tcPr>
          <w:p w14:paraId="1F490FF5" w14:textId="77777777" w:rsidR="000C2E7E" w:rsidRPr="000C2E7E" w:rsidRDefault="000C2E7E" w:rsidP="000C2E7E">
            <w:pPr>
              <w:spacing w:after="0" w:line="240" w:lineRule="auto"/>
              <w:jc w:val="center"/>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50F5DB7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2015</w:t>
            </w:r>
          </w:p>
        </w:tc>
        <w:tc>
          <w:tcPr>
            <w:tcW w:w="100" w:type="dxa"/>
            <w:tcBorders>
              <w:top w:val="nil"/>
              <w:left w:val="nil"/>
              <w:bottom w:val="single" w:sz="4" w:space="0" w:color="auto"/>
              <w:right w:val="nil"/>
            </w:tcBorders>
            <w:shd w:val="clear" w:color="auto" w:fill="auto"/>
            <w:noWrap/>
            <w:vAlign w:val="bottom"/>
            <w:hideMark/>
          </w:tcPr>
          <w:p w14:paraId="02F0ECD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auto" w:fill="auto"/>
            <w:noWrap/>
            <w:vAlign w:val="bottom"/>
            <w:hideMark/>
          </w:tcPr>
          <w:p w14:paraId="6FBB166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2014</w:t>
            </w:r>
          </w:p>
        </w:tc>
      </w:tr>
      <w:tr w:rsidR="000C2E7E" w:rsidRPr="000C2E7E" w14:paraId="5CDAEEE3" w14:textId="77777777" w:rsidTr="000C2E7E">
        <w:trPr>
          <w:trHeight w:val="285"/>
        </w:trPr>
        <w:tc>
          <w:tcPr>
            <w:tcW w:w="3180" w:type="dxa"/>
            <w:tcBorders>
              <w:top w:val="nil"/>
              <w:left w:val="nil"/>
              <w:bottom w:val="nil"/>
              <w:right w:val="nil"/>
            </w:tcBorders>
            <w:shd w:val="clear" w:color="auto" w:fill="auto"/>
            <w:noWrap/>
            <w:vAlign w:val="bottom"/>
            <w:hideMark/>
          </w:tcPr>
          <w:p w14:paraId="6713FD27"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Operations</w:t>
            </w:r>
          </w:p>
        </w:tc>
        <w:tc>
          <w:tcPr>
            <w:tcW w:w="1080" w:type="dxa"/>
            <w:tcBorders>
              <w:top w:val="nil"/>
              <w:left w:val="nil"/>
              <w:bottom w:val="nil"/>
              <w:right w:val="nil"/>
            </w:tcBorders>
            <w:shd w:val="clear" w:color="auto" w:fill="auto"/>
            <w:noWrap/>
            <w:vAlign w:val="bottom"/>
            <w:hideMark/>
          </w:tcPr>
          <w:p w14:paraId="04E3BDC7"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2FF43164"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4617A8B6"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14B030BA"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64A048B" w14:textId="77777777" w:rsidR="000C2E7E" w:rsidRPr="000C2E7E" w:rsidRDefault="000C2E7E" w:rsidP="000C2E7E">
            <w:pPr>
              <w:spacing w:after="0" w:line="240" w:lineRule="auto"/>
              <w:jc w:val="center"/>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209D3272"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49A5131C" w14:textId="77777777" w:rsidR="000C2E7E" w:rsidRPr="000C2E7E" w:rsidRDefault="000C2E7E" w:rsidP="000C2E7E">
            <w:pPr>
              <w:spacing w:after="0" w:line="240" w:lineRule="auto"/>
              <w:jc w:val="center"/>
              <w:rPr>
                <w:rFonts w:ascii="Times New Roman" w:eastAsia="Times New Roman" w:hAnsi="Times New Roman"/>
                <w:sz w:val="20"/>
                <w:szCs w:val="20"/>
              </w:rPr>
            </w:pPr>
          </w:p>
        </w:tc>
      </w:tr>
      <w:tr w:rsidR="000C2E7E" w:rsidRPr="000C2E7E" w14:paraId="0C05AAC7" w14:textId="77777777" w:rsidTr="000C2E7E">
        <w:trPr>
          <w:trHeight w:val="285"/>
        </w:trPr>
        <w:tc>
          <w:tcPr>
            <w:tcW w:w="3180" w:type="dxa"/>
            <w:tcBorders>
              <w:top w:val="nil"/>
              <w:left w:val="nil"/>
              <w:bottom w:val="nil"/>
              <w:right w:val="nil"/>
            </w:tcBorders>
            <w:shd w:val="clear" w:color="auto" w:fill="auto"/>
            <w:noWrap/>
            <w:vAlign w:val="bottom"/>
            <w:hideMark/>
          </w:tcPr>
          <w:p w14:paraId="560B72E0"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Net income (loss)</w:t>
            </w:r>
          </w:p>
        </w:tc>
        <w:tc>
          <w:tcPr>
            <w:tcW w:w="1080" w:type="dxa"/>
            <w:tcBorders>
              <w:top w:val="nil"/>
              <w:left w:val="nil"/>
              <w:bottom w:val="nil"/>
              <w:right w:val="nil"/>
            </w:tcBorders>
            <w:shd w:val="clear" w:color="auto" w:fill="auto"/>
            <w:noWrap/>
            <w:vAlign w:val="bottom"/>
            <w:hideMark/>
          </w:tcPr>
          <w:p w14:paraId="1042D13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(3,195)</w:t>
            </w:r>
          </w:p>
        </w:tc>
        <w:tc>
          <w:tcPr>
            <w:tcW w:w="100" w:type="dxa"/>
            <w:tcBorders>
              <w:top w:val="nil"/>
              <w:left w:val="nil"/>
              <w:bottom w:val="nil"/>
              <w:right w:val="nil"/>
            </w:tcBorders>
            <w:shd w:val="clear" w:color="auto" w:fill="auto"/>
            <w:noWrap/>
            <w:vAlign w:val="bottom"/>
            <w:hideMark/>
          </w:tcPr>
          <w:p w14:paraId="6E62178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42CA3D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4,612 </w:t>
            </w:r>
          </w:p>
        </w:tc>
        <w:tc>
          <w:tcPr>
            <w:tcW w:w="100" w:type="dxa"/>
            <w:tcBorders>
              <w:top w:val="nil"/>
              <w:left w:val="nil"/>
              <w:bottom w:val="nil"/>
              <w:right w:val="nil"/>
            </w:tcBorders>
            <w:shd w:val="clear" w:color="auto" w:fill="auto"/>
            <w:noWrap/>
            <w:vAlign w:val="bottom"/>
            <w:hideMark/>
          </w:tcPr>
          <w:p w14:paraId="7F96C2E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5C0EB0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12,193 </w:t>
            </w:r>
          </w:p>
        </w:tc>
        <w:tc>
          <w:tcPr>
            <w:tcW w:w="100" w:type="dxa"/>
            <w:tcBorders>
              <w:top w:val="nil"/>
              <w:left w:val="nil"/>
              <w:bottom w:val="nil"/>
              <w:right w:val="nil"/>
            </w:tcBorders>
            <w:shd w:val="clear" w:color="auto" w:fill="auto"/>
            <w:noWrap/>
            <w:vAlign w:val="bottom"/>
            <w:hideMark/>
          </w:tcPr>
          <w:p w14:paraId="6505E30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DE3822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$22,074 </w:t>
            </w:r>
          </w:p>
        </w:tc>
      </w:tr>
      <w:tr w:rsidR="000C2E7E" w:rsidRPr="000C2E7E" w14:paraId="3034540C" w14:textId="77777777" w:rsidTr="000C2E7E">
        <w:trPr>
          <w:trHeight w:val="855"/>
        </w:trPr>
        <w:tc>
          <w:tcPr>
            <w:tcW w:w="3180" w:type="dxa"/>
            <w:tcBorders>
              <w:top w:val="nil"/>
              <w:left w:val="nil"/>
              <w:bottom w:val="nil"/>
              <w:right w:val="nil"/>
            </w:tcBorders>
            <w:shd w:val="clear" w:color="auto" w:fill="auto"/>
            <w:vAlign w:val="bottom"/>
            <w:hideMark/>
          </w:tcPr>
          <w:p w14:paraId="50755122"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Adjustments to reconcile net </w:t>
            </w:r>
            <w:r w:rsidRPr="000C2E7E">
              <w:rPr>
                <w:rFonts w:ascii="Segoe UI" w:eastAsia="Times New Roman" w:hAnsi="Segoe UI" w:cs="Segoe UI"/>
                <w:color w:val="666666"/>
                <w:sz w:val="20"/>
                <w:szCs w:val="20"/>
              </w:rPr>
              <w:br/>
              <w:t xml:space="preserve">   income (loss) to net cash from </w:t>
            </w:r>
            <w:r w:rsidRPr="000C2E7E">
              <w:rPr>
                <w:rFonts w:ascii="Segoe UI" w:eastAsia="Times New Roman" w:hAnsi="Segoe UI" w:cs="Segoe UI"/>
                <w:color w:val="666666"/>
                <w:sz w:val="20"/>
                <w:szCs w:val="20"/>
              </w:rPr>
              <w:br/>
              <w:t xml:space="preserve">   operations:</w:t>
            </w:r>
          </w:p>
        </w:tc>
        <w:tc>
          <w:tcPr>
            <w:tcW w:w="1080" w:type="dxa"/>
            <w:tcBorders>
              <w:top w:val="nil"/>
              <w:left w:val="nil"/>
              <w:bottom w:val="nil"/>
              <w:right w:val="nil"/>
            </w:tcBorders>
            <w:shd w:val="clear" w:color="auto" w:fill="auto"/>
            <w:noWrap/>
            <w:vAlign w:val="bottom"/>
            <w:hideMark/>
          </w:tcPr>
          <w:p w14:paraId="3FB67213" w14:textId="77777777" w:rsidR="000C2E7E" w:rsidRPr="000C2E7E" w:rsidRDefault="000C2E7E" w:rsidP="000C2E7E">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55430BE2"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082BB3CC"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0F9D52A8"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178BDB1"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011EDCB"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3ADC4AF4"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769DB107" w14:textId="77777777" w:rsidTr="000C2E7E">
        <w:trPr>
          <w:trHeight w:val="285"/>
        </w:trPr>
        <w:tc>
          <w:tcPr>
            <w:tcW w:w="3180" w:type="dxa"/>
            <w:tcBorders>
              <w:top w:val="nil"/>
              <w:left w:val="nil"/>
              <w:bottom w:val="nil"/>
              <w:right w:val="nil"/>
            </w:tcBorders>
            <w:shd w:val="clear" w:color="auto" w:fill="auto"/>
            <w:vAlign w:val="bottom"/>
            <w:hideMark/>
          </w:tcPr>
          <w:p w14:paraId="62892F4B"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Goodwill and asset impairments</w:t>
            </w:r>
          </w:p>
        </w:tc>
        <w:tc>
          <w:tcPr>
            <w:tcW w:w="1080" w:type="dxa"/>
            <w:tcBorders>
              <w:top w:val="nil"/>
              <w:left w:val="nil"/>
              <w:bottom w:val="nil"/>
              <w:right w:val="nil"/>
            </w:tcBorders>
            <w:shd w:val="clear" w:color="auto" w:fill="auto"/>
            <w:noWrap/>
            <w:vAlign w:val="bottom"/>
            <w:hideMark/>
          </w:tcPr>
          <w:p w14:paraId="43E82F6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7,498 </w:t>
            </w:r>
          </w:p>
        </w:tc>
        <w:tc>
          <w:tcPr>
            <w:tcW w:w="100" w:type="dxa"/>
            <w:tcBorders>
              <w:top w:val="nil"/>
              <w:left w:val="nil"/>
              <w:bottom w:val="nil"/>
              <w:right w:val="nil"/>
            </w:tcBorders>
            <w:shd w:val="clear" w:color="auto" w:fill="auto"/>
            <w:noWrap/>
            <w:vAlign w:val="bottom"/>
            <w:hideMark/>
          </w:tcPr>
          <w:p w14:paraId="3D6F767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821346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0 </w:t>
            </w:r>
          </w:p>
        </w:tc>
        <w:tc>
          <w:tcPr>
            <w:tcW w:w="100" w:type="dxa"/>
            <w:tcBorders>
              <w:top w:val="nil"/>
              <w:left w:val="nil"/>
              <w:bottom w:val="nil"/>
              <w:right w:val="nil"/>
            </w:tcBorders>
            <w:shd w:val="clear" w:color="auto" w:fill="auto"/>
            <w:noWrap/>
            <w:vAlign w:val="bottom"/>
            <w:hideMark/>
          </w:tcPr>
          <w:p w14:paraId="2CE37C6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E293FE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7,498 </w:t>
            </w:r>
          </w:p>
        </w:tc>
        <w:tc>
          <w:tcPr>
            <w:tcW w:w="100" w:type="dxa"/>
            <w:tcBorders>
              <w:top w:val="nil"/>
              <w:left w:val="nil"/>
              <w:bottom w:val="nil"/>
              <w:right w:val="nil"/>
            </w:tcBorders>
            <w:shd w:val="clear" w:color="auto" w:fill="auto"/>
            <w:noWrap/>
            <w:vAlign w:val="bottom"/>
            <w:hideMark/>
          </w:tcPr>
          <w:p w14:paraId="7F86819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626B94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0 </w:t>
            </w:r>
          </w:p>
        </w:tc>
      </w:tr>
      <w:tr w:rsidR="000C2E7E" w:rsidRPr="000C2E7E" w14:paraId="68941D34" w14:textId="77777777" w:rsidTr="000C2E7E">
        <w:trPr>
          <w:trHeight w:val="570"/>
        </w:trPr>
        <w:tc>
          <w:tcPr>
            <w:tcW w:w="3180" w:type="dxa"/>
            <w:tcBorders>
              <w:top w:val="nil"/>
              <w:left w:val="nil"/>
              <w:bottom w:val="nil"/>
              <w:right w:val="nil"/>
            </w:tcBorders>
            <w:shd w:val="clear" w:color="auto" w:fill="auto"/>
            <w:vAlign w:val="bottom"/>
            <w:hideMark/>
          </w:tcPr>
          <w:p w14:paraId="1A9D3F26"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Depreciation, amortization, and</w:t>
            </w:r>
            <w:r w:rsidRPr="000C2E7E">
              <w:rPr>
                <w:rFonts w:ascii="Segoe UI" w:eastAsia="Times New Roman" w:hAnsi="Segoe UI" w:cs="Segoe UI"/>
                <w:color w:val="666666"/>
                <w:sz w:val="20"/>
                <w:szCs w:val="20"/>
              </w:rPr>
              <w:br/>
              <w:t xml:space="preserve">      other</w:t>
            </w:r>
          </w:p>
        </w:tc>
        <w:tc>
          <w:tcPr>
            <w:tcW w:w="1080" w:type="dxa"/>
            <w:tcBorders>
              <w:top w:val="nil"/>
              <w:left w:val="nil"/>
              <w:bottom w:val="nil"/>
              <w:right w:val="nil"/>
            </w:tcBorders>
            <w:shd w:val="clear" w:color="auto" w:fill="auto"/>
            <w:noWrap/>
            <w:vAlign w:val="bottom"/>
            <w:hideMark/>
          </w:tcPr>
          <w:p w14:paraId="1D8C53F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1,493 </w:t>
            </w:r>
          </w:p>
        </w:tc>
        <w:tc>
          <w:tcPr>
            <w:tcW w:w="100" w:type="dxa"/>
            <w:tcBorders>
              <w:top w:val="nil"/>
              <w:left w:val="nil"/>
              <w:bottom w:val="nil"/>
              <w:right w:val="nil"/>
            </w:tcBorders>
            <w:shd w:val="clear" w:color="auto" w:fill="auto"/>
            <w:noWrap/>
            <w:vAlign w:val="bottom"/>
            <w:hideMark/>
          </w:tcPr>
          <w:p w14:paraId="2B7E2FA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2F6FC5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1,742 </w:t>
            </w:r>
          </w:p>
        </w:tc>
        <w:tc>
          <w:tcPr>
            <w:tcW w:w="100" w:type="dxa"/>
            <w:tcBorders>
              <w:top w:val="nil"/>
              <w:left w:val="nil"/>
              <w:bottom w:val="nil"/>
              <w:right w:val="nil"/>
            </w:tcBorders>
            <w:shd w:val="clear" w:color="auto" w:fill="auto"/>
            <w:noWrap/>
            <w:vAlign w:val="bottom"/>
            <w:hideMark/>
          </w:tcPr>
          <w:p w14:paraId="783BC4A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7F3870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5,957 </w:t>
            </w:r>
          </w:p>
        </w:tc>
        <w:tc>
          <w:tcPr>
            <w:tcW w:w="100" w:type="dxa"/>
            <w:tcBorders>
              <w:top w:val="nil"/>
              <w:left w:val="nil"/>
              <w:bottom w:val="nil"/>
              <w:right w:val="nil"/>
            </w:tcBorders>
            <w:shd w:val="clear" w:color="auto" w:fill="auto"/>
            <w:noWrap/>
            <w:vAlign w:val="bottom"/>
            <w:hideMark/>
          </w:tcPr>
          <w:p w14:paraId="4490852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7508F3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5,212 </w:t>
            </w:r>
          </w:p>
        </w:tc>
      </w:tr>
      <w:tr w:rsidR="000C2E7E" w:rsidRPr="000C2E7E" w14:paraId="70AD782A" w14:textId="77777777" w:rsidTr="000C2E7E">
        <w:trPr>
          <w:trHeight w:val="570"/>
        </w:trPr>
        <w:tc>
          <w:tcPr>
            <w:tcW w:w="3180" w:type="dxa"/>
            <w:tcBorders>
              <w:top w:val="nil"/>
              <w:left w:val="nil"/>
              <w:bottom w:val="nil"/>
              <w:right w:val="nil"/>
            </w:tcBorders>
            <w:shd w:val="clear" w:color="auto" w:fill="auto"/>
            <w:vAlign w:val="bottom"/>
            <w:hideMark/>
          </w:tcPr>
          <w:p w14:paraId="15315273"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Stock-based compensation</w:t>
            </w:r>
            <w:r w:rsidRPr="000C2E7E">
              <w:rPr>
                <w:rFonts w:ascii="Segoe UI" w:eastAsia="Times New Roman" w:hAnsi="Segoe UI" w:cs="Segoe UI"/>
                <w:color w:val="666666"/>
                <w:sz w:val="20"/>
                <w:szCs w:val="20"/>
              </w:rPr>
              <w:br/>
              <w:t xml:space="preserve">      expense</w:t>
            </w:r>
          </w:p>
        </w:tc>
        <w:tc>
          <w:tcPr>
            <w:tcW w:w="1080" w:type="dxa"/>
            <w:tcBorders>
              <w:top w:val="nil"/>
              <w:left w:val="nil"/>
              <w:bottom w:val="nil"/>
              <w:right w:val="nil"/>
            </w:tcBorders>
            <w:shd w:val="clear" w:color="auto" w:fill="auto"/>
            <w:noWrap/>
            <w:vAlign w:val="bottom"/>
            <w:hideMark/>
          </w:tcPr>
          <w:p w14:paraId="2034B13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654 </w:t>
            </w:r>
          </w:p>
        </w:tc>
        <w:tc>
          <w:tcPr>
            <w:tcW w:w="100" w:type="dxa"/>
            <w:tcBorders>
              <w:top w:val="nil"/>
              <w:left w:val="nil"/>
              <w:bottom w:val="nil"/>
              <w:right w:val="nil"/>
            </w:tcBorders>
            <w:shd w:val="clear" w:color="auto" w:fill="auto"/>
            <w:noWrap/>
            <w:vAlign w:val="bottom"/>
            <w:hideMark/>
          </w:tcPr>
          <w:p w14:paraId="2080322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10FBB9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618 </w:t>
            </w:r>
          </w:p>
        </w:tc>
        <w:tc>
          <w:tcPr>
            <w:tcW w:w="100" w:type="dxa"/>
            <w:tcBorders>
              <w:top w:val="nil"/>
              <w:left w:val="nil"/>
              <w:bottom w:val="nil"/>
              <w:right w:val="nil"/>
            </w:tcBorders>
            <w:shd w:val="clear" w:color="auto" w:fill="auto"/>
            <w:noWrap/>
            <w:vAlign w:val="bottom"/>
            <w:hideMark/>
          </w:tcPr>
          <w:p w14:paraId="039D1C2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D4EAF5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2,574 </w:t>
            </w:r>
          </w:p>
        </w:tc>
        <w:tc>
          <w:tcPr>
            <w:tcW w:w="100" w:type="dxa"/>
            <w:tcBorders>
              <w:top w:val="nil"/>
              <w:left w:val="nil"/>
              <w:bottom w:val="nil"/>
              <w:right w:val="nil"/>
            </w:tcBorders>
            <w:shd w:val="clear" w:color="auto" w:fill="auto"/>
            <w:noWrap/>
            <w:vAlign w:val="bottom"/>
            <w:hideMark/>
          </w:tcPr>
          <w:p w14:paraId="0EAA1B1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EDD08F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2,446 </w:t>
            </w:r>
          </w:p>
        </w:tc>
      </w:tr>
      <w:tr w:rsidR="000C2E7E" w:rsidRPr="000C2E7E" w14:paraId="263012CA" w14:textId="77777777" w:rsidTr="000C2E7E">
        <w:trPr>
          <w:trHeight w:val="570"/>
        </w:trPr>
        <w:tc>
          <w:tcPr>
            <w:tcW w:w="3180" w:type="dxa"/>
            <w:tcBorders>
              <w:top w:val="nil"/>
              <w:left w:val="nil"/>
              <w:bottom w:val="nil"/>
              <w:right w:val="nil"/>
            </w:tcBorders>
            <w:shd w:val="clear" w:color="auto" w:fill="auto"/>
            <w:vAlign w:val="bottom"/>
            <w:hideMark/>
          </w:tcPr>
          <w:p w14:paraId="49E7E94E"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Net recognized gains on</w:t>
            </w:r>
            <w:r w:rsidRPr="000C2E7E">
              <w:rPr>
                <w:rFonts w:ascii="Segoe UI" w:eastAsia="Times New Roman" w:hAnsi="Segoe UI" w:cs="Segoe UI"/>
                <w:color w:val="666666"/>
                <w:sz w:val="20"/>
                <w:szCs w:val="20"/>
              </w:rPr>
              <w:br/>
              <w:t xml:space="preserve">      investments and derivatives</w:t>
            </w:r>
          </w:p>
        </w:tc>
        <w:tc>
          <w:tcPr>
            <w:tcW w:w="1080" w:type="dxa"/>
            <w:tcBorders>
              <w:top w:val="nil"/>
              <w:left w:val="nil"/>
              <w:bottom w:val="nil"/>
              <w:right w:val="nil"/>
            </w:tcBorders>
            <w:shd w:val="clear" w:color="auto" w:fill="auto"/>
            <w:noWrap/>
            <w:vAlign w:val="bottom"/>
            <w:hideMark/>
          </w:tcPr>
          <w:p w14:paraId="60EE2D8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(264)</w:t>
            </w:r>
          </w:p>
        </w:tc>
        <w:tc>
          <w:tcPr>
            <w:tcW w:w="100" w:type="dxa"/>
            <w:tcBorders>
              <w:top w:val="nil"/>
              <w:left w:val="nil"/>
              <w:bottom w:val="nil"/>
              <w:right w:val="nil"/>
            </w:tcBorders>
            <w:shd w:val="clear" w:color="auto" w:fill="auto"/>
            <w:noWrap/>
            <w:vAlign w:val="bottom"/>
            <w:hideMark/>
          </w:tcPr>
          <w:p w14:paraId="2C5565D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331B69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(209)</w:t>
            </w:r>
          </w:p>
        </w:tc>
        <w:tc>
          <w:tcPr>
            <w:tcW w:w="100" w:type="dxa"/>
            <w:tcBorders>
              <w:top w:val="nil"/>
              <w:left w:val="nil"/>
              <w:bottom w:val="nil"/>
              <w:right w:val="nil"/>
            </w:tcBorders>
            <w:shd w:val="clear" w:color="auto" w:fill="auto"/>
            <w:noWrap/>
            <w:vAlign w:val="bottom"/>
            <w:hideMark/>
          </w:tcPr>
          <w:p w14:paraId="05376B0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A116B5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(443)</w:t>
            </w:r>
          </w:p>
        </w:tc>
        <w:tc>
          <w:tcPr>
            <w:tcW w:w="100" w:type="dxa"/>
            <w:tcBorders>
              <w:top w:val="nil"/>
              <w:left w:val="nil"/>
              <w:bottom w:val="nil"/>
              <w:right w:val="nil"/>
            </w:tcBorders>
            <w:shd w:val="clear" w:color="auto" w:fill="auto"/>
            <w:noWrap/>
            <w:vAlign w:val="bottom"/>
            <w:hideMark/>
          </w:tcPr>
          <w:p w14:paraId="494EEDB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402B03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(109)</w:t>
            </w:r>
          </w:p>
        </w:tc>
      </w:tr>
      <w:tr w:rsidR="000C2E7E" w:rsidRPr="000C2E7E" w14:paraId="7A2083B2" w14:textId="77777777" w:rsidTr="000C2E7E">
        <w:trPr>
          <w:trHeight w:val="570"/>
        </w:trPr>
        <w:tc>
          <w:tcPr>
            <w:tcW w:w="3180" w:type="dxa"/>
            <w:tcBorders>
              <w:top w:val="nil"/>
              <w:left w:val="nil"/>
              <w:bottom w:val="nil"/>
              <w:right w:val="nil"/>
            </w:tcBorders>
            <w:shd w:val="clear" w:color="auto" w:fill="auto"/>
            <w:vAlign w:val="bottom"/>
            <w:hideMark/>
          </w:tcPr>
          <w:p w14:paraId="1D4DA853"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Excess tax benefits from</w:t>
            </w:r>
            <w:r w:rsidRPr="000C2E7E">
              <w:rPr>
                <w:rFonts w:ascii="Segoe UI" w:eastAsia="Times New Roman" w:hAnsi="Segoe UI" w:cs="Segoe UI"/>
                <w:color w:val="666666"/>
                <w:sz w:val="20"/>
                <w:szCs w:val="20"/>
              </w:rPr>
              <w:br/>
              <w:t xml:space="preserve">      stock-based compensation</w:t>
            </w:r>
          </w:p>
        </w:tc>
        <w:tc>
          <w:tcPr>
            <w:tcW w:w="1080" w:type="dxa"/>
            <w:tcBorders>
              <w:top w:val="nil"/>
              <w:left w:val="nil"/>
              <w:bottom w:val="nil"/>
              <w:right w:val="nil"/>
            </w:tcBorders>
            <w:shd w:val="clear" w:color="auto" w:fill="auto"/>
            <w:noWrap/>
            <w:vAlign w:val="bottom"/>
            <w:hideMark/>
          </w:tcPr>
          <w:p w14:paraId="473F42E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(33)</w:t>
            </w:r>
          </w:p>
        </w:tc>
        <w:tc>
          <w:tcPr>
            <w:tcW w:w="100" w:type="dxa"/>
            <w:tcBorders>
              <w:top w:val="nil"/>
              <w:left w:val="nil"/>
              <w:bottom w:val="nil"/>
              <w:right w:val="nil"/>
            </w:tcBorders>
            <w:shd w:val="clear" w:color="auto" w:fill="auto"/>
            <w:noWrap/>
            <w:vAlign w:val="bottom"/>
            <w:hideMark/>
          </w:tcPr>
          <w:p w14:paraId="60F788F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34D4F4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(24)</w:t>
            </w:r>
          </w:p>
        </w:tc>
        <w:tc>
          <w:tcPr>
            <w:tcW w:w="100" w:type="dxa"/>
            <w:tcBorders>
              <w:top w:val="nil"/>
              <w:left w:val="nil"/>
              <w:bottom w:val="nil"/>
              <w:right w:val="nil"/>
            </w:tcBorders>
            <w:shd w:val="clear" w:color="auto" w:fill="auto"/>
            <w:noWrap/>
            <w:vAlign w:val="bottom"/>
            <w:hideMark/>
          </w:tcPr>
          <w:p w14:paraId="17E74CC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F7A57E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(588)</w:t>
            </w:r>
          </w:p>
        </w:tc>
        <w:tc>
          <w:tcPr>
            <w:tcW w:w="100" w:type="dxa"/>
            <w:tcBorders>
              <w:top w:val="nil"/>
              <w:left w:val="nil"/>
              <w:bottom w:val="nil"/>
              <w:right w:val="nil"/>
            </w:tcBorders>
            <w:shd w:val="clear" w:color="auto" w:fill="auto"/>
            <w:noWrap/>
            <w:vAlign w:val="bottom"/>
            <w:hideMark/>
          </w:tcPr>
          <w:p w14:paraId="338ADCF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14B8B0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(271)</w:t>
            </w:r>
          </w:p>
        </w:tc>
      </w:tr>
      <w:tr w:rsidR="000C2E7E" w:rsidRPr="000C2E7E" w14:paraId="57C2C004" w14:textId="77777777" w:rsidTr="000C2E7E">
        <w:trPr>
          <w:trHeight w:val="285"/>
        </w:trPr>
        <w:tc>
          <w:tcPr>
            <w:tcW w:w="3180" w:type="dxa"/>
            <w:tcBorders>
              <w:top w:val="nil"/>
              <w:left w:val="nil"/>
              <w:bottom w:val="nil"/>
              <w:right w:val="nil"/>
            </w:tcBorders>
            <w:shd w:val="clear" w:color="auto" w:fill="auto"/>
            <w:vAlign w:val="bottom"/>
            <w:hideMark/>
          </w:tcPr>
          <w:p w14:paraId="4C6937E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Deferred income taxes</w:t>
            </w:r>
          </w:p>
        </w:tc>
        <w:tc>
          <w:tcPr>
            <w:tcW w:w="1080" w:type="dxa"/>
            <w:tcBorders>
              <w:top w:val="nil"/>
              <w:left w:val="nil"/>
              <w:bottom w:val="nil"/>
              <w:right w:val="nil"/>
            </w:tcBorders>
            <w:shd w:val="clear" w:color="auto" w:fill="auto"/>
            <w:noWrap/>
            <w:vAlign w:val="bottom"/>
            <w:hideMark/>
          </w:tcPr>
          <w:p w14:paraId="7B91821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(644)</w:t>
            </w:r>
          </w:p>
        </w:tc>
        <w:tc>
          <w:tcPr>
            <w:tcW w:w="100" w:type="dxa"/>
            <w:tcBorders>
              <w:top w:val="nil"/>
              <w:left w:val="nil"/>
              <w:bottom w:val="nil"/>
              <w:right w:val="nil"/>
            </w:tcBorders>
            <w:shd w:val="clear" w:color="auto" w:fill="auto"/>
            <w:noWrap/>
            <w:vAlign w:val="bottom"/>
            <w:hideMark/>
          </w:tcPr>
          <w:p w14:paraId="18386D8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7CF488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(369)</w:t>
            </w:r>
          </w:p>
        </w:tc>
        <w:tc>
          <w:tcPr>
            <w:tcW w:w="100" w:type="dxa"/>
            <w:tcBorders>
              <w:top w:val="nil"/>
              <w:left w:val="nil"/>
              <w:bottom w:val="nil"/>
              <w:right w:val="nil"/>
            </w:tcBorders>
            <w:shd w:val="clear" w:color="auto" w:fill="auto"/>
            <w:noWrap/>
            <w:vAlign w:val="bottom"/>
            <w:hideMark/>
          </w:tcPr>
          <w:p w14:paraId="761E7DD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ACEABA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224 </w:t>
            </w:r>
          </w:p>
        </w:tc>
        <w:tc>
          <w:tcPr>
            <w:tcW w:w="100" w:type="dxa"/>
            <w:tcBorders>
              <w:top w:val="nil"/>
              <w:left w:val="nil"/>
              <w:bottom w:val="nil"/>
              <w:right w:val="nil"/>
            </w:tcBorders>
            <w:shd w:val="clear" w:color="auto" w:fill="auto"/>
            <w:noWrap/>
            <w:vAlign w:val="bottom"/>
            <w:hideMark/>
          </w:tcPr>
          <w:p w14:paraId="359BD39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6117BA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(331)</w:t>
            </w:r>
          </w:p>
        </w:tc>
      </w:tr>
      <w:tr w:rsidR="000C2E7E" w:rsidRPr="000C2E7E" w14:paraId="6CD6923E" w14:textId="77777777" w:rsidTr="000C2E7E">
        <w:trPr>
          <w:trHeight w:val="285"/>
        </w:trPr>
        <w:tc>
          <w:tcPr>
            <w:tcW w:w="3180" w:type="dxa"/>
            <w:tcBorders>
              <w:top w:val="nil"/>
              <w:left w:val="nil"/>
              <w:bottom w:val="nil"/>
              <w:right w:val="nil"/>
            </w:tcBorders>
            <w:shd w:val="clear" w:color="auto" w:fill="auto"/>
            <w:vAlign w:val="bottom"/>
            <w:hideMark/>
          </w:tcPr>
          <w:p w14:paraId="654D325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Deferral of unearned revenue</w:t>
            </w:r>
          </w:p>
        </w:tc>
        <w:tc>
          <w:tcPr>
            <w:tcW w:w="1080" w:type="dxa"/>
            <w:tcBorders>
              <w:top w:val="nil"/>
              <w:left w:val="nil"/>
              <w:bottom w:val="nil"/>
              <w:right w:val="nil"/>
            </w:tcBorders>
            <w:shd w:val="clear" w:color="auto" w:fill="auto"/>
            <w:noWrap/>
            <w:vAlign w:val="bottom"/>
            <w:hideMark/>
          </w:tcPr>
          <w:p w14:paraId="5D90379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16,687 </w:t>
            </w:r>
          </w:p>
        </w:tc>
        <w:tc>
          <w:tcPr>
            <w:tcW w:w="100" w:type="dxa"/>
            <w:tcBorders>
              <w:top w:val="nil"/>
              <w:left w:val="nil"/>
              <w:bottom w:val="nil"/>
              <w:right w:val="nil"/>
            </w:tcBorders>
            <w:shd w:val="clear" w:color="auto" w:fill="auto"/>
            <w:noWrap/>
            <w:vAlign w:val="bottom"/>
            <w:hideMark/>
          </w:tcPr>
          <w:p w14:paraId="00B1D13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0B2C16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16,869 </w:t>
            </w:r>
          </w:p>
        </w:tc>
        <w:tc>
          <w:tcPr>
            <w:tcW w:w="100" w:type="dxa"/>
            <w:tcBorders>
              <w:top w:val="nil"/>
              <w:left w:val="nil"/>
              <w:bottom w:val="nil"/>
              <w:right w:val="nil"/>
            </w:tcBorders>
            <w:shd w:val="clear" w:color="auto" w:fill="auto"/>
            <w:noWrap/>
            <w:vAlign w:val="bottom"/>
            <w:hideMark/>
          </w:tcPr>
          <w:p w14:paraId="24B36C2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2482B1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45,072 </w:t>
            </w:r>
          </w:p>
        </w:tc>
        <w:tc>
          <w:tcPr>
            <w:tcW w:w="100" w:type="dxa"/>
            <w:tcBorders>
              <w:top w:val="nil"/>
              <w:left w:val="nil"/>
              <w:bottom w:val="nil"/>
              <w:right w:val="nil"/>
            </w:tcBorders>
            <w:shd w:val="clear" w:color="auto" w:fill="auto"/>
            <w:noWrap/>
            <w:vAlign w:val="bottom"/>
            <w:hideMark/>
          </w:tcPr>
          <w:p w14:paraId="75AB04C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CE308D4"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44,325 </w:t>
            </w:r>
          </w:p>
        </w:tc>
      </w:tr>
      <w:tr w:rsidR="000C2E7E" w:rsidRPr="000C2E7E" w14:paraId="4E90669C" w14:textId="77777777" w:rsidTr="000C2E7E">
        <w:trPr>
          <w:trHeight w:val="285"/>
        </w:trPr>
        <w:tc>
          <w:tcPr>
            <w:tcW w:w="3180" w:type="dxa"/>
            <w:tcBorders>
              <w:top w:val="nil"/>
              <w:left w:val="nil"/>
              <w:bottom w:val="nil"/>
              <w:right w:val="nil"/>
            </w:tcBorders>
            <w:shd w:val="clear" w:color="auto" w:fill="auto"/>
            <w:vAlign w:val="bottom"/>
            <w:hideMark/>
          </w:tcPr>
          <w:p w14:paraId="7EB53D92"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Recognition of unearned revenue</w:t>
            </w:r>
          </w:p>
        </w:tc>
        <w:tc>
          <w:tcPr>
            <w:tcW w:w="1080" w:type="dxa"/>
            <w:tcBorders>
              <w:top w:val="nil"/>
              <w:left w:val="nil"/>
              <w:bottom w:val="nil"/>
              <w:right w:val="nil"/>
            </w:tcBorders>
            <w:shd w:val="clear" w:color="auto" w:fill="auto"/>
            <w:noWrap/>
            <w:vAlign w:val="bottom"/>
            <w:hideMark/>
          </w:tcPr>
          <w:p w14:paraId="0A07FD5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(11,573)</w:t>
            </w:r>
          </w:p>
        </w:tc>
        <w:tc>
          <w:tcPr>
            <w:tcW w:w="100" w:type="dxa"/>
            <w:tcBorders>
              <w:top w:val="nil"/>
              <w:left w:val="nil"/>
              <w:bottom w:val="nil"/>
              <w:right w:val="nil"/>
            </w:tcBorders>
            <w:shd w:val="clear" w:color="auto" w:fill="auto"/>
            <w:noWrap/>
            <w:vAlign w:val="bottom"/>
            <w:hideMark/>
          </w:tcPr>
          <w:p w14:paraId="6F8F548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8AA183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(11,345)</w:t>
            </w:r>
          </w:p>
        </w:tc>
        <w:tc>
          <w:tcPr>
            <w:tcW w:w="100" w:type="dxa"/>
            <w:tcBorders>
              <w:top w:val="nil"/>
              <w:left w:val="nil"/>
              <w:bottom w:val="nil"/>
              <w:right w:val="nil"/>
            </w:tcBorders>
            <w:shd w:val="clear" w:color="auto" w:fill="auto"/>
            <w:noWrap/>
            <w:vAlign w:val="bottom"/>
            <w:hideMark/>
          </w:tcPr>
          <w:p w14:paraId="607065F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304F9C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(44,920)</w:t>
            </w:r>
          </w:p>
        </w:tc>
        <w:tc>
          <w:tcPr>
            <w:tcW w:w="100" w:type="dxa"/>
            <w:tcBorders>
              <w:top w:val="nil"/>
              <w:left w:val="nil"/>
              <w:bottom w:val="nil"/>
              <w:right w:val="nil"/>
            </w:tcBorders>
            <w:shd w:val="clear" w:color="auto" w:fill="auto"/>
            <w:noWrap/>
            <w:vAlign w:val="bottom"/>
            <w:hideMark/>
          </w:tcPr>
          <w:p w14:paraId="00EFAFA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632310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(41,739)</w:t>
            </w:r>
          </w:p>
        </w:tc>
      </w:tr>
      <w:tr w:rsidR="000C2E7E" w:rsidRPr="000C2E7E" w14:paraId="7B864597" w14:textId="77777777" w:rsidTr="000C2E7E">
        <w:trPr>
          <w:trHeight w:val="570"/>
        </w:trPr>
        <w:tc>
          <w:tcPr>
            <w:tcW w:w="3180" w:type="dxa"/>
            <w:tcBorders>
              <w:top w:val="nil"/>
              <w:left w:val="nil"/>
              <w:bottom w:val="nil"/>
              <w:right w:val="nil"/>
            </w:tcBorders>
            <w:shd w:val="clear" w:color="auto" w:fill="auto"/>
            <w:vAlign w:val="bottom"/>
            <w:hideMark/>
          </w:tcPr>
          <w:p w14:paraId="14BD5E6D"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Changes in operating assets</w:t>
            </w:r>
            <w:r w:rsidRPr="000C2E7E">
              <w:rPr>
                <w:rFonts w:ascii="Segoe UI" w:eastAsia="Times New Roman" w:hAnsi="Segoe UI" w:cs="Segoe UI"/>
                <w:color w:val="666666"/>
                <w:sz w:val="20"/>
                <w:szCs w:val="20"/>
              </w:rPr>
              <w:br/>
              <w:t xml:space="preserve">      and liabilities:</w:t>
            </w:r>
          </w:p>
        </w:tc>
        <w:tc>
          <w:tcPr>
            <w:tcW w:w="1080" w:type="dxa"/>
            <w:tcBorders>
              <w:top w:val="nil"/>
              <w:left w:val="nil"/>
              <w:bottom w:val="nil"/>
              <w:right w:val="nil"/>
            </w:tcBorders>
            <w:shd w:val="clear" w:color="auto" w:fill="auto"/>
            <w:noWrap/>
            <w:vAlign w:val="bottom"/>
            <w:hideMark/>
          </w:tcPr>
          <w:p w14:paraId="3FDC3777" w14:textId="77777777" w:rsidR="000C2E7E" w:rsidRPr="000C2E7E" w:rsidRDefault="000C2E7E" w:rsidP="000C2E7E">
            <w:pPr>
              <w:spacing w:after="0" w:line="240" w:lineRule="auto"/>
              <w:rPr>
                <w:rFonts w:ascii="Segoe UI" w:eastAsia="Times New Roman" w:hAnsi="Segoe UI" w:cs="Segoe UI"/>
                <w:color w:val="666666"/>
                <w:sz w:val="20"/>
                <w:szCs w:val="20"/>
              </w:rPr>
            </w:pPr>
          </w:p>
        </w:tc>
        <w:tc>
          <w:tcPr>
            <w:tcW w:w="100" w:type="dxa"/>
            <w:tcBorders>
              <w:top w:val="nil"/>
              <w:left w:val="nil"/>
              <w:bottom w:val="nil"/>
              <w:right w:val="nil"/>
            </w:tcBorders>
            <w:shd w:val="clear" w:color="auto" w:fill="auto"/>
            <w:noWrap/>
            <w:vAlign w:val="bottom"/>
            <w:hideMark/>
          </w:tcPr>
          <w:p w14:paraId="7E48AF16"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4571DD8C"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3C4D15C2"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4487B68"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1BB32D02"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43D272AE"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450169F0" w14:textId="77777777" w:rsidTr="000C2E7E">
        <w:trPr>
          <w:trHeight w:val="285"/>
        </w:trPr>
        <w:tc>
          <w:tcPr>
            <w:tcW w:w="3180" w:type="dxa"/>
            <w:tcBorders>
              <w:top w:val="nil"/>
              <w:left w:val="nil"/>
              <w:bottom w:val="nil"/>
              <w:right w:val="nil"/>
            </w:tcBorders>
            <w:shd w:val="clear" w:color="auto" w:fill="auto"/>
            <w:vAlign w:val="bottom"/>
            <w:hideMark/>
          </w:tcPr>
          <w:p w14:paraId="69289D86"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Accounts receivable</w:t>
            </w:r>
          </w:p>
        </w:tc>
        <w:tc>
          <w:tcPr>
            <w:tcW w:w="1080" w:type="dxa"/>
            <w:tcBorders>
              <w:top w:val="nil"/>
              <w:left w:val="nil"/>
              <w:bottom w:val="nil"/>
              <w:right w:val="nil"/>
            </w:tcBorders>
            <w:shd w:val="clear" w:color="auto" w:fill="auto"/>
            <w:noWrap/>
            <w:vAlign w:val="bottom"/>
            <w:hideMark/>
          </w:tcPr>
          <w:p w14:paraId="56301EA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(5,448)</w:t>
            </w:r>
          </w:p>
        </w:tc>
        <w:tc>
          <w:tcPr>
            <w:tcW w:w="100" w:type="dxa"/>
            <w:tcBorders>
              <w:top w:val="nil"/>
              <w:left w:val="nil"/>
              <w:bottom w:val="nil"/>
              <w:right w:val="nil"/>
            </w:tcBorders>
            <w:shd w:val="clear" w:color="auto" w:fill="auto"/>
            <w:noWrap/>
            <w:vAlign w:val="bottom"/>
            <w:hideMark/>
          </w:tcPr>
          <w:p w14:paraId="0F13F77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C0A003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(5,363)</w:t>
            </w:r>
          </w:p>
        </w:tc>
        <w:tc>
          <w:tcPr>
            <w:tcW w:w="100" w:type="dxa"/>
            <w:tcBorders>
              <w:top w:val="nil"/>
              <w:left w:val="nil"/>
              <w:bottom w:val="nil"/>
              <w:right w:val="nil"/>
            </w:tcBorders>
            <w:shd w:val="clear" w:color="auto" w:fill="auto"/>
            <w:noWrap/>
            <w:vAlign w:val="bottom"/>
            <w:hideMark/>
          </w:tcPr>
          <w:p w14:paraId="76B7830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92B0BE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1,456 </w:t>
            </w:r>
          </w:p>
        </w:tc>
        <w:tc>
          <w:tcPr>
            <w:tcW w:w="100" w:type="dxa"/>
            <w:tcBorders>
              <w:top w:val="nil"/>
              <w:left w:val="nil"/>
              <w:bottom w:val="nil"/>
              <w:right w:val="nil"/>
            </w:tcBorders>
            <w:shd w:val="clear" w:color="auto" w:fill="auto"/>
            <w:noWrap/>
            <w:vAlign w:val="bottom"/>
            <w:hideMark/>
          </w:tcPr>
          <w:p w14:paraId="0374346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C09F4C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(1,120)</w:t>
            </w:r>
          </w:p>
        </w:tc>
      </w:tr>
      <w:tr w:rsidR="000C2E7E" w:rsidRPr="000C2E7E" w14:paraId="7BF6AD4B" w14:textId="77777777" w:rsidTr="000C2E7E">
        <w:trPr>
          <w:trHeight w:val="285"/>
        </w:trPr>
        <w:tc>
          <w:tcPr>
            <w:tcW w:w="3180" w:type="dxa"/>
            <w:tcBorders>
              <w:top w:val="nil"/>
              <w:left w:val="nil"/>
              <w:bottom w:val="nil"/>
              <w:right w:val="nil"/>
            </w:tcBorders>
            <w:shd w:val="clear" w:color="auto" w:fill="auto"/>
            <w:vAlign w:val="bottom"/>
            <w:hideMark/>
          </w:tcPr>
          <w:p w14:paraId="6249F3A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Inventories</w:t>
            </w:r>
          </w:p>
        </w:tc>
        <w:tc>
          <w:tcPr>
            <w:tcW w:w="1080" w:type="dxa"/>
            <w:tcBorders>
              <w:top w:val="nil"/>
              <w:left w:val="nil"/>
              <w:bottom w:val="nil"/>
              <w:right w:val="nil"/>
            </w:tcBorders>
            <w:shd w:val="clear" w:color="auto" w:fill="auto"/>
            <w:noWrap/>
            <w:vAlign w:val="bottom"/>
            <w:hideMark/>
          </w:tcPr>
          <w:p w14:paraId="4A14405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(429)</w:t>
            </w:r>
          </w:p>
        </w:tc>
        <w:tc>
          <w:tcPr>
            <w:tcW w:w="100" w:type="dxa"/>
            <w:tcBorders>
              <w:top w:val="nil"/>
              <w:left w:val="nil"/>
              <w:bottom w:val="nil"/>
              <w:right w:val="nil"/>
            </w:tcBorders>
            <w:shd w:val="clear" w:color="auto" w:fill="auto"/>
            <w:noWrap/>
            <w:vAlign w:val="bottom"/>
            <w:hideMark/>
          </w:tcPr>
          <w:p w14:paraId="05F5A6D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C0F7B4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(199)</w:t>
            </w:r>
          </w:p>
        </w:tc>
        <w:tc>
          <w:tcPr>
            <w:tcW w:w="100" w:type="dxa"/>
            <w:tcBorders>
              <w:top w:val="nil"/>
              <w:left w:val="nil"/>
              <w:bottom w:val="nil"/>
              <w:right w:val="nil"/>
            </w:tcBorders>
            <w:shd w:val="clear" w:color="auto" w:fill="auto"/>
            <w:noWrap/>
            <w:vAlign w:val="bottom"/>
            <w:hideMark/>
          </w:tcPr>
          <w:p w14:paraId="38F80F9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F7B807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(272)</w:t>
            </w:r>
          </w:p>
        </w:tc>
        <w:tc>
          <w:tcPr>
            <w:tcW w:w="100" w:type="dxa"/>
            <w:tcBorders>
              <w:top w:val="nil"/>
              <w:left w:val="nil"/>
              <w:bottom w:val="nil"/>
              <w:right w:val="nil"/>
            </w:tcBorders>
            <w:shd w:val="clear" w:color="auto" w:fill="auto"/>
            <w:noWrap/>
            <w:vAlign w:val="bottom"/>
            <w:hideMark/>
          </w:tcPr>
          <w:p w14:paraId="5FFCB9F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D77E77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(161)</w:t>
            </w:r>
          </w:p>
        </w:tc>
      </w:tr>
      <w:tr w:rsidR="000C2E7E" w:rsidRPr="000C2E7E" w14:paraId="2A0DD3E4" w14:textId="77777777" w:rsidTr="000C2E7E">
        <w:trPr>
          <w:trHeight w:val="285"/>
        </w:trPr>
        <w:tc>
          <w:tcPr>
            <w:tcW w:w="3180" w:type="dxa"/>
            <w:tcBorders>
              <w:top w:val="nil"/>
              <w:left w:val="nil"/>
              <w:bottom w:val="nil"/>
              <w:right w:val="nil"/>
            </w:tcBorders>
            <w:shd w:val="clear" w:color="auto" w:fill="auto"/>
            <w:vAlign w:val="bottom"/>
            <w:hideMark/>
          </w:tcPr>
          <w:p w14:paraId="41630EF5"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Other current assets</w:t>
            </w:r>
          </w:p>
        </w:tc>
        <w:tc>
          <w:tcPr>
            <w:tcW w:w="1080" w:type="dxa"/>
            <w:tcBorders>
              <w:top w:val="nil"/>
              <w:left w:val="nil"/>
              <w:bottom w:val="nil"/>
              <w:right w:val="nil"/>
            </w:tcBorders>
            <w:shd w:val="clear" w:color="auto" w:fill="auto"/>
            <w:noWrap/>
            <w:vAlign w:val="bottom"/>
            <w:hideMark/>
          </w:tcPr>
          <w:p w14:paraId="1041987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612 </w:t>
            </w:r>
          </w:p>
        </w:tc>
        <w:tc>
          <w:tcPr>
            <w:tcW w:w="100" w:type="dxa"/>
            <w:tcBorders>
              <w:top w:val="nil"/>
              <w:left w:val="nil"/>
              <w:bottom w:val="nil"/>
              <w:right w:val="nil"/>
            </w:tcBorders>
            <w:shd w:val="clear" w:color="auto" w:fill="auto"/>
            <w:noWrap/>
            <w:vAlign w:val="bottom"/>
            <w:hideMark/>
          </w:tcPr>
          <w:p w14:paraId="3F8296F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FE6997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282 </w:t>
            </w:r>
          </w:p>
        </w:tc>
        <w:tc>
          <w:tcPr>
            <w:tcW w:w="100" w:type="dxa"/>
            <w:tcBorders>
              <w:top w:val="nil"/>
              <w:left w:val="nil"/>
              <w:bottom w:val="nil"/>
              <w:right w:val="nil"/>
            </w:tcBorders>
            <w:shd w:val="clear" w:color="auto" w:fill="auto"/>
            <w:noWrap/>
            <w:vAlign w:val="bottom"/>
            <w:hideMark/>
          </w:tcPr>
          <w:p w14:paraId="1C9A16E4"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E6CE63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62 </w:t>
            </w:r>
          </w:p>
        </w:tc>
        <w:tc>
          <w:tcPr>
            <w:tcW w:w="100" w:type="dxa"/>
            <w:tcBorders>
              <w:top w:val="nil"/>
              <w:left w:val="nil"/>
              <w:bottom w:val="nil"/>
              <w:right w:val="nil"/>
            </w:tcBorders>
            <w:shd w:val="clear" w:color="auto" w:fill="auto"/>
            <w:noWrap/>
            <w:vAlign w:val="bottom"/>
            <w:hideMark/>
          </w:tcPr>
          <w:p w14:paraId="12C7DCF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873B5B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(29)</w:t>
            </w:r>
          </w:p>
        </w:tc>
      </w:tr>
      <w:tr w:rsidR="000C2E7E" w:rsidRPr="000C2E7E" w14:paraId="7235C548" w14:textId="77777777" w:rsidTr="000C2E7E">
        <w:trPr>
          <w:trHeight w:val="285"/>
        </w:trPr>
        <w:tc>
          <w:tcPr>
            <w:tcW w:w="3180" w:type="dxa"/>
            <w:tcBorders>
              <w:top w:val="nil"/>
              <w:left w:val="nil"/>
              <w:bottom w:val="nil"/>
              <w:right w:val="nil"/>
            </w:tcBorders>
            <w:shd w:val="clear" w:color="auto" w:fill="auto"/>
            <w:vAlign w:val="bottom"/>
            <w:hideMark/>
          </w:tcPr>
          <w:p w14:paraId="6F869915"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Other long-term assets</w:t>
            </w:r>
          </w:p>
        </w:tc>
        <w:tc>
          <w:tcPr>
            <w:tcW w:w="1080" w:type="dxa"/>
            <w:tcBorders>
              <w:top w:val="nil"/>
              <w:left w:val="nil"/>
              <w:bottom w:val="nil"/>
              <w:right w:val="nil"/>
            </w:tcBorders>
            <w:shd w:val="clear" w:color="auto" w:fill="auto"/>
            <w:noWrap/>
            <w:vAlign w:val="bottom"/>
            <w:hideMark/>
          </w:tcPr>
          <w:p w14:paraId="19ABB0D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5 </w:t>
            </w:r>
          </w:p>
        </w:tc>
        <w:tc>
          <w:tcPr>
            <w:tcW w:w="100" w:type="dxa"/>
            <w:tcBorders>
              <w:top w:val="nil"/>
              <w:left w:val="nil"/>
              <w:bottom w:val="nil"/>
              <w:right w:val="nil"/>
            </w:tcBorders>
            <w:shd w:val="clear" w:color="auto" w:fill="auto"/>
            <w:noWrap/>
            <w:vAlign w:val="bottom"/>
            <w:hideMark/>
          </w:tcPr>
          <w:p w14:paraId="6AAD006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9F53B6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(159)</w:t>
            </w:r>
          </w:p>
        </w:tc>
        <w:tc>
          <w:tcPr>
            <w:tcW w:w="100" w:type="dxa"/>
            <w:tcBorders>
              <w:top w:val="nil"/>
              <w:left w:val="nil"/>
              <w:bottom w:val="nil"/>
              <w:right w:val="nil"/>
            </w:tcBorders>
            <w:shd w:val="clear" w:color="auto" w:fill="auto"/>
            <w:noWrap/>
            <w:vAlign w:val="bottom"/>
            <w:hideMark/>
          </w:tcPr>
          <w:p w14:paraId="1FF4729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FDC45E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346 </w:t>
            </w:r>
          </w:p>
        </w:tc>
        <w:tc>
          <w:tcPr>
            <w:tcW w:w="100" w:type="dxa"/>
            <w:tcBorders>
              <w:top w:val="nil"/>
              <w:left w:val="nil"/>
              <w:bottom w:val="nil"/>
              <w:right w:val="nil"/>
            </w:tcBorders>
            <w:shd w:val="clear" w:color="auto" w:fill="auto"/>
            <w:noWrap/>
            <w:vAlign w:val="bottom"/>
            <w:hideMark/>
          </w:tcPr>
          <w:p w14:paraId="4073446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113086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(628)</w:t>
            </w:r>
          </w:p>
        </w:tc>
      </w:tr>
      <w:tr w:rsidR="000C2E7E" w:rsidRPr="000C2E7E" w14:paraId="53FF45C2" w14:textId="77777777" w:rsidTr="000C2E7E">
        <w:trPr>
          <w:trHeight w:val="285"/>
        </w:trPr>
        <w:tc>
          <w:tcPr>
            <w:tcW w:w="3180" w:type="dxa"/>
            <w:tcBorders>
              <w:top w:val="nil"/>
              <w:left w:val="nil"/>
              <w:bottom w:val="nil"/>
              <w:right w:val="nil"/>
            </w:tcBorders>
            <w:shd w:val="clear" w:color="auto" w:fill="auto"/>
            <w:vAlign w:val="bottom"/>
            <w:hideMark/>
          </w:tcPr>
          <w:p w14:paraId="13DE5D03"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Accounts payable</w:t>
            </w:r>
          </w:p>
        </w:tc>
        <w:tc>
          <w:tcPr>
            <w:tcW w:w="1080" w:type="dxa"/>
            <w:tcBorders>
              <w:top w:val="nil"/>
              <w:left w:val="nil"/>
              <w:bottom w:val="nil"/>
              <w:right w:val="nil"/>
            </w:tcBorders>
            <w:shd w:val="clear" w:color="auto" w:fill="auto"/>
            <w:noWrap/>
            <w:vAlign w:val="bottom"/>
            <w:hideMark/>
          </w:tcPr>
          <w:p w14:paraId="54A2E75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(142)</w:t>
            </w:r>
          </w:p>
        </w:tc>
        <w:tc>
          <w:tcPr>
            <w:tcW w:w="100" w:type="dxa"/>
            <w:tcBorders>
              <w:top w:val="nil"/>
              <w:left w:val="nil"/>
              <w:bottom w:val="nil"/>
              <w:right w:val="nil"/>
            </w:tcBorders>
            <w:shd w:val="clear" w:color="auto" w:fill="auto"/>
            <w:noWrap/>
            <w:vAlign w:val="bottom"/>
            <w:hideMark/>
          </w:tcPr>
          <w:p w14:paraId="08912D9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48E32C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863 </w:t>
            </w:r>
          </w:p>
        </w:tc>
        <w:tc>
          <w:tcPr>
            <w:tcW w:w="100" w:type="dxa"/>
            <w:tcBorders>
              <w:top w:val="nil"/>
              <w:left w:val="nil"/>
              <w:bottom w:val="nil"/>
              <w:right w:val="nil"/>
            </w:tcBorders>
            <w:shd w:val="clear" w:color="auto" w:fill="auto"/>
            <w:noWrap/>
            <w:vAlign w:val="bottom"/>
            <w:hideMark/>
          </w:tcPr>
          <w:p w14:paraId="1E3DBB21"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140B07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(1,054)</w:t>
            </w:r>
          </w:p>
        </w:tc>
        <w:tc>
          <w:tcPr>
            <w:tcW w:w="100" w:type="dxa"/>
            <w:tcBorders>
              <w:top w:val="nil"/>
              <w:left w:val="nil"/>
              <w:bottom w:val="nil"/>
              <w:right w:val="nil"/>
            </w:tcBorders>
            <w:shd w:val="clear" w:color="auto" w:fill="auto"/>
            <w:noWrap/>
            <w:vAlign w:val="bottom"/>
            <w:hideMark/>
          </w:tcPr>
          <w:p w14:paraId="69BF7A8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1CCAC6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473 </w:t>
            </w:r>
          </w:p>
        </w:tc>
      </w:tr>
      <w:tr w:rsidR="000C2E7E" w:rsidRPr="000C2E7E" w14:paraId="50D0B11B" w14:textId="77777777" w:rsidTr="000C2E7E">
        <w:trPr>
          <w:trHeight w:val="285"/>
        </w:trPr>
        <w:tc>
          <w:tcPr>
            <w:tcW w:w="3180" w:type="dxa"/>
            <w:tcBorders>
              <w:top w:val="nil"/>
              <w:left w:val="nil"/>
              <w:bottom w:val="nil"/>
              <w:right w:val="nil"/>
            </w:tcBorders>
            <w:shd w:val="clear" w:color="auto" w:fill="auto"/>
            <w:vAlign w:val="bottom"/>
            <w:hideMark/>
          </w:tcPr>
          <w:p w14:paraId="03240902"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Other current liabilities</w:t>
            </w:r>
          </w:p>
        </w:tc>
        <w:tc>
          <w:tcPr>
            <w:tcW w:w="1080" w:type="dxa"/>
            <w:tcBorders>
              <w:top w:val="nil"/>
              <w:left w:val="nil"/>
              <w:bottom w:val="nil"/>
              <w:right w:val="nil"/>
            </w:tcBorders>
            <w:shd w:val="clear" w:color="auto" w:fill="auto"/>
            <w:noWrap/>
            <w:vAlign w:val="bottom"/>
            <w:hideMark/>
          </w:tcPr>
          <w:p w14:paraId="187A49E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1,328 </w:t>
            </w:r>
          </w:p>
        </w:tc>
        <w:tc>
          <w:tcPr>
            <w:tcW w:w="100" w:type="dxa"/>
            <w:tcBorders>
              <w:top w:val="nil"/>
              <w:left w:val="nil"/>
              <w:bottom w:val="nil"/>
              <w:right w:val="nil"/>
            </w:tcBorders>
            <w:shd w:val="clear" w:color="auto" w:fill="auto"/>
            <w:noWrap/>
            <w:vAlign w:val="bottom"/>
            <w:hideMark/>
          </w:tcPr>
          <w:p w14:paraId="2672C56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C0C6CD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1,072 </w:t>
            </w:r>
          </w:p>
        </w:tc>
        <w:tc>
          <w:tcPr>
            <w:tcW w:w="100" w:type="dxa"/>
            <w:tcBorders>
              <w:top w:val="nil"/>
              <w:left w:val="nil"/>
              <w:bottom w:val="nil"/>
              <w:right w:val="nil"/>
            </w:tcBorders>
            <w:shd w:val="clear" w:color="auto" w:fill="auto"/>
            <w:noWrap/>
            <w:vAlign w:val="bottom"/>
            <w:hideMark/>
          </w:tcPr>
          <w:p w14:paraId="23B76AB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E84B6D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(624)</w:t>
            </w:r>
          </w:p>
        </w:tc>
        <w:tc>
          <w:tcPr>
            <w:tcW w:w="100" w:type="dxa"/>
            <w:tcBorders>
              <w:top w:val="nil"/>
              <w:left w:val="nil"/>
              <w:bottom w:val="nil"/>
              <w:right w:val="nil"/>
            </w:tcBorders>
            <w:shd w:val="clear" w:color="auto" w:fill="auto"/>
            <w:noWrap/>
            <w:vAlign w:val="bottom"/>
            <w:hideMark/>
          </w:tcPr>
          <w:p w14:paraId="5466DB8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8FF9A5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1,075 </w:t>
            </w:r>
          </w:p>
        </w:tc>
      </w:tr>
      <w:tr w:rsidR="000C2E7E" w:rsidRPr="000C2E7E" w14:paraId="56CDDAC4" w14:textId="77777777" w:rsidTr="000C2E7E">
        <w:trPr>
          <w:trHeight w:val="285"/>
        </w:trPr>
        <w:tc>
          <w:tcPr>
            <w:tcW w:w="3180" w:type="dxa"/>
            <w:tcBorders>
              <w:top w:val="nil"/>
              <w:left w:val="nil"/>
              <w:bottom w:val="single" w:sz="4" w:space="0" w:color="auto"/>
              <w:right w:val="nil"/>
            </w:tcBorders>
            <w:shd w:val="clear" w:color="auto" w:fill="auto"/>
            <w:noWrap/>
            <w:vAlign w:val="bottom"/>
            <w:hideMark/>
          </w:tcPr>
          <w:p w14:paraId="712726CE"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Other long-term liabilities</w:t>
            </w:r>
          </w:p>
        </w:tc>
        <w:tc>
          <w:tcPr>
            <w:tcW w:w="1080" w:type="dxa"/>
            <w:tcBorders>
              <w:top w:val="nil"/>
              <w:left w:val="nil"/>
              <w:bottom w:val="single" w:sz="4" w:space="0" w:color="auto"/>
              <w:right w:val="nil"/>
            </w:tcBorders>
            <w:shd w:val="clear" w:color="auto" w:fill="auto"/>
            <w:noWrap/>
            <w:vAlign w:val="bottom"/>
            <w:hideMark/>
          </w:tcPr>
          <w:p w14:paraId="0608B06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267 </w:t>
            </w:r>
          </w:p>
        </w:tc>
        <w:tc>
          <w:tcPr>
            <w:tcW w:w="100" w:type="dxa"/>
            <w:tcBorders>
              <w:top w:val="nil"/>
              <w:left w:val="nil"/>
              <w:bottom w:val="nil"/>
              <w:right w:val="nil"/>
            </w:tcBorders>
            <w:shd w:val="clear" w:color="auto" w:fill="auto"/>
            <w:noWrap/>
            <w:vAlign w:val="bottom"/>
            <w:hideMark/>
          </w:tcPr>
          <w:p w14:paraId="1664847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293B68C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1,124 </w:t>
            </w:r>
          </w:p>
        </w:tc>
        <w:tc>
          <w:tcPr>
            <w:tcW w:w="100" w:type="dxa"/>
            <w:tcBorders>
              <w:top w:val="nil"/>
              <w:left w:val="nil"/>
              <w:bottom w:val="nil"/>
              <w:right w:val="nil"/>
            </w:tcBorders>
            <w:shd w:val="clear" w:color="auto" w:fill="auto"/>
            <w:noWrap/>
            <w:vAlign w:val="bottom"/>
            <w:hideMark/>
          </w:tcPr>
          <w:p w14:paraId="673085E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4B8E757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1,599 </w:t>
            </w:r>
          </w:p>
        </w:tc>
        <w:tc>
          <w:tcPr>
            <w:tcW w:w="100" w:type="dxa"/>
            <w:tcBorders>
              <w:top w:val="nil"/>
              <w:left w:val="nil"/>
              <w:bottom w:val="nil"/>
              <w:right w:val="nil"/>
            </w:tcBorders>
            <w:shd w:val="clear" w:color="auto" w:fill="auto"/>
            <w:noWrap/>
            <w:vAlign w:val="bottom"/>
            <w:hideMark/>
          </w:tcPr>
          <w:p w14:paraId="333D420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501BD52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1,014 </w:t>
            </w:r>
          </w:p>
        </w:tc>
      </w:tr>
      <w:tr w:rsidR="000C2E7E" w:rsidRPr="000C2E7E" w14:paraId="471F3819" w14:textId="77777777" w:rsidTr="000C2E7E">
        <w:trPr>
          <w:trHeight w:val="285"/>
        </w:trPr>
        <w:tc>
          <w:tcPr>
            <w:tcW w:w="3180" w:type="dxa"/>
            <w:tcBorders>
              <w:top w:val="nil"/>
              <w:left w:val="nil"/>
              <w:bottom w:val="single" w:sz="4" w:space="0" w:color="auto"/>
              <w:right w:val="nil"/>
            </w:tcBorders>
            <w:shd w:val="clear" w:color="auto" w:fill="auto"/>
            <w:vAlign w:val="bottom"/>
            <w:hideMark/>
          </w:tcPr>
          <w:p w14:paraId="324E6C9E"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Net cash from operations</w:t>
            </w:r>
          </w:p>
        </w:tc>
        <w:tc>
          <w:tcPr>
            <w:tcW w:w="1080" w:type="dxa"/>
            <w:tcBorders>
              <w:top w:val="nil"/>
              <w:left w:val="nil"/>
              <w:bottom w:val="single" w:sz="4" w:space="0" w:color="auto"/>
              <w:right w:val="nil"/>
            </w:tcBorders>
            <w:shd w:val="clear" w:color="auto" w:fill="auto"/>
            <w:noWrap/>
            <w:vAlign w:val="bottom"/>
            <w:hideMark/>
          </w:tcPr>
          <w:p w14:paraId="05A9B3F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6,816 </w:t>
            </w:r>
          </w:p>
        </w:tc>
        <w:tc>
          <w:tcPr>
            <w:tcW w:w="100" w:type="dxa"/>
            <w:tcBorders>
              <w:top w:val="nil"/>
              <w:left w:val="nil"/>
              <w:bottom w:val="nil"/>
              <w:right w:val="nil"/>
            </w:tcBorders>
            <w:shd w:val="clear" w:color="auto" w:fill="auto"/>
            <w:noWrap/>
            <w:vAlign w:val="bottom"/>
            <w:hideMark/>
          </w:tcPr>
          <w:p w14:paraId="5A69673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18A97F1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9,514 </w:t>
            </w:r>
          </w:p>
        </w:tc>
        <w:tc>
          <w:tcPr>
            <w:tcW w:w="100" w:type="dxa"/>
            <w:tcBorders>
              <w:top w:val="nil"/>
              <w:left w:val="nil"/>
              <w:bottom w:val="nil"/>
              <w:right w:val="nil"/>
            </w:tcBorders>
            <w:shd w:val="clear" w:color="auto" w:fill="auto"/>
            <w:noWrap/>
            <w:vAlign w:val="bottom"/>
            <w:hideMark/>
          </w:tcPr>
          <w:p w14:paraId="397CCA6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036E9F3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29,080 </w:t>
            </w:r>
          </w:p>
        </w:tc>
        <w:tc>
          <w:tcPr>
            <w:tcW w:w="100" w:type="dxa"/>
            <w:tcBorders>
              <w:top w:val="nil"/>
              <w:left w:val="nil"/>
              <w:bottom w:val="nil"/>
              <w:right w:val="nil"/>
            </w:tcBorders>
            <w:shd w:val="clear" w:color="auto" w:fill="auto"/>
            <w:noWrap/>
            <w:vAlign w:val="bottom"/>
            <w:hideMark/>
          </w:tcPr>
          <w:p w14:paraId="45DF2F9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1E3089B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32,231 </w:t>
            </w:r>
          </w:p>
        </w:tc>
      </w:tr>
      <w:tr w:rsidR="000C2E7E" w:rsidRPr="000C2E7E" w14:paraId="4E25EB88" w14:textId="77777777" w:rsidTr="000C2E7E">
        <w:trPr>
          <w:trHeight w:val="285"/>
        </w:trPr>
        <w:tc>
          <w:tcPr>
            <w:tcW w:w="3180" w:type="dxa"/>
            <w:tcBorders>
              <w:top w:val="nil"/>
              <w:left w:val="nil"/>
              <w:bottom w:val="nil"/>
              <w:right w:val="nil"/>
            </w:tcBorders>
            <w:shd w:val="clear" w:color="auto" w:fill="auto"/>
            <w:noWrap/>
            <w:vAlign w:val="bottom"/>
            <w:hideMark/>
          </w:tcPr>
          <w:p w14:paraId="13B7E709"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Financing</w:t>
            </w:r>
          </w:p>
        </w:tc>
        <w:tc>
          <w:tcPr>
            <w:tcW w:w="1080" w:type="dxa"/>
            <w:tcBorders>
              <w:top w:val="nil"/>
              <w:left w:val="nil"/>
              <w:bottom w:val="nil"/>
              <w:right w:val="nil"/>
            </w:tcBorders>
            <w:shd w:val="clear" w:color="auto" w:fill="auto"/>
            <w:noWrap/>
            <w:vAlign w:val="bottom"/>
            <w:hideMark/>
          </w:tcPr>
          <w:p w14:paraId="1126F07B"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1DE4589B"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5C27F571"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03FFE6AB"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B40CFD8"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50723AE7"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494A9AEA"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37178FD0" w14:textId="77777777" w:rsidTr="000C2E7E">
        <w:trPr>
          <w:trHeight w:val="855"/>
        </w:trPr>
        <w:tc>
          <w:tcPr>
            <w:tcW w:w="3180" w:type="dxa"/>
            <w:tcBorders>
              <w:top w:val="nil"/>
              <w:left w:val="nil"/>
              <w:bottom w:val="nil"/>
              <w:right w:val="nil"/>
            </w:tcBorders>
            <w:shd w:val="clear" w:color="auto" w:fill="auto"/>
            <w:vAlign w:val="bottom"/>
            <w:hideMark/>
          </w:tcPr>
          <w:p w14:paraId="1FC9A929"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Proceeds from issuance of</w:t>
            </w:r>
            <w:r w:rsidRPr="000C2E7E">
              <w:rPr>
                <w:rFonts w:ascii="Segoe UI" w:eastAsia="Times New Roman" w:hAnsi="Segoe UI" w:cs="Segoe UI"/>
                <w:color w:val="666666"/>
                <w:sz w:val="20"/>
                <w:szCs w:val="20"/>
              </w:rPr>
              <w:br/>
              <w:t xml:space="preserve">   short-term debt, maturities of</w:t>
            </w:r>
            <w:r w:rsidRPr="000C2E7E">
              <w:rPr>
                <w:rFonts w:ascii="Segoe UI" w:eastAsia="Times New Roman" w:hAnsi="Segoe UI" w:cs="Segoe UI"/>
                <w:color w:val="666666"/>
                <w:sz w:val="20"/>
                <w:szCs w:val="20"/>
              </w:rPr>
              <w:br/>
              <w:t xml:space="preserve">   90 days or less, net</w:t>
            </w:r>
          </w:p>
        </w:tc>
        <w:tc>
          <w:tcPr>
            <w:tcW w:w="1080" w:type="dxa"/>
            <w:tcBorders>
              <w:top w:val="nil"/>
              <w:left w:val="nil"/>
              <w:bottom w:val="nil"/>
              <w:right w:val="nil"/>
            </w:tcBorders>
            <w:shd w:val="clear" w:color="auto" w:fill="auto"/>
            <w:noWrap/>
            <w:vAlign w:val="bottom"/>
            <w:hideMark/>
          </w:tcPr>
          <w:p w14:paraId="166B3AD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3,259 </w:t>
            </w:r>
          </w:p>
        </w:tc>
        <w:tc>
          <w:tcPr>
            <w:tcW w:w="100" w:type="dxa"/>
            <w:tcBorders>
              <w:top w:val="nil"/>
              <w:left w:val="nil"/>
              <w:bottom w:val="nil"/>
              <w:right w:val="nil"/>
            </w:tcBorders>
            <w:shd w:val="clear" w:color="auto" w:fill="auto"/>
            <w:noWrap/>
            <w:vAlign w:val="bottom"/>
            <w:hideMark/>
          </w:tcPr>
          <w:p w14:paraId="2ABC7B9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BDDCF2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500 </w:t>
            </w:r>
          </w:p>
        </w:tc>
        <w:tc>
          <w:tcPr>
            <w:tcW w:w="100" w:type="dxa"/>
            <w:tcBorders>
              <w:top w:val="nil"/>
              <w:left w:val="nil"/>
              <w:bottom w:val="nil"/>
              <w:right w:val="nil"/>
            </w:tcBorders>
            <w:shd w:val="clear" w:color="auto" w:fill="auto"/>
            <w:noWrap/>
            <w:vAlign w:val="bottom"/>
            <w:hideMark/>
          </w:tcPr>
          <w:p w14:paraId="2761FF9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59607B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4,481 </w:t>
            </w:r>
          </w:p>
        </w:tc>
        <w:tc>
          <w:tcPr>
            <w:tcW w:w="100" w:type="dxa"/>
            <w:tcBorders>
              <w:top w:val="nil"/>
              <w:left w:val="nil"/>
              <w:bottom w:val="nil"/>
              <w:right w:val="nil"/>
            </w:tcBorders>
            <w:shd w:val="clear" w:color="auto" w:fill="auto"/>
            <w:noWrap/>
            <w:vAlign w:val="bottom"/>
            <w:hideMark/>
          </w:tcPr>
          <w:p w14:paraId="17B2A72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3BC2B14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500 </w:t>
            </w:r>
          </w:p>
        </w:tc>
      </w:tr>
      <w:tr w:rsidR="000C2E7E" w:rsidRPr="000C2E7E" w14:paraId="0DC62352" w14:textId="77777777" w:rsidTr="000C2E7E">
        <w:trPr>
          <w:trHeight w:val="285"/>
        </w:trPr>
        <w:tc>
          <w:tcPr>
            <w:tcW w:w="3180" w:type="dxa"/>
            <w:tcBorders>
              <w:top w:val="nil"/>
              <w:left w:val="nil"/>
              <w:bottom w:val="nil"/>
              <w:right w:val="nil"/>
            </w:tcBorders>
            <w:shd w:val="clear" w:color="auto" w:fill="auto"/>
            <w:vAlign w:val="bottom"/>
            <w:hideMark/>
          </w:tcPr>
          <w:p w14:paraId="1DF5000C"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Proceeds from issuance of debt</w:t>
            </w:r>
          </w:p>
        </w:tc>
        <w:tc>
          <w:tcPr>
            <w:tcW w:w="1080" w:type="dxa"/>
            <w:tcBorders>
              <w:top w:val="nil"/>
              <w:left w:val="nil"/>
              <w:bottom w:val="nil"/>
              <w:right w:val="nil"/>
            </w:tcBorders>
            <w:shd w:val="clear" w:color="auto" w:fill="auto"/>
            <w:noWrap/>
            <w:vAlign w:val="bottom"/>
            <w:hideMark/>
          </w:tcPr>
          <w:p w14:paraId="5B0F8BE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0 </w:t>
            </w:r>
          </w:p>
        </w:tc>
        <w:tc>
          <w:tcPr>
            <w:tcW w:w="100" w:type="dxa"/>
            <w:tcBorders>
              <w:top w:val="nil"/>
              <w:left w:val="nil"/>
              <w:bottom w:val="nil"/>
              <w:right w:val="nil"/>
            </w:tcBorders>
            <w:shd w:val="clear" w:color="auto" w:fill="auto"/>
            <w:noWrap/>
            <w:vAlign w:val="bottom"/>
            <w:hideMark/>
          </w:tcPr>
          <w:p w14:paraId="7E76D19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F53824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1,500 </w:t>
            </w:r>
          </w:p>
        </w:tc>
        <w:tc>
          <w:tcPr>
            <w:tcW w:w="100" w:type="dxa"/>
            <w:tcBorders>
              <w:top w:val="nil"/>
              <w:left w:val="nil"/>
              <w:bottom w:val="nil"/>
              <w:right w:val="nil"/>
            </w:tcBorders>
            <w:shd w:val="clear" w:color="auto" w:fill="auto"/>
            <w:noWrap/>
            <w:vAlign w:val="bottom"/>
            <w:hideMark/>
          </w:tcPr>
          <w:p w14:paraId="31BA5B94"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557F88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10,680 </w:t>
            </w:r>
          </w:p>
        </w:tc>
        <w:tc>
          <w:tcPr>
            <w:tcW w:w="100" w:type="dxa"/>
            <w:tcBorders>
              <w:top w:val="nil"/>
              <w:left w:val="nil"/>
              <w:bottom w:val="nil"/>
              <w:right w:val="nil"/>
            </w:tcBorders>
            <w:shd w:val="clear" w:color="auto" w:fill="auto"/>
            <w:noWrap/>
            <w:vAlign w:val="bottom"/>
            <w:hideMark/>
          </w:tcPr>
          <w:p w14:paraId="2AE75DD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907DD6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10,350 </w:t>
            </w:r>
          </w:p>
        </w:tc>
      </w:tr>
      <w:tr w:rsidR="000C2E7E" w:rsidRPr="000C2E7E" w14:paraId="10FE474D" w14:textId="77777777" w:rsidTr="000C2E7E">
        <w:trPr>
          <w:trHeight w:val="285"/>
        </w:trPr>
        <w:tc>
          <w:tcPr>
            <w:tcW w:w="3180" w:type="dxa"/>
            <w:tcBorders>
              <w:top w:val="nil"/>
              <w:left w:val="nil"/>
              <w:bottom w:val="nil"/>
              <w:right w:val="nil"/>
            </w:tcBorders>
            <w:shd w:val="clear" w:color="auto" w:fill="auto"/>
            <w:vAlign w:val="bottom"/>
            <w:hideMark/>
          </w:tcPr>
          <w:p w14:paraId="0545C547"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Repayments of debt</w:t>
            </w:r>
          </w:p>
        </w:tc>
        <w:tc>
          <w:tcPr>
            <w:tcW w:w="1080" w:type="dxa"/>
            <w:tcBorders>
              <w:top w:val="nil"/>
              <w:left w:val="nil"/>
              <w:bottom w:val="nil"/>
              <w:right w:val="nil"/>
            </w:tcBorders>
            <w:shd w:val="clear" w:color="auto" w:fill="auto"/>
            <w:noWrap/>
            <w:vAlign w:val="bottom"/>
            <w:hideMark/>
          </w:tcPr>
          <w:p w14:paraId="60ADE90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0 </w:t>
            </w:r>
          </w:p>
        </w:tc>
        <w:tc>
          <w:tcPr>
            <w:tcW w:w="100" w:type="dxa"/>
            <w:tcBorders>
              <w:top w:val="nil"/>
              <w:left w:val="nil"/>
              <w:bottom w:val="nil"/>
              <w:right w:val="nil"/>
            </w:tcBorders>
            <w:shd w:val="clear" w:color="auto" w:fill="auto"/>
            <w:noWrap/>
            <w:vAlign w:val="bottom"/>
            <w:hideMark/>
          </w:tcPr>
          <w:p w14:paraId="0AD12F7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615FEF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(2,000)</w:t>
            </w:r>
          </w:p>
        </w:tc>
        <w:tc>
          <w:tcPr>
            <w:tcW w:w="100" w:type="dxa"/>
            <w:tcBorders>
              <w:top w:val="nil"/>
              <w:left w:val="nil"/>
              <w:bottom w:val="nil"/>
              <w:right w:val="nil"/>
            </w:tcBorders>
            <w:shd w:val="clear" w:color="auto" w:fill="auto"/>
            <w:noWrap/>
            <w:vAlign w:val="bottom"/>
            <w:hideMark/>
          </w:tcPr>
          <w:p w14:paraId="64E2CEF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C2B1BB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(1,500)</w:t>
            </w:r>
          </w:p>
        </w:tc>
        <w:tc>
          <w:tcPr>
            <w:tcW w:w="100" w:type="dxa"/>
            <w:tcBorders>
              <w:top w:val="nil"/>
              <w:left w:val="nil"/>
              <w:bottom w:val="nil"/>
              <w:right w:val="nil"/>
            </w:tcBorders>
            <w:shd w:val="clear" w:color="auto" w:fill="auto"/>
            <w:noWrap/>
            <w:vAlign w:val="bottom"/>
            <w:hideMark/>
          </w:tcPr>
          <w:p w14:paraId="4CD345F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02F488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(3,888)</w:t>
            </w:r>
          </w:p>
        </w:tc>
      </w:tr>
      <w:tr w:rsidR="000C2E7E" w:rsidRPr="000C2E7E" w14:paraId="7FF924FA" w14:textId="77777777" w:rsidTr="000C2E7E">
        <w:trPr>
          <w:trHeight w:val="285"/>
        </w:trPr>
        <w:tc>
          <w:tcPr>
            <w:tcW w:w="3180" w:type="dxa"/>
            <w:tcBorders>
              <w:top w:val="nil"/>
              <w:left w:val="nil"/>
              <w:bottom w:val="nil"/>
              <w:right w:val="nil"/>
            </w:tcBorders>
            <w:shd w:val="clear" w:color="auto" w:fill="auto"/>
            <w:noWrap/>
            <w:vAlign w:val="bottom"/>
            <w:hideMark/>
          </w:tcPr>
          <w:p w14:paraId="060209CD"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Common stock issued</w:t>
            </w:r>
          </w:p>
        </w:tc>
        <w:tc>
          <w:tcPr>
            <w:tcW w:w="1080" w:type="dxa"/>
            <w:tcBorders>
              <w:top w:val="nil"/>
              <w:left w:val="nil"/>
              <w:bottom w:val="nil"/>
              <w:right w:val="nil"/>
            </w:tcBorders>
            <w:shd w:val="clear" w:color="auto" w:fill="auto"/>
            <w:noWrap/>
            <w:vAlign w:val="bottom"/>
            <w:hideMark/>
          </w:tcPr>
          <w:p w14:paraId="173EB32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151 </w:t>
            </w:r>
          </w:p>
        </w:tc>
        <w:tc>
          <w:tcPr>
            <w:tcW w:w="100" w:type="dxa"/>
            <w:tcBorders>
              <w:top w:val="nil"/>
              <w:left w:val="nil"/>
              <w:bottom w:val="nil"/>
              <w:right w:val="nil"/>
            </w:tcBorders>
            <w:shd w:val="clear" w:color="auto" w:fill="auto"/>
            <w:noWrap/>
            <w:vAlign w:val="bottom"/>
            <w:hideMark/>
          </w:tcPr>
          <w:p w14:paraId="5B6A883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0F7E18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146 </w:t>
            </w:r>
          </w:p>
        </w:tc>
        <w:tc>
          <w:tcPr>
            <w:tcW w:w="100" w:type="dxa"/>
            <w:tcBorders>
              <w:top w:val="nil"/>
              <w:left w:val="nil"/>
              <w:bottom w:val="nil"/>
              <w:right w:val="nil"/>
            </w:tcBorders>
            <w:shd w:val="clear" w:color="auto" w:fill="auto"/>
            <w:noWrap/>
            <w:vAlign w:val="bottom"/>
            <w:hideMark/>
          </w:tcPr>
          <w:p w14:paraId="60929E3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3CCEFC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634 </w:t>
            </w:r>
          </w:p>
        </w:tc>
        <w:tc>
          <w:tcPr>
            <w:tcW w:w="100" w:type="dxa"/>
            <w:tcBorders>
              <w:top w:val="nil"/>
              <w:left w:val="nil"/>
              <w:bottom w:val="nil"/>
              <w:right w:val="nil"/>
            </w:tcBorders>
            <w:shd w:val="clear" w:color="auto" w:fill="auto"/>
            <w:noWrap/>
            <w:vAlign w:val="bottom"/>
            <w:hideMark/>
          </w:tcPr>
          <w:p w14:paraId="1817CE4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450848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607 </w:t>
            </w:r>
          </w:p>
        </w:tc>
      </w:tr>
      <w:tr w:rsidR="000C2E7E" w:rsidRPr="000C2E7E" w14:paraId="373C0E3B" w14:textId="77777777" w:rsidTr="000C2E7E">
        <w:trPr>
          <w:trHeight w:val="285"/>
        </w:trPr>
        <w:tc>
          <w:tcPr>
            <w:tcW w:w="3180" w:type="dxa"/>
            <w:tcBorders>
              <w:top w:val="nil"/>
              <w:left w:val="nil"/>
              <w:bottom w:val="nil"/>
              <w:right w:val="nil"/>
            </w:tcBorders>
            <w:shd w:val="clear" w:color="auto" w:fill="auto"/>
            <w:noWrap/>
            <w:vAlign w:val="bottom"/>
            <w:hideMark/>
          </w:tcPr>
          <w:p w14:paraId="140C8747"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Common stock repurchased</w:t>
            </w:r>
          </w:p>
        </w:tc>
        <w:tc>
          <w:tcPr>
            <w:tcW w:w="1080" w:type="dxa"/>
            <w:tcBorders>
              <w:top w:val="nil"/>
              <w:left w:val="nil"/>
              <w:bottom w:val="nil"/>
              <w:right w:val="nil"/>
            </w:tcBorders>
            <w:shd w:val="clear" w:color="auto" w:fill="auto"/>
            <w:noWrap/>
            <w:vAlign w:val="bottom"/>
            <w:hideMark/>
          </w:tcPr>
          <w:p w14:paraId="3FAE7D6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(4,279)</w:t>
            </w:r>
          </w:p>
        </w:tc>
        <w:tc>
          <w:tcPr>
            <w:tcW w:w="100" w:type="dxa"/>
            <w:tcBorders>
              <w:top w:val="nil"/>
              <w:left w:val="nil"/>
              <w:bottom w:val="nil"/>
              <w:right w:val="nil"/>
            </w:tcBorders>
            <w:shd w:val="clear" w:color="auto" w:fill="auto"/>
            <w:noWrap/>
            <w:vAlign w:val="bottom"/>
            <w:hideMark/>
          </w:tcPr>
          <w:p w14:paraId="240D53E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E59627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(1,170)</w:t>
            </w:r>
          </w:p>
        </w:tc>
        <w:tc>
          <w:tcPr>
            <w:tcW w:w="100" w:type="dxa"/>
            <w:tcBorders>
              <w:top w:val="nil"/>
              <w:left w:val="nil"/>
              <w:bottom w:val="nil"/>
              <w:right w:val="nil"/>
            </w:tcBorders>
            <w:shd w:val="clear" w:color="auto" w:fill="auto"/>
            <w:noWrap/>
            <w:vAlign w:val="bottom"/>
            <w:hideMark/>
          </w:tcPr>
          <w:p w14:paraId="3623785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9CCD79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(14,443)</w:t>
            </w:r>
          </w:p>
        </w:tc>
        <w:tc>
          <w:tcPr>
            <w:tcW w:w="100" w:type="dxa"/>
            <w:tcBorders>
              <w:top w:val="nil"/>
              <w:left w:val="nil"/>
              <w:bottom w:val="nil"/>
              <w:right w:val="nil"/>
            </w:tcBorders>
            <w:shd w:val="clear" w:color="auto" w:fill="auto"/>
            <w:noWrap/>
            <w:vAlign w:val="bottom"/>
            <w:hideMark/>
          </w:tcPr>
          <w:p w14:paraId="1278370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8E368E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(7,316)</w:t>
            </w:r>
          </w:p>
        </w:tc>
      </w:tr>
      <w:tr w:rsidR="000C2E7E" w:rsidRPr="000C2E7E" w14:paraId="16B69008" w14:textId="77777777" w:rsidTr="000C2E7E">
        <w:trPr>
          <w:trHeight w:val="285"/>
        </w:trPr>
        <w:tc>
          <w:tcPr>
            <w:tcW w:w="3180" w:type="dxa"/>
            <w:tcBorders>
              <w:top w:val="nil"/>
              <w:left w:val="nil"/>
              <w:bottom w:val="nil"/>
              <w:right w:val="nil"/>
            </w:tcBorders>
            <w:shd w:val="clear" w:color="auto" w:fill="auto"/>
            <w:noWrap/>
            <w:vAlign w:val="bottom"/>
            <w:hideMark/>
          </w:tcPr>
          <w:p w14:paraId="15FABCA3"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Common stock cash dividends paid</w:t>
            </w:r>
          </w:p>
        </w:tc>
        <w:tc>
          <w:tcPr>
            <w:tcW w:w="1080" w:type="dxa"/>
            <w:tcBorders>
              <w:top w:val="nil"/>
              <w:left w:val="nil"/>
              <w:bottom w:val="nil"/>
              <w:right w:val="nil"/>
            </w:tcBorders>
            <w:shd w:val="clear" w:color="auto" w:fill="auto"/>
            <w:noWrap/>
            <w:vAlign w:val="bottom"/>
            <w:hideMark/>
          </w:tcPr>
          <w:p w14:paraId="4F236C7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(2,496)</w:t>
            </w:r>
          </w:p>
        </w:tc>
        <w:tc>
          <w:tcPr>
            <w:tcW w:w="100" w:type="dxa"/>
            <w:tcBorders>
              <w:top w:val="nil"/>
              <w:left w:val="nil"/>
              <w:bottom w:val="nil"/>
              <w:right w:val="nil"/>
            </w:tcBorders>
            <w:shd w:val="clear" w:color="auto" w:fill="auto"/>
            <w:noWrap/>
            <w:vAlign w:val="bottom"/>
            <w:hideMark/>
          </w:tcPr>
          <w:p w14:paraId="1D04F45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21F532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(2,309)</w:t>
            </w:r>
          </w:p>
        </w:tc>
        <w:tc>
          <w:tcPr>
            <w:tcW w:w="100" w:type="dxa"/>
            <w:tcBorders>
              <w:top w:val="nil"/>
              <w:left w:val="nil"/>
              <w:bottom w:val="nil"/>
              <w:right w:val="nil"/>
            </w:tcBorders>
            <w:shd w:val="clear" w:color="auto" w:fill="auto"/>
            <w:noWrap/>
            <w:vAlign w:val="bottom"/>
            <w:hideMark/>
          </w:tcPr>
          <w:p w14:paraId="66C6B27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FB8BC1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(9,882)</w:t>
            </w:r>
          </w:p>
        </w:tc>
        <w:tc>
          <w:tcPr>
            <w:tcW w:w="100" w:type="dxa"/>
            <w:tcBorders>
              <w:top w:val="nil"/>
              <w:left w:val="nil"/>
              <w:bottom w:val="nil"/>
              <w:right w:val="nil"/>
            </w:tcBorders>
            <w:shd w:val="clear" w:color="auto" w:fill="auto"/>
            <w:noWrap/>
            <w:vAlign w:val="bottom"/>
            <w:hideMark/>
          </w:tcPr>
          <w:p w14:paraId="1D14C82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14F3524"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(8,879)</w:t>
            </w:r>
          </w:p>
        </w:tc>
      </w:tr>
      <w:tr w:rsidR="000C2E7E" w:rsidRPr="000C2E7E" w14:paraId="01200CA4" w14:textId="77777777" w:rsidTr="000C2E7E">
        <w:trPr>
          <w:trHeight w:val="570"/>
        </w:trPr>
        <w:tc>
          <w:tcPr>
            <w:tcW w:w="3180" w:type="dxa"/>
            <w:tcBorders>
              <w:top w:val="nil"/>
              <w:left w:val="nil"/>
              <w:bottom w:val="nil"/>
              <w:right w:val="nil"/>
            </w:tcBorders>
            <w:shd w:val="clear" w:color="auto" w:fill="auto"/>
            <w:vAlign w:val="bottom"/>
            <w:hideMark/>
          </w:tcPr>
          <w:p w14:paraId="74C0303C"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Excess tax benefits from</w:t>
            </w:r>
            <w:r w:rsidRPr="000C2E7E">
              <w:rPr>
                <w:rFonts w:ascii="Segoe UI" w:eastAsia="Times New Roman" w:hAnsi="Segoe UI" w:cs="Segoe UI"/>
                <w:color w:val="666666"/>
                <w:sz w:val="20"/>
                <w:szCs w:val="20"/>
              </w:rPr>
              <w:br/>
              <w:t xml:space="preserve">   stock-based compensation</w:t>
            </w:r>
          </w:p>
        </w:tc>
        <w:tc>
          <w:tcPr>
            <w:tcW w:w="1080" w:type="dxa"/>
            <w:tcBorders>
              <w:top w:val="nil"/>
              <w:left w:val="nil"/>
              <w:bottom w:val="nil"/>
              <w:right w:val="nil"/>
            </w:tcBorders>
            <w:shd w:val="clear" w:color="auto" w:fill="auto"/>
            <w:noWrap/>
            <w:vAlign w:val="bottom"/>
            <w:hideMark/>
          </w:tcPr>
          <w:p w14:paraId="0C0769E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33 </w:t>
            </w:r>
          </w:p>
        </w:tc>
        <w:tc>
          <w:tcPr>
            <w:tcW w:w="100" w:type="dxa"/>
            <w:tcBorders>
              <w:top w:val="nil"/>
              <w:left w:val="nil"/>
              <w:bottom w:val="nil"/>
              <w:right w:val="nil"/>
            </w:tcBorders>
            <w:shd w:val="clear" w:color="auto" w:fill="auto"/>
            <w:noWrap/>
            <w:vAlign w:val="bottom"/>
            <w:hideMark/>
          </w:tcPr>
          <w:p w14:paraId="1375AEC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4BF2AE4"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24 </w:t>
            </w:r>
          </w:p>
        </w:tc>
        <w:tc>
          <w:tcPr>
            <w:tcW w:w="100" w:type="dxa"/>
            <w:tcBorders>
              <w:top w:val="nil"/>
              <w:left w:val="nil"/>
              <w:bottom w:val="nil"/>
              <w:right w:val="nil"/>
            </w:tcBorders>
            <w:shd w:val="clear" w:color="auto" w:fill="auto"/>
            <w:noWrap/>
            <w:vAlign w:val="bottom"/>
            <w:hideMark/>
          </w:tcPr>
          <w:p w14:paraId="54DD267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318D76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588 </w:t>
            </w:r>
          </w:p>
        </w:tc>
        <w:tc>
          <w:tcPr>
            <w:tcW w:w="100" w:type="dxa"/>
            <w:tcBorders>
              <w:top w:val="nil"/>
              <w:left w:val="nil"/>
              <w:bottom w:val="nil"/>
              <w:right w:val="nil"/>
            </w:tcBorders>
            <w:shd w:val="clear" w:color="auto" w:fill="auto"/>
            <w:noWrap/>
            <w:vAlign w:val="bottom"/>
            <w:hideMark/>
          </w:tcPr>
          <w:p w14:paraId="2B0C6B2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6777DC1"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271 </w:t>
            </w:r>
          </w:p>
        </w:tc>
      </w:tr>
      <w:tr w:rsidR="000C2E7E" w:rsidRPr="000C2E7E" w14:paraId="16C36A9F" w14:textId="77777777" w:rsidTr="000C2E7E">
        <w:trPr>
          <w:trHeight w:val="285"/>
        </w:trPr>
        <w:tc>
          <w:tcPr>
            <w:tcW w:w="3180" w:type="dxa"/>
            <w:tcBorders>
              <w:top w:val="nil"/>
              <w:left w:val="nil"/>
              <w:bottom w:val="single" w:sz="4" w:space="0" w:color="auto"/>
              <w:right w:val="nil"/>
            </w:tcBorders>
            <w:shd w:val="clear" w:color="auto" w:fill="auto"/>
            <w:vAlign w:val="bottom"/>
            <w:hideMark/>
          </w:tcPr>
          <w:p w14:paraId="4591938B"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Other</w:t>
            </w:r>
          </w:p>
        </w:tc>
        <w:tc>
          <w:tcPr>
            <w:tcW w:w="1080" w:type="dxa"/>
            <w:tcBorders>
              <w:top w:val="nil"/>
              <w:left w:val="nil"/>
              <w:bottom w:val="single" w:sz="4" w:space="0" w:color="auto"/>
              <w:right w:val="nil"/>
            </w:tcBorders>
            <w:shd w:val="clear" w:color="auto" w:fill="auto"/>
            <w:noWrap/>
            <w:vAlign w:val="bottom"/>
            <w:hideMark/>
          </w:tcPr>
          <w:p w14:paraId="7CD61C8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(239)</w:t>
            </w:r>
          </w:p>
        </w:tc>
        <w:tc>
          <w:tcPr>
            <w:tcW w:w="100" w:type="dxa"/>
            <w:tcBorders>
              <w:top w:val="nil"/>
              <w:left w:val="nil"/>
              <w:bottom w:val="nil"/>
              <w:right w:val="nil"/>
            </w:tcBorders>
            <w:shd w:val="clear" w:color="auto" w:fill="auto"/>
            <w:noWrap/>
            <w:vAlign w:val="bottom"/>
            <w:hideMark/>
          </w:tcPr>
          <w:p w14:paraId="3D1154F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5CF54D3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0 </w:t>
            </w:r>
          </w:p>
        </w:tc>
        <w:tc>
          <w:tcPr>
            <w:tcW w:w="100" w:type="dxa"/>
            <w:tcBorders>
              <w:top w:val="nil"/>
              <w:left w:val="nil"/>
              <w:bottom w:val="nil"/>
              <w:right w:val="nil"/>
            </w:tcBorders>
            <w:shd w:val="clear" w:color="auto" w:fill="auto"/>
            <w:noWrap/>
            <w:vAlign w:val="bottom"/>
            <w:hideMark/>
          </w:tcPr>
          <w:p w14:paraId="499F12E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76A4703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362 </w:t>
            </w:r>
          </w:p>
        </w:tc>
        <w:tc>
          <w:tcPr>
            <w:tcW w:w="100" w:type="dxa"/>
            <w:tcBorders>
              <w:top w:val="nil"/>
              <w:left w:val="nil"/>
              <w:bottom w:val="nil"/>
              <w:right w:val="nil"/>
            </w:tcBorders>
            <w:shd w:val="clear" w:color="auto" w:fill="auto"/>
            <w:noWrap/>
            <w:vAlign w:val="bottom"/>
            <w:hideMark/>
          </w:tcPr>
          <w:p w14:paraId="1D72FC4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5F45E08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(39)</w:t>
            </w:r>
          </w:p>
        </w:tc>
      </w:tr>
      <w:tr w:rsidR="000C2E7E" w:rsidRPr="000C2E7E" w14:paraId="298A29E6" w14:textId="77777777" w:rsidTr="000C2E7E">
        <w:trPr>
          <w:trHeight w:val="285"/>
        </w:trPr>
        <w:tc>
          <w:tcPr>
            <w:tcW w:w="3180" w:type="dxa"/>
            <w:tcBorders>
              <w:top w:val="nil"/>
              <w:left w:val="nil"/>
              <w:bottom w:val="single" w:sz="4" w:space="0" w:color="auto"/>
              <w:right w:val="nil"/>
            </w:tcBorders>
            <w:shd w:val="clear" w:color="auto" w:fill="auto"/>
            <w:vAlign w:val="bottom"/>
            <w:hideMark/>
          </w:tcPr>
          <w:p w14:paraId="61DE057D"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Net cash used in financing</w:t>
            </w:r>
          </w:p>
        </w:tc>
        <w:tc>
          <w:tcPr>
            <w:tcW w:w="1080" w:type="dxa"/>
            <w:tcBorders>
              <w:top w:val="nil"/>
              <w:left w:val="nil"/>
              <w:bottom w:val="single" w:sz="4" w:space="0" w:color="auto"/>
              <w:right w:val="nil"/>
            </w:tcBorders>
            <w:shd w:val="clear" w:color="auto" w:fill="auto"/>
            <w:noWrap/>
            <w:vAlign w:val="bottom"/>
            <w:hideMark/>
          </w:tcPr>
          <w:p w14:paraId="1D85814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(3,571)</w:t>
            </w:r>
          </w:p>
        </w:tc>
        <w:tc>
          <w:tcPr>
            <w:tcW w:w="100" w:type="dxa"/>
            <w:tcBorders>
              <w:top w:val="nil"/>
              <w:left w:val="nil"/>
              <w:bottom w:val="nil"/>
              <w:right w:val="nil"/>
            </w:tcBorders>
            <w:shd w:val="clear" w:color="auto" w:fill="auto"/>
            <w:noWrap/>
            <w:vAlign w:val="bottom"/>
            <w:hideMark/>
          </w:tcPr>
          <w:p w14:paraId="25BE283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0B1A67A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(3,309)</w:t>
            </w:r>
          </w:p>
        </w:tc>
        <w:tc>
          <w:tcPr>
            <w:tcW w:w="100" w:type="dxa"/>
            <w:tcBorders>
              <w:top w:val="nil"/>
              <w:left w:val="nil"/>
              <w:bottom w:val="nil"/>
              <w:right w:val="nil"/>
            </w:tcBorders>
            <w:shd w:val="clear" w:color="auto" w:fill="auto"/>
            <w:noWrap/>
            <w:vAlign w:val="bottom"/>
            <w:hideMark/>
          </w:tcPr>
          <w:p w14:paraId="0F07540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27303D2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(9,080)</w:t>
            </w:r>
          </w:p>
        </w:tc>
        <w:tc>
          <w:tcPr>
            <w:tcW w:w="100" w:type="dxa"/>
            <w:tcBorders>
              <w:top w:val="nil"/>
              <w:left w:val="nil"/>
              <w:bottom w:val="nil"/>
              <w:right w:val="nil"/>
            </w:tcBorders>
            <w:shd w:val="clear" w:color="auto" w:fill="auto"/>
            <w:noWrap/>
            <w:vAlign w:val="bottom"/>
            <w:hideMark/>
          </w:tcPr>
          <w:p w14:paraId="00A6F77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2070FC4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(8,394)</w:t>
            </w:r>
          </w:p>
        </w:tc>
      </w:tr>
      <w:tr w:rsidR="000C2E7E" w:rsidRPr="000C2E7E" w14:paraId="1E164239" w14:textId="77777777" w:rsidTr="000C2E7E">
        <w:trPr>
          <w:trHeight w:val="285"/>
        </w:trPr>
        <w:tc>
          <w:tcPr>
            <w:tcW w:w="3180" w:type="dxa"/>
            <w:tcBorders>
              <w:top w:val="nil"/>
              <w:left w:val="nil"/>
              <w:bottom w:val="nil"/>
              <w:right w:val="nil"/>
            </w:tcBorders>
            <w:shd w:val="clear" w:color="auto" w:fill="auto"/>
            <w:noWrap/>
            <w:vAlign w:val="bottom"/>
            <w:hideMark/>
          </w:tcPr>
          <w:p w14:paraId="34762B31"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Investing</w:t>
            </w:r>
          </w:p>
        </w:tc>
        <w:tc>
          <w:tcPr>
            <w:tcW w:w="1080" w:type="dxa"/>
            <w:tcBorders>
              <w:top w:val="nil"/>
              <w:left w:val="nil"/>
              <w:bottom w:val="nil"/>
              <w:right w:val="nil"/>
            </w:tcBorders>
            <w:shd w:val="clear" w:color="auto" w:fill="auto"/>
            <w:noWrap/>
            <w:vAlign w:val="bottom"/>
            <w:hideMark/>
          </w:tcPr>
          <w:p w14:paraId="3463D5B3"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auto" w:fill="auto"/>
            <w:noWrap/>
            <w:vAlign w:val="bottom"/>
            <w:hideMark/>
          </w:tcPr>
          <w:p w14:paraId="7509FC84"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1B295D43"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1CEB949B"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4B0B9CE" w14:textId="77777777" w:rsidR="000C2E7E" w:rsidRPr="000C2E7E" w:rsidRDefault="000C2E7E" w:rsidP="000C2E7E">
            <w:pPr>
              <w:spacing w:after="0" w:line="240" w:lineRule="auto"/>
              <w:rPr>
                <w:rFonts w:ascii="Times New Roman" w:eastAsia="Times New Roman" w:hAnsi="Times New Roman"/>
                <w:sz w:val="20"/>
                <w:szCs w:val="20"/>
              </w:rPr>
            </w:pPr>
          </w:p>
        </w:tc>
        <w:tc>
          <w:tcPr>
            <w:tcW w:w="100" w:type="dxa"/>
            <w:tcBorders>
              <w:top w:val="nil"/>
              <w:left w:val="nil"/>
              <w:bottom w:val="nil"/>
              <w:right w:val="nil"/>
            </w:tcBorders>
            <w:shd w:val="clear" w:color="auto" w:fill="auto"/>
            <w:noWrap/>
            <w:vAlign w:val="bottom"/>
            <w:hideMark/>
          </w:tcPr>
          <w:p w14:paraId="5AD4CFDA" w14:textId="77777777" w:rsidR="000C2E7E" w:rsidRPr="000C2E7E" w:rsidRDefault="000C2E7E" w:rsidP="000C2E7E">
            <w:pPr>
              <w:spacing w:after="0" w:line="240" w:lineRule="auto"/>
              <w:jc w:val="right"/>
              <w:rPr>
                <w:rFonts w:ascii="Times New Roman" w:eastAsia="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3136CAFE" w14:textId="77777777" w:rsidR="000C2E7E" w:rsidRPr="000C2E7E" w:rsidRDefault="000C2E7E" w:rsidP="000C2E7E">
            <w:pPr>
              <w:spacing w:after="0" w:line="240" w:lineRule="auto"/>
              <w:rPr>
                <w:rFonts w:ascii="Times New Roman" w:eastAsia="Times New Roman" w:hAnsi="Times New Roman"/>
                <w:sz w:val="20"/>
                <w:szCs w:val="20"/>
              </w:rPr>
            </w:pPr>
          </w:p>
        </w:tc>
      </w:tr>
      <w:tr w:rsidR="000C2E7E" w:rsidRPr="000C2E7E" w14:paraId="6EDC4814" w14:textId="77777777" w:rsidTr="000C2E7E">
        <w:trPr>
          <w:trHeight w:val="645"/>
        </w:trPr>
        <w:tc>
          <w:tcPr>
            <w:tcW w:w="3180" w:type="dxa"/>
            <w:tcBorders>
              <w:top w:val="nil"/>
              <w:left w:val="nil"/>
              <w:bottom w:val="nil"/>
              <w:right w:val="nil"/>
            </w:tcBorders>
            <w:shd w:val="clear" w:color="auto" w:fill="auto"/>
            <w:vAlign w:val="bottom"/>
            <w:hideMark/>
          </w:tcPr>
          <w:p w14:paraId="56F75747"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Additions to property and</w:t>
            </w:r>
            <w:r w:rsidRPr="000C2E7E">
              <w:rPr>
                <w:rFonts w:ascii="Segoe UI" w:eastAsia="Times New Roman" w:hAnsi="Segoe UI" w:cs="Segoe UI"/>
                <w:color w:val="666666"/>
                <w:sz w:val="20"/>
                <w:szCs w:val="20"/>
              </w:rPr>
              <w:br/>
              <w:t xml:space="preserve">   equipment</w:t>
            </w:r>
          </w:p>
        </w:tc>
        <w:tc>
          <w:tcPr>
            <w:tcW w:w="1080" w:type="dxa"/>
            <w:tcBorders>
              <w:top w:val="nil"/>
              <w:left w:val="nil"/>
              <w:bottom w:val="nil"/>
              <w:right w:val="nil"/>
            </w:tcBorders>
            <w:shd w:val="clear" w:color="auto" w:fill="auto"/>
            <w:noWrap/>
            <w:vAlign w:val="bottom"/>
            <w:hideMark/>
          </w:tcPr>
          <w:p w14:paraId="69DC1F1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(1,781)</w:t>
            </w:r>
          </w:p>
        </w:tc>
        <w:tc>
          <w:tcPr>
            <w:tcW w:w="100" w:type="dxa"/>
            <w:tcBorders>
              <w:top w:val="nil"/>
              <w:left w:val="nil"/>
              <w:bottom w:val="nil"/>
              <w:right w:val="nil"/>
            </w:tcBorders>
            <w:shd w:val="clear" w:color="auto" w:fill="auto"/>
            <w:noWrap/>
            <w:vAlign w:val="bottom"/>
            <w:hideMark/>
          </w:tcPr>
          <w:p w14:paraId="3CA1056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085910A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(1,330)</w:t>
            </w:r>
          </w:p>
        </w:tc>
        <w:tc>
          <w:tcPr>
            <w:tcW w:w="100" w:type="dxa"/>
            <w:tcBorders>
              <w:top w:val="nil"/>
              <w:left w:val="nil"/>
              <w:bottom w:val="nil"/>
              <w:right w:val="nil"/>
            </w:tcBorders>
            <w:shd w:val="clear" w:color="auto" w:fill="auto"/>
            <w:noWrap/>
            <w:vAlign w:val="bottom"/>
            <w:hideMark/>
          </w:tcPr>
          <w:p w14:paraId="5BE1383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A35F2B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(5,944)</w:t>
            </w:r>
          </w:p>
        </w:tc>
        <w:tc>
          <w:tcPr>
            <w:tcW w:w="100" w:type="dxa"/>
            <w:tcBorders>
              <w:top w:val="nil"/>
              <w:left w:val="nil"/>
              <w:bottom w:val="nil"/>
              <w:right w:val="nil"/>
            </w:tcBorders>
            <w:shd w:val="clear" w:color="auto" w:fill="auto"/>
            <w:noWrap/>
            <w:vAlign w:val="bottom"/>
            <w:hideMark/>
          </w:tcPr>
          <w:p w14:paraId="32AC34F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3779D5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(5,485)</w:t>
            </w:r>
          </w:p>
        </w:tc>
      </w:tr>
      <w:tr w:rsidR="000C2E7E" w:rsidRPr="000C2E7E" w14:paraId="5E67FEB0" w14:textId="77777777" w:rsidTr="000C2E7E">
        <w:trPr>
          <w:trHeight w:val="915"/>
        </w:trPr>
        <w:tc>
          <w:tcPr>
            <w:tcW w:w="3180" w:type="dxa"/>
            <w:tcBorders>
              <w:top w:val="nil"/>
              <w:left w:val="nil"/>
              <w:bottom w:val="nil"/>
              <w:right w:val="nil"/>
            </w:tcBorders>
            <w:shd w:val="clear" w:color="auto" w:fill="auto"/>
            <w:vAlign w:val="bottom"/>
            <w:hideMark/>
          </w:tcPr>
          <w:p w14:paraId="13C624EC"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Acquisition of companies, net of</w:t>
            </w:r>
            <w:r w:rsidRPr="000C2E7E">
              <w:rPr>
                <w:rFonts w:ascii="Segoe UI" w:eastAsia="Times New Roman" w:hAnsi="Segoe UI" w:cs="Segoe UI"/>
                <w:color w:val="666666"/>
                <w:sz w:val="20"/>
                <w:szCs w:val="20"/>
              </w:rPr>
              <w:br/>
              <w:t xml:space="preserve">   cash acquired, and purchases of</w:t>
            </w:r>
            <w:r w:rsidRPr="000C2E7E">
              <w:rPr>
                <w:rFonts w:ascii="Segoe UI" w:eastAsia="Times New Roman" w:hAnsi="Segoe UI" w:cs="Segoe UI"/>
                <w:color w:val="666666"/>
                <w:sz w:val="20"/>
                <w:szCs w:val="20"/>
              </w:rPr>
              <w:br/>
              <w:t xml:space="preserve">   intangible and other assets</w:t>
            </w:r>
          </w:p>
        </w:tc>
        <w:tc>
          <w:tcPr>
            <w:tcW w:w="1080" w:type="dxa"/>
            <w:tcBorders>
              <w:top w:val="nil"/>
              <w:left w:val="nil"/>
              <w:bottom w:val="nil"/>
              <w:right w:val="nil"/>
            </w:tcBorders>
            <w:shd w:val="clear" w:color="auto" w:fill="auto"/>
            <w:noWrap/>
            <w:vAlign w:val="bottom"/>
            <w:hideMark/>
          </w:tcPr>
          <w:p w14:paraId="33833CB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(626)</w:t>
            </w:r>
          </w:p>
        </w:tc>
        <w:tc>
          <w:tcPr>
            <w:tcW w:w="100" w:type="dxa"/>
            <w:tcBorders>
              <w:top w:val="nil"/>
              <w:left w:val="nil"/>
              <w:bottom w:val="nil"/>
              <w:right w:val="nil"/>
            </w:tcBorders>
            <w:shd w:val="clear" w:color="auto" w:fill="auto"/>
            <w:noWrap/>
            <w:vAlign w:val="bottom"/>
            <w:hideMark/>
          </w:tcPr>
          <w:p w14:paraId="4CBDF1A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DED83F1"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(5,626)</w:t>
            </w:r>
          </w:p>
        </w:tc>
        <w:tc>
          <w:tcPr>
            <w:tcW w:w="100" w:type="dxa"/>
            <w:tcBorders>
              <w:top w:val="nil"/>
              <w:left w:val="nil"/>
              <w:bottom w:val="nil"/>
              <w:right w:val="nil"/>
            </w:tcBorders>
            <w:shd w:val="clear" w:color="auto" w:fill="auto"/>
            <w:noWrap/>
            <w:vAlign w:val="bottom"/>
            <w:hideMark/>
          </w:tcPr>
          <w:p w14:paraId="0BEB8554"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56693A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(3,723)</w:t>
            </w:r>
          </w:p>
        </w:tc>
        <w:tc>
          <w:tcPr>
            <w:tcW w:w="100" w:type="dxa"/>
            <w:tcBorders>
              <w:top w:val="nil"/>
              <w:left w:val="nil"/>
              <w:bottom w:val="nil"/>
              <w:right w:val="nil"/>
            </w:tcBorders>
            <w:shd w:val="clear" w:color="auto" w:fill="auto"/>
            <w:noWrap/>
            <w:vAlign w:val="bottom"/>
            <w:hideMark/>
          </w:tcPr>
          <w:p w14:paraId="2B3B209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65F3B0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(5,937)</w:t>
            </w:r>
          </w:p>
        </w:tc>
      </w:tr>
      <w:tr w:rsidR="000C2E7E" w:rsidRPr="000C2E7E" w14:paraId="301513A1" w14:textId="77777777" w:rsidTr="000C2E7E">
        <w:trPr>
          <w:trHeight w:val="315"/>
        </w:trPr>
        <w:tc>
          <w:tcPr>
            <w:tcW w:w="3180" w:type="dxa"/>
            <w:tcBorders>
              <w:top w:val="nil"/>
              <w:left w:val="nil"/>
              <w:bottom w:val="nil"/>
              <w:right w:val="nil"/>
            </w:tcBorders>
            <w:shd w:val="clear" w:color="auto" w:fill="auto"/>
            <w:noWrap/>
            <w:vAlign w:val="bottom"/>
            <w:hideMark/>
          </w:tcPr>
          <w:p w14:paraId="56A297E7"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Purchases of investments</w:t>
            </w:r>
          </w:p>
        </w:tc>
        <w:tc>
          <w:tcPr>
            <w:tcW w:w="1080" w:type="dxa"/>
            <w:tcBorders>
              <w:top w:val="nil"/>
              <w:left w:val="nil"/>
              <w:bottom w:val="nil"/>
              <w:right w:val="nil"/>
            </w:tcBorders>
            <w:shd w:val="clear" w:color="auto" w:fill="auto"/>
            <w:noWrap/>
            <w:vAlign w:val="bottom"/>
            <w:hideMark/>
          </w:tcPr>
          <w:p w14:paraId="36AA5D5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(25,259)</w:t>
            </w:r>
          </w:p>
        </w:tc>
        <w:tc>
          <w:tcPr>
            <w:tcW w:w="100" w:type="dxa"/>
            <w:tcBorders>
              <w:top w:val="nil"/>
              <w:left w:val="nil"/>
              <w:bottom w:val="nil"/>
              <w:right w:val="nil"/>
            </w:tcBorders>
            <w:shd w:val="clear" w:color="auto" w:fill="auto"/>
            <w:noWrap/>
            <w:vAlign w:val="bottom"/>
            <w:hideMark/>
          </w:tcPr>
          <w:p w14:paraId="40CAFBE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62F13C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(23,473)</w:t>
            </w:r>
          </w:p>
        </w:tc>
        <w:tc>
          <w:tcPr>
            <w:tcW w:w="100" w:type="dxa"/>
            <w:tcBorders>
              <w:top w:val="nil"/>
              <w:left w:val="nil"/>
              <w:bottom w:val="nil"/>
              <w:right w:val="nil"/>
            </w:tcBorders>
            <w:shd w:val="clear" w:color="auto" w:fill="auto"/>
            <w:noWrap/>
            <w:vAlign w:val="bottom"/>
            <w:hideMark/>
          </w:tcPr>
          <w:p w14:paraId="171695F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8848C1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(98,729)</w:t>
            </w:r>
          </w:p>
        </w:tc>
        <w:tc>
          <w:tcPr>
            <w:tcW w:w="100" w:type="dxa"/>
            <w:tcBorders>
              <w:top w:val="nil"/>
              <w:left w:val="nil"/>
              <w:bottom w:val="nil"/>
              <w:right w:val="nil"/>
            </w:tcBorders>
            <w:shd w:val="clear" w:color="auto" w:fill="auto"/>
            <w:noWrap/>
            <w:vAlign w:val="bottom"/>
            <w:hideMark/>
          </w:tcPr>
          <w:p w14:paraId="6FFFE46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46EA92F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(72,690)</w:t>
            </w:r>
          </w:p>
        </w:tc>
      </w:tr>
      <w:tr w:rsidR="000C2E7E" w:rsidRPr="000C2E7E" w14:paraId="0650C8CE" w14:textId="77777777" w:rsidTr="000C2E7E">
        <w:trPr>
          <w:trHeight w:val="285"/>
        </w:trPr>
        <w:tc>
          <w:tcPr>
            <w:tcW w:w="3180" w:type="dxa"/>
            <w:tcBorders>
              <w:top w:val="nil"/>
              <w:left w:val="nil"/>
              <w:bottom w:val="nil"/>
              <w:right w:val="nil"/>
            </w:tcBorders>
            <w:shd w:val="clear" w:color="auto" w:fill="auto"/>
            <w:noWrap/>
            <w:vAlign w:val="bottom"/>
            <w:hideMark/>
          </w:tcPr>
          <w:p w14:paraId="339ED1AB"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Maturities of investments</w:t>
            </w:r>
          </w:p>
        </w:tc>
        <w:tc>
          <w:tcPr>
            <w:tcW w:w="1080" w:type="dxa"/>
            <w:tcBorders>
              <w:top w:val="nil"/>
              <w:left w:val="nil"/>
              <w:bottom w:val="nil"/>
              <w:right w:val="nil"/>
            </w:tcBorders>
            <w:shd w:val="clear" w:color="auto" w:fill="auto"/>
            <w:noWrap/>
            <w:vAlign w:val="bottom"/>
            <w:hideMark/>
          </w:tcPr>
          <w:p w14:paraId="6EDE603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5,370 </w:t>
            </w:r>
          </w:p>
        </w:tc>
        <w:tc>
          <w:tcPr>
            <w:tcW w:w="100" w:type="dxa"/>
            <w:tcBorders>
              <w:top w:val="nil"/>
              <w:left w:val="nil"/>
              <w:bottom w:val="nil"/>
              <w:right w:val="nil"/>
            </w:tcBorders>
            <w:shd w:val="clear" w:color="auto" w:fill="auto"/>
            <w:noWrap/>
            <w:vAlign w:val="bottom"/>
            <w:hideMark/>
          </w:tcPr>
          <w:p w14:paraId="641E08A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6F3FC7D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1,138 </w:t>
            </w:r>
          </w:p>
        </w:tc>
        <w:tc>
          <w:tcPr>
            <w:tcW w:w="100" w:type="dxa"/>
            <w:tcBorders>
              <w:top w:val="nil"/>
              <w:left w:val="nil"/>
              <w:bottom w:val="nil"/>
              <w:right w:val="nil"/>
            </w:tcBorders>
            <w:shd w:val="clear" w:color="auto" w:fill="auto"/>
            <w:noWrap/>
            <w:vAlign w:val="bottom"/>
            <w:hideMark/>
          </w:tcPr>
          <w:p w14:paraId="7CE33C2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487A07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15,013 </w:t>
            </w:r>
          </w:p>
        </w:tc>
        <w:tc>
          <w:tcPr>
            <w:tcW w:w="100" w:type="dxa"/>
            <w:tcBorders>
              <w:top w:val="nil"/>
              <w:left w:val="nil"/>
              <w:bottom w:val="nil"/>
              <w:right w:val="nil"/>
            </w:tcBorders>
            <w:shd w:val="clear" w:color="auto" w:fill="auto"/>
            <w:noWrap/>
            <w:vAlign w:val="bottom"/>
            <w:hideMark/>
          </w:tcPr>
          <w:p w14:paraId="522428F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50451C0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5,272 </w:t>
            </w:r>
          </w:p>
        </w:tc>
      </w:tr>
      <w:tr w:rsidR="000C2E7E" w:rsidRPr="000C2E7E" w14:paraId="3F3223AD" w14:textId="77777777" w:rsidTr="000C2E7E">
        <w:trPr>
          <w:trHeight w:val="285"/>
        </w:trPr>
        <w:tc>
          <w:tcPr>
            <w:tcW w:w="3180" w:type="dxa"/>
            <w:tcBorders>
              <w:top w:val="nil"/>
              <w:left w:val="nil"/>
              <w:bottom w:val="nil"/>
              <w:right w:val="nil"/>
            </w:tcBorders>
            <w:shd w:val="clear" w:color="auto" w:fill="auto"/>
            <w:noWrap/>
            <w:vAlign w:val="bottom"/>
            <w:hideMark/>
          </w:tcPr>
          <w:p w14:paraId="64344A45"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Sales of investments</w:t>
            </w:r>
          </w:p>
        </w:tc>
        <w:tc>
          <w:tcPr>
            <w:tcW w:w="1080" w:type="dxa"/>
            <w:tcBorders>
              <w:top w:val="nil"/>
              <w:left w:val="nil"/>
              <w:bottom w:val="nil"/>
              <w:right w:val="nil"/>
            </w:tcBorders>
            <w:shd w:val="clear" w:color="auto" w:fill="auto"/>
            <w:noWrap/>
            <w:vAlign w:val="bottom"/>
            <w:hideMark/>
          </w:tcPr>
          <w:p w14:paraId="4512253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17,232 </w:t>
            </w:r>
          </w:p>
        </w:tc>
        <w:tc>
          <w:tcPr>
            <w:tcW w:w="100" w:type="dxa"/>
            <w:tcBorders>
              <w:top w:val="nil"/>
              <w:left w:val="nil"/>
              <w:bottom w:val="nil"/>
              <w:right w:val="nil"/>
            </w:tcBorders>
            <w:shd w:val="clear" w:color="auto" w:fill="auto"/>
            <w:noWrap/>
            <w:vAlign w:val="bottom"/>
            <w:hideMark/>
          </w:tcPr>
          <w:p w14:paraId="6429806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272F9A5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20,617 </w:t>
            </w:r>
          </w:p>
        </w:tc>
        <w:tc>
          <w:tcPr>
            <w:tcW w:w="100" w:type="dxa"/>
            <w:tcBorders>
              <w:top w:val="nil"/>
              <w:left w:val="nil"/>
              <w:bottom w:val="nil"/>
              <w:right w:val="nil"/>
            </w:tcBorders>
            <w:shd w:val="clear" w:color="auto" w:fill="auto"/>
            <w:noWrap/>
            <w:vAlign w:val="bottom"/>
            <w:hideMark/>
          </w:tcPr>
          <w:p w14:paraId="68414B9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BFE5C2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70,848 </w:t>
            </w:r>
          </w:p>
        </w:tc>
        <w:tc>
          <w:tcPr>
            <w:tcW w:w="100" w:type="dxa"/>
            <w:tcBorders>
              <w:top w:val="nil"/>
              <w:left w:val="nil"/>
              <w:bottom w:val="nil"/>
              <w:right w:val="nil"/>
            </w:tcBorders>
            <w:shd w:val="clear" w:color="auto" w:fill="auto"/>
            <w:noWrap/>
            <w:vAlign w:val="bottom"/>
            <w:hideMark/>
          </w:tcPr>
          <w:p w14:paraId="58219AF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C42869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60,094 </w:t>
            </w:r>
          </w:p>
        </w:tc>
      </w:tr>
      <w:tr w:rsidR="000C2E7E" w:rsidRPr="000C2E7E" w14:paraId="2C4FE23D" w14:textId="77777777" w:rsidTr="000C2E7E">
        <w:trPr>
          <w:trHeight w:val="285"/>
        </w:trPr>
        <w:tc>
          <w:tcPr>
            <w:tcW w:w="3180" w:type="dxa"/>
            <w:tcBorders>
              <w:top w:val="nil"/>
              <w:left w:val="nil"/>
              <w:bottom w:val="single" w:sz="4" w:space="0" w:color="auto"/>
              <w:right w:val="nil"/>
            </w:tcBorders>
            <w:shd w:val="clear" w:color="auto" w:fill="auto"/>
            <w:noWrap/>
            <w:vAlign w:val="bottom"/>
            <w:hideMark/>
          </w:tcPr>
          <w:p w14:paraId="018F6F0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Securities lending payable</w:t>
            </w:r>
          </w:p>
        </w:tc>
        <w:tc>
          <w:tcPr>
            <w:tcW w:w="1080" w:type="dxa"/>
            <w:tcBorders>
              <w:top w:val="nil"/>
              <w:left w:val="nil"/>
              <w:bottom w:val="single" w:sz="4" w:space="0" w:color="auto"/>
              <w:right w:val="nil"/>
            </w:tcBorders>
            <w:shd w:val="clear" w:color="auto" w:fill="auto"/>
            <w:noWrap/>
            <w:vAlign w:val="bottom"/>
            <w:hideMark/>
          </w:tcPr>
          <w:p w14:paraId="76A233F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(3)</w:t>
            </w:r>
          </w:p>
        </w:tc>
        <w:tc>
          <w:tcPr>
            <w:tcW w:w="100" w:type="dxa"/>
            <w:tcBorders>
              <w:top w:val="nil"/>
              <w:left w:val="nil"/>
              <w:bottom w:val="nil"/>
              <w:right w:val="nil"/>
            </w:tcBorders>
            <w:shd w:val="clear" w:color="auto" w:fill="auto"/>
            <w:noWrap/>
            <w:vAlign w:val="bottom"/>
            <w:hideMark/>
          </w:tcPr>
          <w:p w14:paraId="47B0197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49CED3E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(236)</w:t>
            </w:r>
          </w:p>
        </w:tc>
        <w:tc>
          <w:tcPr>
            <w:tcW w:w="100" w:type="dxa"/>
            <w:tcBorders>
              <w:top w:val="nil"/>
              <w:left w:val="nil"/>
              <w:bottom w:val="nil"/>
              <w:right w:val="nil"/>
            </w:tcBorders>
            <w:shd w:val="clear" w:color="auto" w:fill="auto"/>
            <w:noWrap/>
            <w:vAlign w:val="bottom"/>
            <w:hideMark/>
          </w:tcPr>
          <w:p w14:paraId="1EA4630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2377745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(466)</w:t>
            </w:r>
          </w:p>
        </w:tc>
        <w:tc>
          <w:tcPr>
            <w:tcW w:w="100" w:type="dxa"/>
            <w:tcBorders>
              <w:top w:val="nil"/>
              <w:left w:val="nil"/>
              <w:bottom w:val="nil"/>
              <w:right w:val="nil"/>
            </w:tcBorders>
            <w:shd w:val="clear" w:color="auto" w:fill="auto"/>
            <w:noWrap/>
            <w:vAlign w:val="bottom"/>
            <w:hideMark/>
          </w:tcPr>
          <w:p w14:paraId="38B6BF9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55E0CE1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(87)</w:t>
            </w:r>
          </w:p>
        </w:tc>
      </w:tr>
      <w:tr w:rsidR="000C2E7E" w:rsidRPr="000C2E7E" w14:paraId="0E45DD92" w14:textId="77777777" w:rsidTr="000C2E7E">
        <w:trPr>
          <w:trHeight w:val="285"/>
        </w:trPr>
        <w:tc>
          <w:tcPr>
            <w:tcW w:w="3180" w:type="dxa"/>
            <w:tcBorders>
              <w:top w:val="nil"/>
              <w:left w:val="nil"/>
              <w:bottom w:val="single" w:sz="4" w:space="0" w:color="auto"/>
              <w:right w:val="nil"/>
            </w:tcBorders>
            <w:shd w:val="clear" w:color="auto" w:fill="auto"/>
            <w:vAlign w:val="bottom"/>
            <w:hideMark/>
          </w:tcPr>
          <w:p w14:paraId="0FA6FE6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Net cash used in investing</w:t>
            </w:r>
          </w:p>
        </w:tc>
        <w:tc>
          <w:tcPr>
            <w:tcW w:w="1080" w:type="dxa"/>
            <w:tcBorders>
              <w:top w:val="nil"/>
              <w:left w:val="nil"/>
              <w:bottom w:val="single" w:sz="4" w:space="0" w:color="auto"/>
              <w:right w:val="nil"/>
            </w:tcBorders>
            <w:shd w:val="clear" w:color="auto" w:fill="auto"/>
            <w:noWrap/>
            <w:vAlign w:val="bottom"/>
            <w:hideMark/>
          </w:tcPr>
          <w:p w14:paraId="147975E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(5,067)</w:t>
            </w:r>
          </w:p>
        </w:tc>
        <w:tc>
          <w:tcPr>
            <w:tcW w:w="100" w:type="dxa"/>
            <w:tcBorders>
              <w:top w:val="nil"/>
              <w:left w:val="nil"/>
              <w:bottom w:val="nil"/>
              <w:right w:val="nil"/>
            </w:tcBorders>
            <w:shd w:val="clear" w:color="auto" w:fill="auto"/>
            <w:noWrap/>
            <w:vAlign w:val="bottom"/>
            <w:hideMark/>
          </w:tcPr>
          <w:p w14:paraId="12ACEE4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0F3D8E4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(8,910)</w:t>
            </w:r>
          </w:p>
        </w:tc>
        <w:tc>
          <w:tcPr>
            <w:tcW w:w="100" w:type="dxa"/>
            <w:tcBorders>
              <w:top w:val="nil"/>
              <w:left w:val="nil"/>
              <w:bottom w:val="nil"/>
              <w:right w:val="nil"/>
            </w:tcBorders>
            <w:shd w:val="clear" w:color="auto" w:fill="auto"/>
            <w:noWrap/>
            <w:vAlign w:val="bottom"/>
            <w:hideMark/>
          </w:tcPr>
          <w:p w14:paraId="47872E8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280FCB0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(23,001)</w:t>
            </w:r>
          </w:p>
        </w:tc>
        <w:tc>
          <w:tcPr>
            <w:tcW w:w="100" w:type="dxa"/>
            <w:tcBorders>
              <w:top w:val="nil"/>
              <w:left w:val="nil"/>
              <w:bottom w:val="nil"/>
              <w:right w:val="nil"/>
            </w:tcBorders>
            <w:shd w:val="clear" w:color="auto" w:fill="auto"/>
            <w:noWrap/>
            <w:vAlign w:val="bottom"/>
            <w:hideMark/>
          </w:tcPr>
          <w:p w14:paraId="00EBAB6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6C1C21B4"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(18,833)</w:t>
            </w:r>
          </w:p>
        </w:tc>
      </w:tr>
      <w:tr w:rsidR="000C2E7E" w:rsidRPr="000C2E7E" w14:paraId="0AB458C6" w14:textId="77777777" w:rsidTr="000C2E7E">
        <w:trPr>
          <w:trHeight w:val="570"/>
        </w:trPr>
        <w:tc>
          <w:tcPr>
            <w:tcW w:w="3180" w:type="dxa"/>
            <w:tcBorders>
              <w:top w:val="nil"/>
              <w:left w:val="nil"/>
              <w:bottom w:val="single" w:sz="4" w:space="0" w:color="auto"/>
              <w:right w:val="nil"/>
            </w:tcBorders>
            <w:shd w:val="clear" w:color="auto" w:fill="auto"/>
            <w:vAlign w:val="bottom"/>
            <w:hideMark/>
          </w:tcPr>
          <w:p w14:paraId="2951EDB3"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Effect of exchange rates on cash</w:t>
            </w:r>
            <w:r w:rsidRPr="000C2E7E">
              <w:rPr>
                <w:rFonts w:ascii="Segoe UI" w:eastAsia="Times New Roman" w:hAnsi="Segoe UI" w:cs="Segoe UI"/>
                <w:color w:val="666666"/>
                <w:sz w:val="20"/>
                <w:szCs w:val="20"/>
              </w:rPr>
              <w:br/>
              <w:t xml:space="preserve">   and cash equivalents</w:t>
            </w:r>
          </w:p>
        </w:tc>
        <w:tc>
          <w:tcPr>
            <w:tcW w:w="1080" w:type="dxa"/>
            <w:tcBorders>
              <w:top w:val="nil"/>
              <w:left w:val="nil"/>
              <w:bottom w:val="single" w:sz="4" w:space="0" w:color="auto"/>
              <w:right w:val="nil"/>
            </w:tcBorders>
            <w:shd w:val="clear" w:color="auto" w:fill="auto"/>
            <w:noWrap/>
            <w:vAlign w:val="bottom"/>
            <w:hideMark/>
          </w:tcPr>
          <w:p w14:paraId="4718C6B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3 </w:t>
            </w:r>
          </w:p>
        </w:tc>
        <w:tc>
          <w:tcPr>
            <w:tcW w:w="100" w:type="dxa"/>
            <w:tcBorders>
              <w:top w:val="nil"/>
              <w:left w:val="nil"/>
              <w:bottom w:val="nil"/>
              <w:right w:val="nil"/>
            </w:tcBorders>
            <w:shd w:val="clear" w:color="auto" w:fill="auto"/>
            <w:noWrap/>
            <w:vAlign w:val="bottom"/>
            <w:hideMark/>
          </w:tcPr>
          <w:p w14:paraId="1C8B45E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26055AF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(198)</w:t>
            </w:r>
          </w:p>
        </w:tc>
        <w:tc>
          <w:tcPr>
            <w:tcW w:w="100" w:type="dxa"/>
            <w:tcBorders>
              <w:top w:val="nil"/>
              <w:left w:val="nil"/>
              <w:bottom w:val="nil"/>
              <w:right w:val="nil"/>
            </w:tcBorders>
            <w:shd w:val="clear" w:color="auto" w:fill="auto"/>
            <w:noWrap/>
            <w:vAlign w:val="bottom"/>
            <w:hideMark/>
          </w:tcPr>
          <w:p w14:paraId="367FFB2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66D36BF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(73)</w:t>
            </w:r>
          </w:p>
        </w:tc>
        <w:tc>
          <w:tcPr>
            <w:tcW w:w="100" w:type="dxa"/>
            <w:tcBorders>
              <w:top w:val="nil"/>
              <w:left w:val="nil"/>
              <w:bottom w:val="nil"/>
              <w:right w:val="nil"/>
            </w:tcBorders>
            <w:shd w:val="clear" w:color="auto" w:fill="auto"/>
            <w:noWrap/>
            <w:vAlign w:val="bottom"/>
            <w:hideMark/>
          </w:tcPr>
          <w:p w14:paraId="57E30B7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3C3CFCA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(139)</w:t>
            </w:r>
          </w:p>
        </w:tc>
      </w:tr>
      <w:tr w:rsidR="000C2E7E" w:rsidRPr="000C2E7E" w14:paraId="269C2AA5" w14:textId="77777777" w:rsidTr="000C2E7E">
        <w:trPr>
          <w:trHeight w:val="570"/>
        </w:trPr>
        <w:tc>
          <w:tcPr>
            <w:tcW w:w="3180" w:type="dxa"/>
            <w:tcBorders>
              <w:top w:val="nil"/>
              <w:left w:val="nil"/>
              <w:bottom w:val="nil"/>
              <w:right w:val="nil"/>
            </w:tcBorders>
            <w:shd w:val="clear" w:color="auto" w:fill="auto"/>
            <w:vAlign w:val="bottom"/>
            <w:hideMark/>
          </w:tcPr>
          <w:p w14:paraId="43BE64D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Net change in cash and cash</w:t>
            </w:r>
            <w:r w:rsidRPr="000C2E7E">
              <w:rPr>
                <w:rFonts w:ascii="Segoe UI" w:eastAsia="Times New Roman" w:hAnsi="Segoe UI" w:cs="Segoe UI"/>
                <w:color w:val="666666"/>
                <w:sz w:val="20"/>
                <w:szCs w:val="20"/>
              </w:rPr>
              <w:br/>
              <w:t xml:space="preserve">   equivalents</w:t>
            </w:r>
          </w:p>
        </w:tc>
        <w:tc>
          <w:tcPr>
            <w:tcW w:w="1080" w:type="dxa"/>
            <w:tcBorders>
              <w:top w:val="nil"/>
              <w:left w:val="nil"/>
              <w:bottom w:val="nil"/>
              <w:right w:val="nil"/>
            </w:tcBorders>
            <w:shd w:val="clear" w:color="auto" w:fill="auto"/>
            <w:noWrap/>
            <w:vAlign w:val="bottom"/>
            <w:hideMark/>
          </w:tcPr>
          <w:p w14:paraId="7A2E8B4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(1,819)</w:t>
            </w:r>
          </w:p>
        </w:tc>
        <w:tc>
          <w:tcPr>
            <w:tcW w:w="100" w:type="dxa"/>
            <w:tcBorders>
              <w:top w:val="nil"/>
              <w:left w:val="nil"/>
              <w:bottom w:val="nil"/>
              <w:right w:val="nil"/>
            </w:tcBorders>
            <w:shd w:val="clear" w:color="auto" w:fill="auto"/>
            <w:noWrap/>
            <w:vAlign w:val="bottom"/>
            <w:hideMark/>
          </w:tcPr>
          <w:p w14:paraId="66A2FFF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164244E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(2,903)</w:t>
            </w:r>
          </w:p>
        </w:tc>
        <w:tc>
          <w:tcPr>
            <w:tcW w:w="100" w:type="dxa"/>
            <w:tcBorders>
              <w:top w:val="nil"/>
              <w:left w:val="nil"/>
              <w:bottom w:val="nil"/>
              <w:right w:val="nil"/>
            </w:tcBorders>
            <w:shd w:val="clear" w:color="auto" w:fill="auto"/>
            <w:noWrap/>
            <w:vAlign w:val="bottom"/>
            <w:hideMark/>
          </w:tcPr>
          <w:p w14:paraId="075B19A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CF4088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(3,074)</w:t>
            </w:r>
          </w:p>
        </w:tc>
        <w:tc>
          <w:tcPr>
            <w:tcW w:w="100" w:type="dxa"/>
            <w:tcBorders>
              <w:top w:val="nil"/>
              <w:left w:val="nil"/>
              <w:bottom w:val="nil"/>
              <w:right w:val="nil"/>
            </w:tcBorders>
            <w:shd w:val="clear" w:color="auto" w:fill="auto"/>
            <w:noWrap/>
            <w:vAlign w:val="bottom"/>
            <w:hideMark/>
          </w:tcPr>
          <w:p w14:paraId="48F86D0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nil"/>
              <w:right w:val="nil"/>
            </w:tcBorders>
            <w:shd w:val="clear" w:color="auto" w:fill="auto"/>
            <w:noWrap/>
            <w:vAlign w:val="bottom"/>
            <w:hideMark/>
          </w:tcPr>
          <w:p w14:paraId="7D7C5A2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4,865 </w:t>
            </w:r>
          </w:p>
        </w:tc>
      </w:tr>
      <w:tr w:rsidR="000C2E7E" w:rsidRPr="000C2E7E" w14:paraId="477A425C" w14:textId="77777777" w:rsidTr="000C2E7E">
        <w:trPr>
          <w:trHeight w:val="570"/>
        </w:trPr>
        <w:tc>
          <w:tcPr>
            <w:tcW w:w="3180" w:type="dxa"/>
            <w:tcBorders>
              <w:top w:val="nil"/>
              <w:left w:val="nil"/>
              <w:bottom w:val="single" w:sz="4" w:space="0" w:color="auto"/>
              <w:right w:val="nil"/>
            </w:tcBorders>
            <w:shd w:val="clear" w:color="auto" w:fill="auto"/>
            <w:vAlign w:val="bottom"/>
            <w:hideMark/>
          </w:tcPr>
          <w:p w14:paraId="501CBBB4"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Cash and cash equivalents,</w:t>
            </w:r>
            <w:r w:rsidRPr="000C2E7E">
              <w:rPr>
                <w:rFonts w:ascii="Segoe UI" w:eastAsia="Times New Roman" w:hAnsi="Segoe UI" w:cs="Segoe UI"/>
                <w:color w:val="666666"/>
                <w:sz w:val="20"/>
                <w:szCs w:val="20"/>
              </w:rPr>
              <w:br/>
              <w:t xml:space="preserve">   beginning of period</w:t>
            </w:r>
          </w:p>
        </w:tc>
        <w:tc>
          <w:tcPr>
            <w:tcW w:w="1080" w:type="dxa"/>
            <w:tcBorders>
              <w:top w:val="nil"/>
              <w:left w:val="nil"/>
              <w:bottom w:val="single" w:sz="4" w:space="0" w:color="auto"/>
              <w:right w:val="nil"/>
            </w:tcBorders>
            <w:shd w:val="clear" w:color="auto" w:fill="auto"/>
            <w:noWrap/>
            <w:vAlign w:val="bottom"/>
            <w:hideMark/>
          </w:tcPr>
          <w:p w14:paraId="7959D85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7,414 </w:t>
            </w:r>
          </w:p>
        </w:tc>
        <w:tc>
          <w:tcPr>
            <w:tcW w:w="100" w:type="dxa"/>
            <w:tcBorders>
              <w:top w:val="nil"/>
              <w:left w:val="nil"/>
              <w:bottom w:val="nil"/>
              <w:right w:val="nil"/>
            </w:tcBorders>
            <w:shd w:val="clear" w:color="auto" w:fill="auto"/>
            <w:noWrap/>
            <w:vAlign w:val="bottom"/>
            <w:hideMark/>
          </w:tcPr>
          <w:p w14:paraId="06CD1CF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05DCA20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11,572 </w:t>
            </w:r>
          </w:p>
        </w:tc>
        <w:tc>
          <w:tcPr>
            <w:tcW w:w="100" w:type="dxa"/>
            <w:tcBorders>
              <w:top w:val="nil"/>
              <w:left w:val="nil"/>
              <w:bottom w:val="nil"/>
              <w:right w:val="nil"/>
            </w:tcBorders>
            <w:shd w:val="clear" w:color="auto" w:fill="auto"/>
            <w:noWrap/>
            <w:vAlign w:val="bottom"/>
            <w:hideMark/>
          </w:tcPr>
          <w:p w14:paraId="7C406A7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4" w:space="0" w:color="auto"/>
              <w:right w:val="nil"/>
            </w:tcBorders>
            <w:shd w:val="clear" w:color="auto" w:fill="auto"/>
            <w:noWrap/>
            <w:vAlign w:val="bottom"/>
            <w:hideMark/>
          </w:tcPr>
          <w:p w14:paraId="4E40359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8,669 </w:t>
            </w:r>
          </w:p>
        </w:tc>
        <w:tc>
          <w:tcPr>
            <w:tcW w:w="100" w:type="dxa"/>
            <w:tcBorders>
              <w:top w:val="nil"/>
              <w:left w:val="nil"/>
              <w:bottom w:val="nil"/>
              <w:right w:val="nil"/>
            </w:tcBorders>
            <w:shd w:val="clear" w:color="auto" w:fill="auto"/>
            <w:noWrap/>
            <w:vAlign w:val="bottom"/>
            <w:hideMark/>
          </w:tcPr>
          <w:p w14:paraId="1055834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4" w:space="0" w:color="auto"/>
              <w:right w:val="nil"/>
            </w:tcBorders>
            <w:shd w:val="clear" w:color="auto" w:fill="auto"/>
            <w:noWrap/>
            <w:vAlign w:val="bottom"/>
            <w:hideMark/>
          </w:tcPr>
          <w:p w14:paraId="3B9B14D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3,804 </w:t>
            </w:r>
          </w:p>
        </w:tc>
      </w:tr>
      <w:tr w:rsidR="000C2E7E" w:rsidRPr="000C2E7E" w14:paraId="29613F48" w14:textId="77777777" w:rsidTr="000C2E7E">
        <w:trPr>
          <w:trHeight w:val="570"/>
        </w:trPr>
        <w:tc>
          <w:tcPr>
            <w:tcW w:w="3180" w:type="dxa"/>
            <w:tcBorders>
              <w:top w:val="nil"/>
              <w:left w:val="nil"/>
              <w:bottom w:val="nil"/>
              <w:right w:val="nil"/>
            </w:tcBorders>
            <w:shd w:val="clear" w:color="auto" w:fill="auto"/>
            <w:vAlign w:val="bottom"/>
            <w:hideMark/>
          </w:tcPr>
          <w:p w14:paraId="3850923F"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Cash and cash equivalents, end of</w:t>
            </w:r>
            <w:r w:rsidRPr="000C2E7E">
              <w:rPr>
                <w:rFonts w:ascii="Segoe UI" w:eastAsia="Times New Roman" w:hAnsi="Segoe UI" w:cs="Segoe UI"/>
                <w:color w:val="666666"/>
                <w:sz w:val="20"/>
                <w:szCs w:val="20"/>
              </w:rPr>
              <w:br/>
              <w:t xml:space="preserve">   period</w:t>
            </w:r>
          </w:p>
        </w:tc>
        <w:tc>
          <w:tcPr>
            <w:tcW w:w="1080" w:type="dxa"/>
            <w:tcBorders>
              <w:top w:val="nil"/>
              <w:left w:val="nil"/>
              <w:bottom w:val="single" w:sz="8" w:space="0" w:color="auto"/>
              <w:right w:val="nil"/>
            </w:tcBorders>
            <w:shd w:val="clear" w:color="auto" w:fill="auto"/>
            <w:noWrap/>
            <w:vAlign w:val="bottom"/>
            <w:hideMark/>
          </w:tcPr>
          <w:p w14:paraId="0607580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5,595 </w:t>
            </w:r>
          </w:p>
        </w:tc>
        <w:tc>
          <w:tcPr>
            <w:tcW w:w="100" w:type="dxa"/>
            <w:tcBorders>
              <w:top w:val="nil"/>
              <w:left w:val="nil"/>
              <w:bottom w:val="nil"/>
              <w:right w:val="nil"/>
            </w:tcBorders>
            <w:shd w:val="clear" w:color="auto" w:fill="auto"/>
            <w:noWrap/>
            <w:vAlign w:val="bottom"/>
            <w:hideMark/>
          </w:tcPr>
          <w:p w14:paraId="62C8AF8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4803981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8,669 </w:t>
            </w:r>
          </w:p>
        </w:tc>
        <w:tc>
          <w:tcPr>
            <w:tcW w:w="100" w:type="dxa"/>
            <w:tcBorders>
              <w:top w:val="nil"/>
              <w:left w:val="nil"/>
              <w:bottom w:val="nil"/>
              <w:right w:val="nil"/>
            </w:tcBorders>
            <w:shd w:val="clear" w:color="auto" w:fill="auto"/>
            <w:noWrap/>
            <w:vAlign w:val="bottom"/>
            <w:hideMark/>
          </w:tcPr>
          <w:p w14:paraId="4CEEFC2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single" w:sz="8" w:space="0" w:color="auto"/>
              <w:right w:val="nil"/>
            </w:tcBorders>
            <w:shd w:val="clear" w:color="auto" w:fill="auto"/>
            <w:noWrap/>
            <w:vAlign w:val="bottom"/>
            <w:hideMark/>
          </w:tcPr>
          <w:p w14:paraId="074C54C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5,595 </w:t>
            </w:r>
          </w:p>
        </w:tc>
        <w:tc>
          <w:tcPr>
            <w:tcW w:w="100" w:type="dxa"/>
            <w:tcBorders>
              <w:top w:val="nil"/>
              <w:left w:val="nil"/>
              <w:bottom w:val="nil"/>
              <w:right w:val="nil"/>
            </w:tcBorders>
            <w:shd w:val="clear" w:color="auto" w:fill="auto"/>
            <w:noWrap/>
            <w:vAlign w:val="bottom"/>
            <w:hideMark/>
          </w:tcPr>
          <w:p w14:paraId="165D7D1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p>
        </w:tc>
        <w:tc>
          <w:tcPr>
            <w:tcW w:w="920" w:type="dxa"/>
            <w:tcBorders>
              <w:top w:val="nil"/>
              <w:left w:val="nil"/>
              <w:bottom w:val="single" w:sz="8" w:space="0" w:color="auto"/>
              <w:right w:val="nil"/>
            </w:tcBorders>
            <w:shd w:val="clear" w:color="auto" w:fill="auto"/>
            <w:noWrap/>
            <w:vAlign w:val="bottom"/>
            <w:hideMark/>
          </w:tcPr>
          <w:p w14:paraId="1B94753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8,669 </w:t>
            </w:r>
          </w:p>
        </w:tc>
      </w:tr>
    </w:tbl>
    <w:p w14:paraId="3F1EDA0C" w14:textId="77777777" w:rsidR="000C2E7E" w:rsidRDefault="000C2E7E" w:rsidP="00EA786C">
      <w:pPr>
        <w:pStyle w:val="NoSpacing"/>
        <w:spacing w:after="200" w:line="280" w:lineRule="exact"/>
        <w:rPr>
          <w:rFonts w:ascii="Segoe UI" w:hAnsi="Segoe UI" w:cs="Segoe UI"/>
          <w:color w:val="666666"/>
          <w:sz w:val="20"/>
          <w:szCs w:val="20"/>
        </w:rPr>
      </w:pPr>
    </w:p>
    <w:p w14:paraId="1D9FD7D4" w14:textId="77777777" w:rsidR="000C2E7E" w:rsidRDefault="000C2E7E" w:rsidP="00EA786C">
      <w:pPr>
        <w:pStyle w:val="NoSpacing"/>
        <w:spacing w:after="200" w:line="280" w:lineRule="exact"/>
        <w:rPr>
          <w:rFonts w:ascii="Segoe UI" w:hAnsi="Segoe UI" w:cs="Segoe UI"/>
          <w:color w:val="666666"/>
          <w:sz w:val="20"/>
          <w:szCs w:val="20"/>
        </w:rPr>
      </w:pPr>
    </w:p>
    <w:p w14:paraId="18278ED9" w14:textId="77777777" w:rsidR="000C2E7E" w:rsidRDefault="000C2E7E" w:rsidP="00EA786C">
      <w:pPr>
        <w:pStyle w:val="NoSpacing"/>
        <w:spacing w:after="200" w:line="280" w:lineRule="exact"/>
        <w:rPr>
          <w:rFonts w:ascii="Segoe UI" w:hAnsi="Segoe UI" w:cs="Segoe UI"/>
          <w:color w:val="666666"/>
          <w:sz w:val="20"/>
          <w:szCs w:val="20"/>
        </w:rPr>
      </w:pPr>
    </w:p>
    <w:p w14:paraId="409FE277" w14:textId="77777777" w:rsidR="000C2E7E" w:rsidRDefault="000C2E7E" w:rsidP="00EA786C">
      <w:pPr>
        <w:pStyle w:val="NoSpacing"/>
        <w:spacing w:after="200" w:line="280" w:lineRule="exact"/>
        <w:rPr>
          <w:rFonts w:ascii="Segoe UI" w:hAnsi="Segoe UI" w:cs="Segoe UI"/>
          <w:color w:val="666666"/>
          <w:sz w:val="20"/>
          <w:szCs w:val="20"/>
        </w:rPr>
      </w:pPr>
    </w:p>
    <w:p w14:paraId="50BFBB95" w14:textId="77777777" w:rsidR="000C2E7E" w:rsidRDefault="000C2E7E" w:rsidP="00EA786C">
      <w:pPr>
        <w:pStyle w:val="NoSpacing"/>
        <w:spacing w:after="200" w:line="280" w:lineRule="exact"/>
        <w:rPr>
          <w:rFonts w:ascii="Segoe UI" w:hAnsi="Segoe UI" w:cs="Segoe UI"/>
          <w:color w:val="666666"/>
          <w:sz w:val="20"/>
          <w:szCs w:val="20"/>
        </w:rPr>
      </w:pPr>
    </w:p>
    <w:p w14:paraId="4C54E565" w14:textId="77777777" w:rsidR="000C2E7E" w:rsidRDefault="000C2E7E" w:rsidP="00EA786C">
      <w:pPr>
        <w:pStyle w:val="NoSpacing"/>
        <w:spacing w:after="200" w:line="280" w:lineRule="exact"/>
        <w:rPr>
          <w:rFonts w:ascii="Segoe UI" w:hAnsi="Segoe UI" w:cs="Segoe UI"/>
          <w:color w:val="666666"/>
          <w:sz w:val="20"/>
          <w:szCs w:val="20"/>
        </w:rPr>
      </w:pPr>
    </w:p>
    <w:p w14:paraId="6FF13A31" w14:textId="77777777" w:rsidR="000C2E7E" w:rsidRDefault="000C2E7E" w:rsidP="00EA786C">
      <w:pPr>
        <w:pStyle w:val="NoSpacing"/>
        <w:spacing w:after="200" w:line="280" w:lineRule="exact"/>
        <w:rPr>
          <w:rFonts w:ascii="Segoe UI" w:hAnsi="Segoe UI" w:cs="Segoe UI"/>
          <w:color w:val="666666"/>
          <w:sz w:val="20"/>
          <w:szCs w:val="20"/>
        </w:rPr>
      </w:pPr>
    </w:p>
    <w:p w14:paraId="1452563A" w14:textId="77777777" w:rsidR="000C2E7E" w:rsidRDefault="000C2E7E" w:rsidP="00EA786C">
      <w:pPr>
        <w:pStyle w:val="NoSpacing"/>
        <w:spacing w:after="200" w:line="280" w:lineRule="exact"/>
        <w:rPr>
          <w:rFonts w:ascii="Segoe UI" w:hAnsi="Segoe UI" w:cs="Segoe UI"/>
          <w:color w:val="666666"/>
          <w:sz w:val="20"/>
          <w:szCs w:val="20"/>
        </w:rPr>
      </w:pPr>
    </w:p>
    <w:p w14:paraId="35C29C41" w14:textId="77777777" w:rsidR="000C2E7E" w:rsidRDefault="000C2E7E" w:rsidP="00EA786C">
      <w:pPr>
        <w:pStyle w:val="NoSpacing"/>
        <w:spacing w:after="200" w:line="280" w:lineRule="exact"/>
        <w:rPr>
          <w:rFonts w:ascii="Segoe UI" w:hAnsi="Segoe UI" w:cs="Segoe UI"/>
          <w:color w:val="666666"/>
          <w:sz w:val="20"/>
          <w:szCs w:val="20"/>
        </w:rPr>
      </w:pPr>
    </w:p>
    <w:p w14:paraId="05F13166" w14:textId="77777777" w:rsidR="000C2E7E" w:rsidRDefault="000C2E7E" w:rsidP="00EA786C">
      <w:pPr>
        <w:pStyle w:val="NoSpacing"/>
        <w:spacing w:after="200" w:line="280" w:lineRule="exact"/>
        <w:rPr>
          <w:rFonts w:ascii="Segoe UI" w:hAnsi="Segoe UI" w:cs="Segoe UI"/>
          <w:color w:val="666666"/>
          <w:sz w:val="20"/>
          <w:szCs w:val="20"/>
        </w:rPr>
      </w:pPr>
    </w:p>
    <w:p w14:paraId="1100C9FC" w14:textId="77777777" w:rsidR="000C2E7E" w:rsidRDefault="000C2E7E" w:rsidP="00EA786C">
      <w:pPr>
        <w:pStyle w:val="NoSpacing"/>
        <w:spacing w:after="200" w:line="280" w:lineRule="exact"/>
        <w:rPr>
          <w:rFonts w:ascii="Segoe UI" w:hAnsi="Segoe UI" w:cs="Segoe UI"/>
          <w:color w:val="666666"/>
          <w:sz w:val="20"/>
          <w:szCs w:val="20"/>
        </w:rPr>
      </w:pPr>
    </w:p>
    <w:p w14:paraId="6651774D" w14:textId="77777777" w:rsidR="000C2E7E" w:rsidRDefault="000C2E7E" w:rsidP="00EA786C">
      <w:pPr>
        <w:pStyle w:val="NoSpacing"/>
        <w:spacing w:after="200" w:line="280" w:lineRule="exact"/>
        <w:rPr>
          <w:rFonts w:ascii="Segoe UI" w:hAnsi="Segoe UI" w:cs="Segoe UI"/>
          <w:color w:val="666666"/>
          <w:sz w:val="20"/>
          <w:szCs w:val="20"/>
        </w:rPr>
      </w:pPr>
    </w:p>
    <w:p w14:paraId="5E5AABFF" w14:textId="77777777" w:rsidR="000C2E7E" w:rsidRDefault="000C2E7E" w:rsidP="00EA786C">
      <w:pPr>
        <w:pStyle w:val="NoSpacing"/>
        <w:spacing w:after="200" w:line="280" w:lineRule="exact"/>
        <w:rPr>
          <w:rFonts w:ascii="Segoe UI" w:hAnsi="Segoe UI" w:cs="Segoe UI"/>
          <w:color w:val="666666"/>
          <w:sz w:val="20"/>
          <w:szCs w:val="20"/>
        </w:rPr>
      </w:pPr>
    </w:p>
    <w:p w14:paraId="57854C79" w14:textId="77777777" w:rsidR="000C2E7E" w:rsidRDefault="000C2E7E" w:rsidP="00EA786C">
      <w:pPr>
        <w:pStyle w:val="NoSpacing"/>
        <w:spacing w:after="200" w:line="280" w:lineRule="exact"/>
        <w:rPr>
          <w:rFonts w:ascii="Segoe UI" w:hAnsi="Segoe UI" w:cs="Segoe UI"/>
          <w:color w:val="666666"/>
          <w:sz w:val="20"/>
          <w:szCs w:val="20"/>
        </w:rPr>
      </w:pPr>
    </w:p>
    <w:p w14:paraId="2FD39AF2" w14:textId="77777777" w:rsidR="000C2E7E" w:rsidRDefault="000C2E7E" w:rsidP="00EA786C">
      <w:pPr>
        <w:pStyle w:val="NoSpacing"/>
        <w:spacing w:after="200" w:line="280" w:lineRule="exact"/>
        <w:rPr>
          <w:rFonts w:ascii="Segoe UI" w:hAnsi="Segoe UI" w:cs="Segoe UI"/>
          <w:color w:val="666666"/>
          <w:sz w:val="20"/>
          <w:szCs w:val="20"/>
        </w:rPr>
      </w:pPr>
    </w:p>
    <w:p w14:paraId="63EBF959" w14:textId="77777777" w:rsidR="000C2E7E" w:rsidRDefault="000C2E7E" w:rsidP="00EA786C">
      <w:pPr>
        <w:pStyle w:val="NoSpacing"/>
        <w:spacing w:after="200" w:line="280" w:lineRule="exact"/>
        <w:rPr>
          <w:rFonts w:ascii="Segoe UI" w:hAnsi="Segoe UI" w:cs="Segoe UI"/>
          <w:color w:val="666666"/>
          <w:sz w:val="20"/>
          <w:szCs w:val="20"/>
        </w:rPr>
      </w:pPr>
    </w:p>
    <w:p w14:paraId="6EC9B773" w14:textId="77777777" w:rsidR="000C2E7E" w:rsidRDefault="000C2E7E" w:rsidP="00EA786C">
      <w:pPr>
        <w:pStyle w:val="NoSpacing"/>
        <w:spacing w:after="200" w:line="280" w:lineRule="exact"/>
        <w:rPr>
          <w:rFonts w:ascii="Segoe UI" w:hAnsi="Segoe UI" w:cs="Segoe UI"/>
          <w:color w:val="666666"/>
          <w:sz w:val="20"/>
          <w:szCs w:val="20"/>
        </w:rPr>
      </w:pPr>
    </w:p>
    <w:p w14:paraId="4B8FBB1A" w14:textId="77777777" w:rsidR="000C2E7E" w:rsidRDefault="000C2E7E" w:rsidP="00EA786C">
      <w:pPr>
        <w:pStyle w:val="NoSpacing"/>
        <w:spacing w:after="200" w:line="280" w:lineRule="exact"/>
        <w:rPr>
          <w:rFonts w:ascii="Segoe UI" w:hAnsi="Segoe UI" w:cs="Segoe UI"/>
          <w:color w:val="666666"/>
          <w:sz w:val="20"/>
          <w:szCs w:val="20"/>
        </w:rPr>
      </w:pPr>
    </w:p>
    <w:p w14:paraId="6409A5E4" w14:textId="77777777" w:rsidR="000C2E7E" w:rsidRDefault="000C2E7E" w:rsidP="00EA786C">
      <w:pPr>
        <w:pStyle w:val="NoSpacing"/>
        <w:spacing w:after="200" w:line="280" w:lineRule="exact"/>
        <w:rPr>
          <w:rFonts w:ascii="Segoe UI" w:hAnsi="Segoe UI" w:cs="Segoe UI"/>
          <w:color w:val="666666"/>
          <w:sz w:val="20"/>
          <w:szCs w:val="20"/>
        </w:rPr>
      </w:pPr>
    </w:p>
    <w:p w14:paraId="612E06AD" w14:textId="77777777" w:rsidR="000C2E7E" w:rsidRDefault="000C2E7E" w:rsidP="00EA786C">
      <w:pPr>
        <w:pStyle w:val="NoSpacing"/>
        <w:spacing w:after="200" w:line="280" w:lineRule="exact"/>
        <w:rPr>
          <w:rFonts w:ascii="Segoe UI" w:hAnsi="Segoe UI" w:cs="Segoe UI"/>
          <w:color w:val="666666"/>
          <w:sz w:val="20"/>
          <w:szCs w:val="20"/>
        </w:rPr>
      </w:pPr>
    </w:p>
    <w:p w14:paraId="3DC2F570" w14:textId="77777777" w:rsidR="000C2E7E" w:rsidRDefault="000C2E7E" w:rsidP="00EA786C">
      <w:pPr>
        <w:pStyle w:val="NoSpacing"/>
        <w:spacing w:after="200" w:line="280" w:lineRule="exact"/>
        <w:rPr>
          <w:rFonts w:ascii="Segoe UI" w:hAnsi="Segoe UI" w:cs="Segoe UI"/>
          <w:color w:val="666666"/>
          <w:sz w:val="20"/>
          <w:szCs w:val="20"/>
        </w:rPr>
      </w:pPr>
    </w:p>
    <w:p w14:paraId="7B4E9450" w14:textId="77777777" w:rsidR="000C2E7E" w:rsidRDefault="000C2E7E" w:rsidP="00EA786C">
      <w:pPr>
        <w:pStyle w:val="NoSpacing"/>
        <w:spacing w:after="200" w:line="280" w:lineRule="exact"/>
        <w:rPr>
          <w:rFonts w:ascii="Segoe UI" w:hAnsi="Segoe UI" w:cs="Segoe UI"/>
          <w:color w:val="666666"/>
          <w:sz w:val="20"/>
          <w:szCs w:val="20"/>
        </w:rPr>
      </w:pPr>
    </w:p>
    <w:p w14:paraId="6830A523" w14:textId="77777777" w:rsidR="000C2E7E" w:rsidRDefault="000C2E7E" w:rsidP="00EA786C">
      <w:pPr>
        <w:pStyle w:val="NoSpacing"/>
        <w:spacing w:after="200" w:line="280" w:lineRule="exact"/>
        <w:rPr>
          <w:rFonts w:ascii="Segoe UI" w:hAnsi="Segoe UI" w:cs="Segoe UI"/>
          <w:color w:val="666666"/>
          <w:sz w:val="20"/>
          <w:szCs w:val="20"/>
        </w:rPr>
      </w:pPr>
    </w:p>
    <w:tbl>
      <w:tblPr>
        <w:tblW w:w="7540" w:type="dxa"/>
        <w:tblCellMar>
          <w:left w:w="0" w:type="dxa"/>
          <w:right w:w="0" w:type="dxa"/>
        </w:tblCellMar>
        <w:tblLook w:val="04A0" w:firstRow="1" w:lastRow="0" w:firstColumn="1" w:lastColumn="0" w:noHBand="0" w:noVBand="1"/>
      </w:tblPr>
      <w:tblGrid>
        <w:gridCol w:w="3096"/>
        <w:gridCol w:w="1096"/>
        <w:gridCol w:w="196"/>
        <w:gridCol w:w="936"/>
        <w:gridCol w:w="116"/>
        <w:gridCol w:w="1096"/>
        <w:gridCol w:w="196"/>
        <w:gridCol w:w="936"/>
      </w:tblGrid>
      <w:tr w:rsidR="000C2E7E" w:rsidRPr="000C2E7E" w14:paraId="5D2DF779" w14:textId="77777777" w:rsidTr="000C2E7E">
        <w:trPr>
          <w:trHeight w:val="285"/>
        </w:trPr>
        <w:tc>
          <w:tcPr>
            <w:tcW w:w="3080" w:type="dxa"/>
            <w:tcBorders>
              <w:top w:val="nil"/>
              <w:left w:val="nil"/>
              <w:bottom w:val="nil"/>
              <w:right w:val="nil"/>
            </w:tcBorders>
            <w:shd w:val="clear" w:color="000000" w:fill="FFFFFF"/>
            <w:noWrap/>
            <w:vAlign w:val="bottom"/>
            <w:hideMark/>
          </w:tcPr>
          <w:p w14:paraId="4FD60794"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MICROSOFT CORPORATION</w:t>
            </w:r>
          </w:p>
        </w:tc>
        <w:tc>
          <w:tcPr>
            <w:tcW w:w="1080" w:type="dxa"/>
            <w:tcBorders>
              <w:top w:val="nil"/>
              <w:left w:val="nil"/>
              <w:bottom w:val="nil"/>
              <w:right w:val="nil"/>
            </w:tcBorders>
            <w:shd w:val="clear" w:color="000000" w:fill="FFFFFF"/>
            <w:noWrap/>
            <w:vAlign w:val="bottom"/>
            <w:hideMark/>
          </w:tcPr>
          <w:p w14:paraId="60ED89B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80" w:type="dxa"/>
            <w:tcBorders>
              <w:top w:val="nil"/>
              <w:left w:val="nil"/>
              <w:bottom w:val="nil"/>
              <w:right w:val="nil"/>
            </w:tcBorders>
            <w:shd w:val="clear" w:color="000000" w:fill="FFFFFF"/>
            <w:noWrap/>
            <w:vAlign w:val="bottom"/>
            <w:hideMark/>
          </w:tcPr>
          <w:p w14:paraId="13C80560"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920" w:type="dxa"/>
            <w:tcBorders>
              <w:top w:val="nil"/>
              <w:left w:val="nil"/>
              <w:bottom w:val="nil"/>
              <w:right w:val="nil"/>
            </w:tcBorders>
            <w:shd w:val="clear" w:color="000000" w:fill="FFFFFF"/>
            <w:noWrap/>
            <w:vAlign w:val="bottom"/>
            <w:hideMark/>
          </w:tcPr>
          <w:p w14:paraId="7B82DE9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66A1E87F"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6C613F6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80" w:type="dxa"/>
            <w:tcBorders>
              <w:top w:val="nil"/>
              <w:left w:val="nil"/>
              <w:bottom w:val="nil"/>
              <w:right w:val="nil"/>
            </w:tcBorders>
            <w:shd w:val="clear" w:color="000000" w:fill="FFFFFF"/>
            <w:noWrap/>
            <w:vAlign w:val="bottom"/>
            <w:hideMark/>
          </w:tcPr>
          <w:p w14:paraId="69CA488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920" w:type="dxa"/>
            <w:tcBorders>
              <w:top w:val="nil"/>
              <w:left w:val="nil"/>
              <w:bottom w:val="nil"/>
              <w:right w:val="nil"/>
            </w:tcBorders>
            <w:shd w:val="clear" w:color="000000" w:fill="FFFFFF"/>
            <w:noWrap/>
            <w:vAlign w:val="bottom"/>
            <w:hideMark/>
          </w:tcPr>
          <w:p w14:paraId="104C60E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r>
      <w:tr w:rsidR="000C2E7E" w:rsidRPr="000C2E7E" w14:paraId="44CD427B" w14:textId="77777777" w:rsidTr="000C2E7E">
        <w:trPr>
          <w:trHeight w:val="285"/>
        </w:trPr>
        <w:tc>
          <w:tcPr>
            <w:tcW w:w="3080" w:type="dxa"/>
            <w:tcBorders>
              <w:top w:val="nil"/>
              <w:left w:val="nil"/>
              <w:bottom w:val="nil"/>
              <w:right w:val="nil"/>
            </w:tcBorders>
            <w:shd w:val="clear" w:color="000000" w:fill="FFFFFF"/>
            <w:noWrap/>
            <w:vAlign w:val="bottom"/>
            <w:hideMark/>
          </w:tcPr>
          <w:p w14:paraId="477BC555"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080" w:type="dxa"/>
            <w:tcBorders>
              <w:top w:val="nil"/>
              <w:left w:val="nil"/>
              <w:bottom w:val="nil"/>
              <w:right w:val="nil"/>
            </w:tcBorders>
            <w:shd w:val="clear" w:color="000000" w:fill="FFFFFF"/>
            <w:noWrap/>
            <w:vAlign w:val="bottom"/>
            <w:hideMark/>
          </w:tcPr>
          <w:p w14:paraId="724E28B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80" w:type="dxa"/>
            <w:tcBorders>
              <w:top w:val="nil"/>
              <w:left w:val="nil"/>
              <w:bottom w:val="nil"/>
              <w:right w:val="nil"/>
            </w:tcBorders>
            <w:shd w:val="clear" w:color="000000" w:fill="FFFFFF"/>
            <w:noWrap/>
            <w:vAlign w:val="bottom"/>
            <w:hideMark/>
          </w:tcPr>
          <w:p w14:paraId="3B7BEDD6"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920" w:type="dxa"/>
            <w:tcBorders>
              <w:top w:val="nil"/>
              <w:left w:val="nil"/>
              <w:bottom w:val="nil"/>
              <w:right w:val="nil"/>
            </w:tcBorders>
            <w:shd w:val="clear" w:color="000000" w:fill="FFFFFF"/>
            <w:noWrap/>
            <w:vAlign w:val="bottom"/>
            <w:hideMark/>
          </w:tcPr>
          <w:p w14:paraId="1C5FF50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2846B4B4"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3B8F1D9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80" w:type="dxa"/>
            <w:tcBorders>
              <w:top w:val="nil"/>
              <w:left w:val="nil"/>
              <w:bottom w:val="nil"/>
              <w:right w:val="nil"/>
            </w:tcBorders>
            <w:shd w:val="clear" w:color="000000" w:fill="FFFFFF"/>
            <w:noWrap/>
            <w:vAlign w:val="bottom"/>
            <w:hideMark/>
          </w:tcPr>
          <w:p w14:paraId="7C6F9055"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920" w:type="dxa"/>
            <w:tcBorders>
              <w:top w:val="nil"/>
              <w:left w:val="nil"/>
              <w:bottom w:val="nil"/>
              <w:right w:val="nil"/>
            </w:tcBorders>
            <w:shd w:val="clear" w:color="000000" w:fill="FFFFFF"/>
            <w:noWrap/>
            <w:vAlign w:val="bottom"/>
            <w:hideMark/>
          </w:tcPr>
          <w:p w14:paraId="5F01029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r>
      <w:tr w:rsidR="000C2E7E" w:rsidRPr="000C2E7E" w14:paraId="68447283" w14:textId="77777777" w:rsidTr="000C2E7E">
        <w:trPr>
          <w:trHeight w:val="285"/>
        </w:trPr>
        <w:tc>
          <w:tcPr>
            <w:tcW w:w="7540" w:type="dxa"/>
            <w:gridSpan w:val="8"/>
            <w:tcBorders>
              <w:top w:val="nil"/>
              <w:left w:val="nil"/>
              <w:bottom w:val="nil"/>
              <w:right w:val="nil"/>
            </w:tcBorders>
            <w:shd w:val="clear" w:color="000000" w:fill="FFFFFF"/>
            <w:noWrap/>
            <w:vAlign w:val="bottom"/>
            <w:hideMark/>
          </w:tcPr>
          <w:p w14:paraId="117C4A8B"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SEGMENT REVENUE AND GROSS MARGIN</w:t>
            </w:r>
          </w:p>
        </w:tc>
      </w:tr>
      <w:tr w:rsidR="000C2E7E" w:rsidRPr="000C2E7E" w14:paraId="3EEABDEA" w14:textId="77777777" w:rsidTr="000C2E7E">
        <w:trPr>
          <w:trHeight w:val="285"/>
        </w:trPr>
        <w:tc>
          <w:tcPr>
            <w:tcW w:w="7540" w:type="dxa"/>
            <w:gridSpan w:val="8"/>
            <w:tcBorders>
              <w:top w:val="nil"/>
              <w:left w:val="nil"/>
              <w:bottom w:val="nil"/>
              <w:right w:val="nil"/>
            </w:tcBorders>
            <w:shd w:val="clear" w:color="000000" w:fill="FFFFFF"/>
            <w:noWrap/>
            <w:vAlign w:val="bottom"/>
            <w:hideMark/>
          </w:tcPr>
          <w:p w14:paraId="24E9F863"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(In millions)(Unaudited)</w:t>
            </w:r>
          </w:p>
        </w:tc>
      </w:tr>
      <w:tr w:rsidR="000C2E7E" w:rsidRPr="000C2E7E" w14:paraId="1E68C583" w14:textId="77777777" w:rsidTr="000C2E7E">
        <w:trPr>
          <w:trHeight w:val="285"/>
        </w:trPr>
        <w:tc>
          <w:tcPr>
            <w:tcW w:w="3080" w:type="dxa"/>
            <w:tcBorders>
              <w:top w:val="nil"/>
              <w:left w:val="nil"/>
              <w:bottom w:val="nil"/>
              <w:right w:val="nil"/>
            </w:tcBorders>
            <w:shd w:val="clear" w:color="000000" w:fill="FFFFFF"/>
            <w:noWrap/>
            <w:vAlign w:val="bottom"/>
            <w:hideMark/>
          </w:tcPr>
          <w:p w14:paraId="4E848C94"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4E11EA0C"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80" w:type="dxa"/>
            <w:tcBorders>
              <w:top w:val="nil"/>
              <w:left w:val="nil"/>
              <w:bottom w:val="nil"/>
              <w:right w:val="nil"/>
            </w:tcBorders>
            <w:shd w:val="clear" w:color="000000" w:fill="FFFFFF"/>
            <w:noWrap/>
            <w:vAlign w:val="bottom"/>
            <w:hideMark/>
          </w:tcPr>
          <w:p w14:paraId="204CB7DC"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920" w:type="dxa"/>
            <w:tcBorders>
              <w:top w:val="nil"/>
              <w:left w:val="nil"/>
              <w:bottom w:val="nil"/>
              <w:right w:val="nil"/>
            </w:tcBorders>
            <w:shd w:val="clear" w:color="000000" w:fill="FFFFFF"/>
            <w:noWrap/>
            <w:vAlign w:val="bottom"/>
            <w:hideMark/>
          </w:tcPr>
          <w:p w14:paraId="3A36432C"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4EBBB711"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126AD6FA"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80" w:type="dxa"/>
            <w:tcBorders>
              <w:top w:val="nil"/>
              <w:left w:val="nil"/>
              <w:bottom w:val="nil"/>
              <w:right w:val="nil"/>
            </w:tcBorders>
            <w:shd w:val="clear" w:color="000000" w:fill="FFFFFF"/>
            <w:noWrap/>
            <w:vAlign w:val="bottom"/>
            <w:hideMark/>
          </w:tcPr>
          <w:p w14:paraId="27C5F975"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920" w:type="dxa"/>
            <w:tcBorders>
              <w:top w:val="nil"/>
              <w:left w:val="nil"/>
              <w:bottom w:val="nil"/>
              <w:right w:val="nil"/>
            </w:tcBorders>
            <w:shd w:val="clear" w:color="000000" w:fill="FFFFFF"/>
            <w:noWrap/>
            <w:vAlign w:val="bottom"/>
            <w:hideMark/>
          </w:tcPr>
          <w:p w14:paraId="70FFBFAA" w14:textId="77777777" w:rsidR="000C2E7E" w:rsidRPr="000C2E7E" w:rsidRDefault="000C2E7E" w:rsidP="000C2E7E">
            <w:pPr>
              <w:spacing w:after="0" w:line="240" w:lineRule="auto"/>
              <w:jc w:val="center"/>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r>
      <w:tr w:rsidR="000C2E7E" w:rsidRPr="000C2E7E" w14:paraId="3425EDA4" w14:textId="77777777" w:rsidTr="000C2E7E">
        <w:trPr>
          <w:trHeight w:val="285"/>
        </w:trPr>
        <w:tc>
          <w:tcPr>
            <w:tcW w:w="3080" w:type="dxa"/>
            <w:tcBorders>
              <w:top w:val="nil"/>
              <w:left w:val="nil"/>
              <w:bottom w:val="nil"/>
              <w:right w:val="nil"/>
            </w:tcBorders>
            <w:shd w:val="clear" w:color="000000" w:fill="FFFFFF"/>
            <w:noWrap/>
            <w:vAlign w:val="bottom"/>
            <w:hideMark/>
          </w:tcPr>
          <w:p w14:paraId="346DE3A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2180" w:type="dxa"/>
            <w:gridSpan w:val="3"/>
            <w:vMerge w:val="restart"/>
            <w:tcBorders>
              <w:top w:val="nil"/>
              <w:left w:val="nil"/>
              <w:bottom w:val="nil"/>
              <w:right w:val="nil"/>
            </w:tcBorders>
            <w:shd w:val="clear" w:color="000000" w:fill="FFFFFF"/>
            <w:vAlign w:val="bottom"/>
            <w:hideMark/>
          </w:tcPr>
          <w:p w14:paraId="76C3EFF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Three Months Ended June 30,</w:t>
            </w:r>
          </w:p>
        </w:tc>
        <w:tc>
          <w:tcPr>
            <w:tcW w:w="100" w:type="dxa"/>
            <w:tcBorders>
              <w:top w:val="nil"/>
              <w:left w:val="nil"/>
              <w:bottom w:val="nil"/>
              <w:right w:val="nil"/>
            </w:tcBorders>
            <w:shd w:val="clear" w:color="000000" w:fill="FFFFFF"/>
            <w:noWrap/>
            <w:vAlign w:val="bottom"/>
            <w:hideMark/>
          </w:tcPr>
          <w:p w14:paraId="55DA80B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2180" w:type="dxa"/>
            <w:gridSpan w:val="3"/>
            <w:vMerge w:val="restart"/>
            <w:tcBorders>
              <w:top w:val="nil"/>
              <w:left w:val="nil"/>
              <w:bottom w:val="nil"/>
              <w:right w:val="nil"/>
            </w:tcBorders>
            <w:shd w:val="clear" w:color="000000" w:fill="FFFFFF"/>
            <w:vAlign w:val="bottom"/>
            <w:hideMark/>
          </w:tcPr>
          <w:p w14:paraId="3A88FB8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Twelve Months Ended June 30,</w:t>
            </w:r>
          </w:p>
        </w:tc>
      </w:tr>
      <w:tr w:rsidR="000C2E7E" w:rsidRPr="000C2E7E" w14:paraId="4077F3EB" w14:textId="77777777" w:rsidTr="000C2E7E">
        <w:trPr>
          <w:trHeight w:val="285"/>
        </w:trPr>
        <w:tc>
          <w:tcPr>
            <w:tcW w:w="3080" w:type="dxa"/>
            <w:tcBorders>
              <w:top w:val="nil"/>
              <w:left w:val="nil"/>
              <w:bottom w:val="nil"/>
              <w:right w:val="nil"/>
            </w:tcBorders>
            <w:shd w:val="clear" w:color="000000" w:fill="FFFFFF"/>
            <w:noWrap/>
            <w:vAlign w:val="bottom"/>
            <w:hideMark/>
          </w:tcPr>
          <w:p w14:paraId="2E1A7BA1"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2180" w:type="dxa"/>
            <w:gridSpan w:val="3"/>
            <w:vMerge/>
            <w:tcBorders>
              <w:top w:val="nil"/>
              <w:left w:val="nil"/>
              <w:bottom w:val="nil"/>
              <w:right w:val="nil"/>
            </w:tcBorders>
            <w:vAlign w:val="center"/>
            <w:hideMark/>
          </w:tcPr>
          <w:p w14:paraId="49059B2A"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c>
          <w:tcPr>
            <w:tcW w:w="100" w:type="dxa"/>
            <w:tcBorders>
              <w:top w:val="nil"/>
              <w:left w:val="nil"/>
              <w:bottom w:val="nil"/>
              <w:right w:val="nil"/>
            </w:tcBorders>
            <w:shd w:val="clear" w:color="000000" w:fill="FFFFFF"/>
            <w:noWrap/>
            <w:vAlign w:val="bottom"/>
            <w:hideMark/>
          </w:tcPr>
          <w:p w14:paraId="771E85A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2180" w:type="dxa"/>
            <w:gridSpan w:val="3"/>
            <w:vMerge/>
            <w:tcBorders>
              <w:top w:val="nil"/>
              <w:left w:val="nil"/>
              <w:bottom w:val="nil"/>
              <w:right w:val="nil"/>
            </w:tcBorders>
            <w:vAlign w:val="center"/>
            <w:hideMark/>
          </w:tcPr>
          <w:p w14:paraId="68F9567D" w14:textId="77777777" w:rsidR="000C2E7E" w:rsidRPr="000C2E7E" w:rsidRDefault="000C2E7E" w:rsidP="000C2E7E">
            <w:pPr>
              <w:spacing w:after="0" w:line="240" w:lineRule="auto"/>
              <w:rPr>
                <w:rFonts w:ascii="Segoe UI" w:eastAsia="Times New Roman" w:hAnsi="Segoe UI" w:cs="Segoe UI"/>
                <w:b/>
                <w:bCs/>
                <w:color w:val="666666"/>
                <w:sz w:val="20"/>
                <w:szCs w:val="20"/>
              </w:rPr>
            </w:pPr>
          </w:p>
        </w:tc>
      </w:tr>
      <w:tr w:rsidR="000C2E7E" w:rsidRPr="000C2E7E" w14:paraId="2AC79193" w14:textId="77777777" w:rsidTr="000C2E7E">
        <w:trPr>
          <w:trHeight w:val="285"/>
        </w:trPr>
        <w:tc>
          <w:tcPr>
            <w:tcW w:w="3080" w:type="dxa"/>
            <w:tcBorders>
              <w:top w:val="nil"/>
              <w:left w:val="nil"/>
              <w:bottom w:val="single" w:sz="4" w:space="0" w:color="auto"/>
              <w:right w:val="nil"/>
            </w:tcBorders>
            <w:shd w:val="clear" w:color="000000" w:fill="FFFFFF"/>
            <w:noWrap/>
            <w:vAlign w:val="bottom"/>
            <w:hideMark/>
          </w:tcPr>
          <w:p w14:paraId="54D55789"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000000" w:fill="FFFFFF"/>
            <w:noWrap/>
            <w:vAlign w:val="bottom"/>
            <w:hideMark/>
          </w:tcPr>
          <w:p w14:paraId="178C027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2015</w:t>
            </w:r>
          </w:p>
        </w:tc>
        <w:tc>
          <w:tcPr>
            <w:tcW w:w="180" w:type="dxa"/>
            <w:tcBorders>
              <w:top w:val="nil"/>
              <w:left w:val="nil"/>
              <w:bottom w:val="single" w:sz="4" w:space="0" w:color="auto"/>
              <w:right w:val="nil"/>
            </w:tcBorders>
            <w:shd w:val="clear" w:color="000000" w:fill="FFFFFF"/>
            <w:noWrap/>
            <w:vAlign w:val="bottom"/>
            <w:hideMark/>
          </w:tcPr>
          <w:p w14:paraId="7146F44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000000" w:fill="FFFFFF"/>
            <w:noWrap/>
            <w:vAlign w:val="bottom"/>
            <w:hideMark/>
          </w:tcPr>
          <w:p w14:paraId="4A1552D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2014</w:t>
            </w:r>
          </w:p>
        </w:tc>
        <w:tc>
          <w:tcPr>
            <w:tcW w:w="100" w:type="dxa"/>
            <w:tcBorders>
              <w:top w:val="nil"/>
              <w:left w:val="nil"/>
              <w:bottom w:val="single" w:sz="4" w:space="0" w:color="auto"/>
              <w:right w:val="nil"/>
            </w:tcBorders>
            <w:shd w:val="clear" w:color="000000" w:fill="FFFFFF"/>
            <w:noWrap/>
            <w:vAlign w:val="bottom"/>
            <w:hideMark/>
          </w:tcPr>
          <w:p w14:paraId="2F177A8A" w14:textId="77777777" w:rsidR="000C2E7E" w:rsidRPr="000C2E7E" w:rsidRDefault="000C2E7E" w:rsidP="000C2E7E">
            <w:pPr>
              <w:spacing w:after="0" w:line="240" w:lineRule="auto"/>
              <w:jc w:val="center"/>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000000" w:fill="FFFFFF"/>
            <w:noWrap/>
            <w:vAlign w:val="bottom"/>
            <w:hideMark/>
          </w:tcPr>
          <w:p w14:paraId="32C4CCB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2015</w:t>
            </w:r>
          </w:p>
        </w:tc>
        <w:tc>
          <w:tcPr>
            <w:tcW w:w="180" w:type="dxa"/>
            <w:tcBorders>
              <w:top w:val="nil"/>
              <w:left w:val="nil"/>
              <w:bottom w:val="single" w:sz="4" w:space="0" w:color="auto"/>
              <w:right w:val="nil"/>
            </w:tcBorders>
            <w:shd w:val="clear" w:color="000000" w:fill="FFFFFF"/>
            <w:noWrap/>
            <w:vAlign w:val="bottom"/>
            <w:hideMark/>
          </w:tcPr>
          <w:p w14:paraId="42EE2E0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000000" w:fill="FFFFFF"/>
            <w:noWrap/>
            <w:vAlign w:val="bottom"/>
            <w:hideMark/>
          </w:tcPr>
          <w:p w14:paraId="46684FB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2014</w:t>
            </w:r>
          </w:p>
        </w:tc>
      </w:tr>
      <w:tr w:rsidR="000C2E7E" w:rsidRPr="000C2E7E" w14:paraId="4BFBC7C0" w14:textId="77777777" w:rsidTr="000C2E7E">
        <w:trPr>
          <w:trHeight w:val="285"/>
        </w:trPr>
        <w:tc>
          <w:tcPr>
            <w:tcW w:w="3080" w:type="dxa"/>
            <w:tcBorders>
              <w:top w:val="nil"/>
              <w:left w:val="nil"/>
              <w:bottom w:val="nil"/>
              <w:right w:val="nil"/>
            </w:tcBorders>
            <w:shd w:val="clear" w:color="000000" w:fill="FFFFFF"/>
            <w:noWrap/>
            <w:vAlign w:val="bottom"/>
            <w:hideMark/>
          </w:tcPr>
          <w:p w14:paraId="452889AC"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Revenue</w:t>
            </w:r>
          </w:p>
        </w:tc>
        <w:tc>
          <w:tcPr>
            <w:tcW w:w="1080" w:type="dxa"/>
            <w:tcBorders>
              <w:top w:val="nil"/>
              <w:left w:val="nil"/>
              <w:bottom w:val="nil"/>
              <w:right w:val="nil"/>
            </w:tcBorders>
            <w:shd w:val="clear" w:color="000000" w:fill="FFFFFF"/>
            <w:noWrap/>
            <w:vAlign w:val="bottom"/>
            <w:hideMark/>
          </w:tcPr>
          <w:p w14:paraId="3F365A1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80" w:type="dxa"/>
            <w:tcBorders>
              <w:top w:val="nil"/>
              <w:left w:val="nil"/>
              <w:bottom w:val="nil"/>
              <w:right w:val="nil"/>
            </w:tcBorders>
            <w:shd w:val="clear" w:color="000000" w:fill="FFFFFF"/>
            <w:noWrap/>
            <w:vAlign w:val="bottom"/>
            <w:hideMark/>
          </w:tcPr>
          <w:p w14:paraId="232AC63A"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3B035671"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0A180FCF"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58233B1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80" w:type="dxa"/>
            <w:tcBorders>
              <w:top w:val="nil"/>
              <w:left w:val="nil"/>
              <w:bottom w:val="nil"/>
              <w:right w:val="nil"/>
            </w:tcBorders>
            <w:shd w:val="clear" w:color="000000" w:fill="FFFFFF"/>
            <w:noWrap/>
            <w:vAlign w:val="bottom"/>
            <w:hideMark/>
          </w:tcPr>
          <w:p w14:paraId="5A9F82E1"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346CC62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r>
      <w:tr w:rsidR="000C2E7E" w:rsidRPr="000C2E7E" w14:paraId="5530ECD6" w14:textId="77777777" w:rsidTr="000C2E7E">
        <w:trPr>
          <w:trHeight w:val="315"/>
        </w:trPr>
        <w:tc>
          <w:tcPr>
            <w:tcW w:w="3080" w:type="dxa"/>
            <w:tcBorders>
              <w:top w:val="nil"/>
              <w:left w:val="nil"/>
              <w:bottom w:val="nil"/>
              <w:right w:val="nil"/>
            </w:tcBorders>
            <w:shd w:val="clear" w:color="000000" w:fill="FFFFFF"/>
            <w:noWrap/>
            <w:vAlign w:val="bottom"/>
            <w:hideMark/>
          </w:tcPr>
          <w:p w14:paraId="152ADFF4"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Devices and Consumer Licensing</w:t>
            </w:r>
          </w:p>
        </w:tc>
        <w:tc>
          <w:tcPr>
            <w:tcW w:w="1080" w:type="dxa"/>
            <w:tcBorders>
              <w:top w:val="nil"/>
              <w:left w:val="nil"/>
              <w:bottom w:val="nil"/>
              <w:right w:val="nil"/>
            </w:tcBorders>
            <w:shd w:val="clear" w:color="000000" w:fill="FFFFFF"/>
            <w:noWrap/>
            <w:vAlign w:val="bottom"/>
            <w:hideMark/>
          </w:tcPr>
          <w:p w14:paraId="28DE46E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3,233 </w:t>
            </w:r>
          </w:p>
        </w:tc>
        <w:tc>
          <w:tcPr>
            <w:tcW w:w="180" w:type="dxa"/>
            <w:tcBorders>
              <w:top w:val="nil"/>
              <w:left w:val="nil"/>
              <w:bottom w:val="nil"/>
              <w:right w:val="nil"/>
            </w:tcBorders>
            <w:shd w:val="clear" w:color="000000" w:fill="FFFFFF"/>
            <w:noWrap/>
            <w:vAlign w:val="bottom"/>
            <w:hideMark/>
          </w:tcPr>
          <w:p w14:paraId="72527BF5"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vertAlign w:val="superscript"/>
              </w:rPr>
              <w:t> </w:t>
            </w:r>
          </w:p>
        </w:tc>
        <w:tc>
          <w:tcPr>
            <w:tcW w:w="920" w:type="dxa"/>
            <w:tcBorders>
              <w:top w:val="nil"/>
              <w:left w:val="nil"/>
              <w:bottom w:val="nil"/>
              <w:right w:val="nil"/>
            </w:tcBorders>
            <w:shd w:val="clear" w:color="000000" w:fill="FFFFFF"/>
            <w:noWrap/>
            <w:vAlign w:val="bottom"/>
            <w:hideMark/>
          </w:tcPr>
          <w:p w14:paraId="616A4BC1"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4,903 </w:t>
            </w:r>
          </w:p>
        </w:tc>
        <w:tc>
          <w:tcPr>
            <w:tcW w:w="100" w:type="dxa"/>
            <w:tcBorders>
              <w:top w:val="nil"/>
              <w:left w:val="nil"/>
              <w:bottom w:val="nil"/>
              <w:right w:val="nil"/>
            </w:tcBorders>
            <w:shd w:val="clear" w:color="000000" w:fill="FFFFFF"/>
            <w:noWrap/>
            <w:vAlign w:val="bottom"/>
            <w:hideMark/>
          </w:tcPr>
          <w:p w14:paraId="45E91EBA"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1B4CA9D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14,969 </w:t>
            </w:r>
          </w:p>
        </w:tc>
        <w:tc>
          <w:tcPr>
            <w:tcW w:w="180" w:type="dxa"/>
            <w:tcBorders>
              <w:top w:val="nil"/>
              <w:left w:val="nil"/>
              <w:bottom w:val="nil"/>
              <w:right w:val="nil"/>
            </w:tcBorders>
            <w:shd w:val="clear" w:color="000000" w:fill="FFFFFF"/>
            <w:noWrap/>
            <w:vAlign w:val="bottom"/>
            <w:hideMark/>
          </w:tcPr>
          <w:p w14:paraId="671BDED7"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vertAlign w:val="superscript"/>
              </w:rPr>
              <w:t> </w:t>
            </w:r>
          </w:p>
        </w:tc>
        <w:tc>
          <w:tcPr>
            <w:tcW w:w="920" w:type="dxa"/>
            <w:tcBorders>
              <w:top w:val="nil"/>
              <w:left w:val="nil"/>
              <w:bottom w:val="nil"/>
              <w:right w:val="nil"/>
            </w:tcBorders>
            <w:shd w:val="clear" w:color="000000" w:fill="FFFFFF"/>
            <w:noWrap/>
            <w:vAlign w:val="bottom"/>
            <w:hideMark/>
          </w:tcPr>
          <w:p w14:paraId="3340BA1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$19,528 </w:t>
            </w:r>
          </w:p>
        </w:tc>
      </w:tr>
      <w:tr w:rsidR="000C2E7E" w:rsidRPr="000C2E7E" w14:paraId="774A8845" w14:textId="77777777" w:rsidTr="000C2E7E">
        <w:trPr>
          <w:trHeight w:val="285"/>
        </w:trPr>
        <w:tc>
          <w:tcPr>
            <w:tcW w:w="3080" w:type="dxa"/>
            <w:tcBorders>
              <w:top w:val="nil"/>
              <w:left w:val="nil"/>
              <w:bottom w:val="nil"/>
              <w:right w:val="nil"/>
            </w:tcBorders>
            <w:shd w:val="clear" w:color="000000" w:fill="FFFFFF"/>
            <w:noWrap/>
            <w:vAlign w:val="bottom"/>
            <w:hideMark/>
          </w:tcPr>
          <w:p w14:paraId="50FAA2B6"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Computing and Gaming Hardware</w:t>
            </w:r>
          </w:p>
        </w:tc>
        <w:tc>
          <w:tcPr>
            <w:tcW w:w="1080" w:type="dxa"/>
            <w:tcBorders>
              <w:top w:val="nil"/>
              <w:left w:val="nil"/>
              <w:bottom w:val="nil"/>
              <w:right w:val="nil"/>
            </w:tcBorders>
            <w:shd w:val="clear" w:color="000000" w:fill="FFFFFF"/>
            <w:noWrap/>
            <w:vAlign w:val="bottom"/>
            <w:hideMark/>
          </w:tcPr>
          <w:p w14:paraId="3A40F93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1,933 </w:t>
            </w:r>
          </w:p>
        </w:tc>
        <w:tc>
          <w:tcPr>
            <w:tcW w:w="180" w:type="dxa"/>
            <w:tcBorders>
              <w:top w:val="nil"/>
              <w:left w:val="nil"/>
              <w:bottom w:val="nil"/>
              <w:right w:val="nil"/>
            </w:tcBorders>
            <w:shd w:val="clear" w:color="000000" w:fill="FFFFFF"/>
            <w:noWrap/>
            <w:vAlign w:val="bottom"/>
            <w:hideMark/>
          </w:tcPr>
          <w:p w14:paraId="69A53EF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036D8C5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1,342 </w:t>
            </w:r>
          </w:p>
        </w:tc>
        <w:tc>
          <w:tcPr>
            <w:tcW w:w="100" w:type="dxa"/>
            <w:tcBorders>
              <w:top w:val="nil"/>
              <w:left w:val="nil"/>
              <w:bottom w:val="nil"/>
              <w:right w:val="nil"/>
            </w:tcBorders>
            <w:shd w:val="clear" w:color="000000" w:fill="FFFFFF"/>
            <w:noWrap/>
            <w:vAlign w:val="bottom"/>
            <w:hideMark/>
          </w:tcPr>
          <w:p w14:paraId="1CAD635C"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42C9890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10,183 </w:t>
            </w:r>
          </w:p>
        </w:tc>
        <w:tc>
          <w:tcPr>
            <w:tcW w:w="180" w:type="dxa"/>
            <w:tcBorders>
              <w:top w:val="nil"/>
              <w:left w:val="nil"/>
              <w:bottom w:val="nil"/>
              <w:right w:val="nil"/>
            </w:tcBorders>
            <w:shd w:val="clear" w:color="000000" w:fill="FFFFFF"/>
            <w:noWrap/>
            <w:vAlign w:val="bottom"/>
            <w:hideMark/>
          </w:tcPr>
          <w:p w14:paraId="489AABC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70BBFFA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9,093 </w:t>
            </w:r>
          </w:p>
        </w:tc>
      </w:tr>
      <w:tr w:rsidR="000C2E7E" w:rsidRPr="000C2E7E" w14:paraId="2B010156" w14:textId="77777777" w:rsidTr="000C2E7E">
        <w:trPr>
          <w:trHeight w:val="285"/>
        </w:trPr>
        <w:tc>
          <w:tcPr>
            <w:tcW w:w="3080" w:type="dxa"/>
            <w:tcBorders>
              <w:top w:val="nil"/>
              <w:left w:val="nil"/>
              <w:bottom w:val="nil"/>
              <w:right w:val="nil"/>
            </w:tcBorders>
            <w:shd w:val="clear" w:color="000000" w:fill="FFFFFF"/>
            <w:noWrap/>
            <w:vAlign w:val="bottom"/>
            <w:hideMark/>
          </w:tcPr>
          <w:p w14:paraId="015AB5AF"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Phone Hardware</w:t>
            </w:r>
          </w:p>
        </w:tc>
        <w:tc>
          <w:tcPr>
            <w:tcW w:w="1080" w:type="dxa"/>
            <w:tcBorders>
              <w:top w:val="nil"/>
              <w:left w:val="nil"/>
              <w:bottom w:val="nil"/>
              <w:right w:val="nil"/>
            </w:tcBorders>
            <w:shd w:val="clear" w:color="000000" w:fill="FFFFFF"/>
            <w:noWrap/>
            <w:vAlign w:val="bottom"/>
            <w:hideMark/>
          </w:tcPr>
          <w:p w14:paraId="0FF89C5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1,234 </w:t>
            </w:r>
          </w:p>
        </w:tc>
        <w:tc>
          <w:tcPr>
            <w:tcW w:w="180" w:type="dxa"/>
            <w:tcBorders>
              <w:top w:val="nil"/>
              <w:left w:val="nil"/>
              <w:bottom w:val="nil"/>
              <w:right w:val="nil"/>
            </w:tcBorders>
            <w:shd w:val="clear" w:color="000000" w:fill="FFFFFF"/>
            <w:noWrap/>
            <w:vAlign w:val="bottom"/>
            <w:hideMark/>
          </w:tcPr>
          <w:p w14:paraId="4F9398E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6C5E3B62"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1,982 </w:t>
            </w:r>
          </w:p>
        </w:tc>
        <w:tc>
          <w:tcPr>
            <w:tcW w:w="100" w:type="dxa"/>
            <w:tcBorders>
              <w:top w:val="nil"/>
              <w:left w:val="nil"/>
              <w:bottom w:val="nil"/>
              <w:right w:val="nil"/>
            </w:tcBorders>
            <w:shd w:val="clear" w:color="000000" w:fill="FFFFFF"/>
            <w:noWrap/>
            <w:vAlign w:val="bottom"/>
            <w:hideMark/>
          </w:tcPr>
          <w:p w14:paraId="7619162F"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3B75056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7,524 </w:t>
            </w:r>
          </w:p>
        </w:tc>
        <w:tc>
          <w:tcPr>
            <w:tcW w:w="180" w:type="dxa"/>
            <w:tcBorders>
              <w:top w:val="nil"/>
              <w:left w:val="nil"/>
              <w:bottom w:val="nil"/>
              <w:right w:val="nil"/>
            </w:tcBorders>
            <w:shd w:val="clear" w:color="000000" w:fill="FFFFFF"/>
            <w:noWrap/>
            <w:vAlign w:val="bottom"/>
            <w:hideMark/>
          </w:tcPr>
          <w:p w14:paraId="135C414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55409E2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1,982 </w:t>
            </w:r>
          </w:p>
        </w:tc>
      </w:tr>
      <w:tr w:rsidR="000C2E7E" w:rsidRPr="000C2E7E" w14:paraId="5988C45C" w14:textId="77777777" w:rsidTr="000C2E7E">
        <w:trPr>
          <w:trHeight w:val="285"/>
        </w:trPr>
        <w:tc>
          <w:tcPr>
            <w:tcW w:w="3080" w:type="dxa"/>
            <w:tcBorders>
              <w:top w:val="nil"/>
              <w:left w:val="nil"/>
              <w:bottom w:val="nil"/>
              <w:right w:val="nil"/>
            </w:tcBorders>
            <w:shd w:val="clear" w:color="000000" w:fill="FFFFFF"/>
            <w:noWrap/>
            <w:vAlign w:val="bottom"/>
            <w:hideMark/>
          </w:tcPr>
          <w:p w14:paraId="609D03AD"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Devices and Consumer Other</w:t>
            </w:r>
          </w:p>
        </w:tc>
        <w:tc>
          <w:tcPr>
            <w:tcW w:w="1080" w:type="dxa"/>
            <w:tcBorders>
              <w:top w:val="nil"/>
              <w:left w:val="nil"/>
              <w:bottom w:val="nil"/>
              <w:right w:val="nil"/>
            </w:tcBorders>
            <w:shd w:val="clear" w:color="000000" w:fill="FFFFFF"/>
            <w:noWrap/>
            <w:vAlign w:val="bottom"/>
            <w:hideMark/>
          </w:tcPr>
          <w:p w14:paraId="02A2EFF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2,300 </w:t>
            </w:r>
          </w:p>
        </w:tc>
        <w:tc>
          <w:tcPr>
            <w:tcW w:w="180" w:type="dxa"/>
            <w:tcBorders>
              <w:top w:val="nil"/>
              <w:left w:val="nil"/>
              <w:bottom w:val="nil"/>
              <w:right w:val="nil"/>
            </w:tcBorders>
            <w:shd w:val="clear" w:color="000000" w:fill="FFFFFF"/>
            <w:noWrap/>
            <w:vAlign w:val="bottom"/>
            <w:hideMark/>
          </w:tcPr>
          <w:p w14:paraId="3FDCDB0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16CC796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1,762 </w:t>
            </w:r>
          </w:p>
        </w:tc>
        <w:tc>
          <w:tcPr>
            <w:tcW w:w="100" w:type="dxa"/>
            <w:tcBorders>
              <w:top w:val="nil"/>
              <w:left w:val="nil"/>
              <w:bottom w:val="nil"/>
              <w:right w:val="nil"/>
            </w:tcBorders>
            <w:shd w:val="clear" w:color="000000" w:fill="FFFFFF"/>
            <w:noWrap/>
            <w:vAlign w:val="bottom"/>
            <w:hideMark/>
          </w:tcPr>
          <w:p w14:paraId="3D599884"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313CD9B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8,825 </w:t>
            </w:r>
          </w:p>
        </w:tc>
        <w:tc>
          <w:tcPr>
            <w:tcW w:w="180" w:type="dxa"/>
            <w:tcBorders>
              <w:top w:val="nil"/>
              <w:left w:val="nil"/>
              <w:bottom w:val="nil"/>
              <w:right w:val="nil"/>
            </w:tcBorders>
            <w:shd w:val="clear" w:color="000000" w:fill="FFFFFF"/>
            <w:noWrap/>
            <w:vAlign w:val="bottom"/>
            <w:hideMark/>
          </w:tcPr>
          <w:p w14:paraId="0679328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7295025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7,014 </w:t>
            </w:r>
          </w:p>
        </w:tc>
      </w:tr>
      <w:tr w:rsidR="000C2E7E" w:rsidRPr="000C2E7E" w14:paraId="508C5D91" w14:textId="77777777" w:rsidTr="000C2E7E">
        <w:trPr>
          <w:trHeight w:val="285"/>
        </w:trPr>
        <w:tc>
          <w:tcPr>
            <w:tcW w:w="3080" w:type="dxa"/>
            <w:tcBorders>
              <w:top w:val="nil"/>
              <w:left w:val="nil"/>
              <w:bottom w:val="nil"/>
              <w:right w:val="nil"/>
            </w:tcBorders>
            <w:shd w:val="clear" w:color="000000" w:fill="FFFFFF"/>
            <w:noWrap/>
            <w:vAlign w:val="bottom"/>
            <w:hideMark/>
          </w:tcPr>
          <w:p w14:paraId="6EE1F322"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Commercial Licensing</w:t>
            </w:r>
          </w:p>
        </w:tc>
        <w:tc>
          <w:tcPr>
            <w:tcW w:w="1080" w:type="dxa"/>
            <w:tcBorders>
              <w:top w:val="nil"/>
              <w:left w:val="nil"/>
              <w:bottom w:val="nil"/>
              <w:right w:val="nil"/>
            </w:tcBorders>
            <w:shd w:val="clear" w:color="000000" w:fill="FFFFFF"/>
            <w:noWrap/>
            <w:vAlign w:val="bottom"/>
            <w:hideMark/>
          </w:tcPr>
          <w:p w14:paraId="6D3946E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10,451 </w:t>
            </w:r>
          </w:p>
        </w:tc>
        <w:tc>
          <w:tcPr>
            <w:tcW w:w="180" w:type="dxa"/>
            <w:tcBorders>
              <w:top w:val="nil"/>
              <w:left w:val="nil"/>
              <w:bottom w:val="nil"/>
              <w:right w:val="nil"/>
            </w:tcBorders>
            <w:shd w:val="clear" w:color="000000" w:fill="FFFFFF"/>
            <w:noWrap/>
            <w:vAlign w:val="bottom"/>
            <w:hideMark/>
          </w:tcPr>
          <w:p w14:paraId="4961E6F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4BE61327"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11,233 </w:t>
            </w:r>
          </w:p>
        </w:tc>
        <w:tc>
          <w:tcPr>
            <w:tcW w:w="100" w:type="dxa"/>
            <w:tcBorders>
              <w:top w:val="nil"/>
              <w:left w:val="nil"/>
              <w:bottom w:val="nil"/>
              <w:right w:val="nil"/>
            </w:tcBorders>
            <w:shd w:val="clear" w:color="000000" w:fill="FFFFFF"/>
            <w:noWrap/>
            <w:vAlign w:val="bottom"/>
            <w:hideMark/>
          </w:tcPr>
          <w:p w14:paraId="5479AA5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5A87B58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41,039 </w:t>
            </w:r>
          </w:p>
        </w:tc>
        <w:tc>
          <w:tcPr>
            <w:tcW w:w="180" w:type="dxa"/>
            <w:tcBorders>
              <w:top w:val="nil"/>
              <w:left w:val="nil"/>
              <w:bottom w:val="nil"/>
              <w:right w:val="nil"/>
            </w:tcBorders>
            <w:shd w:val="clear" w:color="000000" w:fill="FFFFFF"/>
            <w:noWrap/>
            <w:vAlign w:val="bottom"/>
            <w:hideMark/>
          </w:tcPr>
          <w:p w14:paraId="234BB63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2A99277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42,085 </w:t>
            </w:r>
          </w:p>
        </w:tc>
      </w:tr>
      <w:tr w:rsidR="000C2E7E" w:rsidRPr="000C2E7E" w14:paraId="4DFB45CF" w14:textId="77777777" w:rsidTr="000C2E7E">
        <w:trPr>
          <w:trHeight w:val="285"/>
        </w:trPr>
        <w:tc>
          <w:tcPr>
            <w:tcW w:w="3080" w:type="dxa"/>
            <w:tcBorders>
              <w:top w:val="nil"/>
              <w:left w:val="nil"/>
              <w:bottom w:val="nil"/>
              <w:right w:val="nil"/>
            </w:tcBorders>
            <w:shd w:val="clear" w:color="000000" w:fill="FFFFFF"/>
            <w:noWrap/>
            <w:vAlign w:val="bottom"/>
            <w:hideMark/>
          </w:tcPr>
          <w:p w14:paraId="33EE733F"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Commercial Other</w:t>
            </w:r>
          </w:p>
        </w:tc>
        <w:tc>
          <w:tcPr>
            <w:tcW w:w="1080" w:type="dxa"/>
            <w:tcBorders>
              <w:top w:val="nil"/>
              <w:left w:val="nil"/>
              <w:bottom w:val="nil"/>
              <w:right w:val="nil"/>
            </w:tcBorders>
            <w:shd w:val="clear" w:color="000000" w:fill="FFFFFF"/>
            <w:noWrap/>
            <w:vAlign w:val="bottom"/>
            <w:hideMark/>
          </w:tcPr>
          <w:p w14:paraId="5DC7FD1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3,076 </w:t>
            </w:r>
          </w:p>
        </w:tc>
        <w:tc>
          <w:tcPr>
            <w:tcW w:w="180" w:type="dxa"/>
            <w:tcBorders>
              <w:top w:val="nil"/>
              <w:left w:val="nil"/>
              <w:bottom w:val="nil"/>
              <w:right w:val="nil"/>
            </w:tcBorders>
            <w:shd w:val="clear" w:color="000000" w:fill="FFFFFF"/>
            <w:noWrap/>
            <w:vAlign w:val="bottom"/>
            <w:hideMark/>
          </w:tcPr>
          <w:p w14:paraId="5C4661C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132309F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2,262 </w:t>
            </w:r>
          </w:p>
        </w:tc>
        <w:tc>
          <w:tcPr>
            <w:tcW w:w="100" w:type="dxa"/>
            <w:tcBorders>
              <w:top w:val="nil"/>
              <w:left w:val="nil"/>
              <w:bottom w:val="nil"/>
              <w:right w:val="nil"/>
            </w:tcBorders>
            <w:shd w:val="clear" w:color="000000" w:fill="FFFFFF"/>
            <w:noWrap/>
            <w:vAlign w:val="bottom"/>
            <w:hideMark/>
          </w:tcPr>
          <w:p w14:paraId="4242BC79"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1545431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10,836 </w:t>
            </w:r>
          </w:p>
        </w:tc>
        <w:tc>
          <w:tcPr>
            <w:tcW w:w="180" w:type="dxa"/>
            <w:tcBorders>
              <w:top w:val="nil"/>
              <w:left w:val="nil"/>
              <w:bottom w:val="nil"/>
              <w:right w:val="nil"/>
            </w:tcBorders>
            <w:shd w:val="clear" w:color="000000" w:fill="FFFFFF"/>
            <w:noWrap/>
            <w:vAlign w:val="bottom"/>
            <w:hideMark/>
          </w:tcPr>
          <w:p w14:paraId="1D2B16E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191B78F0"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7,546 </w:t>
            </w:r>
          </w:p>
        </w:tc>
      </w:tr>
      <w:tr w:rsidR="000C2E7E" w:rsidRPr="000C2E7E" w14:paraId="7886C78A" w14:textId="77777777" w:rsidTr="000C2E7E">
        <w:trPr>
          <w:trHeight w:val="285"/>
        </w:trPr>
        <w:tc>
          <w:tcPr>
            <w:tcW w:w="3080" w:type="dxa"/>
            <w:tcBorders>
              <w:top w:val="nil"/>
              <w:left w:val="nil"/>
              <w:bottom w:val="single" w:sz="4" w:space="0" w:color="auto"/>
              <w:right w:val="nil"/>
            </w:tcBorders>
            <w:shd w:val="clear" w:color="000000" w:fill="FFFFFF"/>
            <w:noWrap/>
            <w:vAlign w:val="bottom"/>
            <w:hideMark/>
          </w:tcPr>
          <w:p w14:paraId="3BB20000"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Corporate and Other</w:t>
            </w:r>
          </w:p>
        </w:tc>
        <w:tc>
          <w:tcPr>
            <w:tcW w:w="1080" w:type="dxa"/>
            <w:tcBorders>
              <w:top w:val="nil"/>
              <w:left w:val="nil"/>
              <w:bottom w:val="single" w:sz="4" w:space="0" w:color="auto"/>
              <w:right w:val="nil"/>
            </w:tcBorders>
            <w:shd w:val="clear" w:color="000000" w:fill="FFFFFF"/>
            <w:noWrap/>
            <w:vAlign w:val="bottom"/>
            <w:hideMark/>
          </w:tcPr>
          <w:p w14:paraId="36B6C5C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(47)</w:t>
            </w:r>
          </w:p>
        </w:tc>
        <w:tc>
          <w:tcPr>
            <w:tcW w:w="180" w:type="dxa"/>
            <w:tcBorders>
              <w:top w:val="nil"/>
              <w:left w:val="nil"/>
              <w:bottom w:val="nil"/>
              <w:right w:val="nil"/>
            </w:tcBorders>
            <w:shd w:val="clear" w:color="000000" w:fill="FFFFFF"/>
            <w:noWrap/>
            <w:vAlign w:val="bottom"/>
            <w:hideMark/>
          </w:tcPr>
          <w:p w14:paraId="1CCD817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000000" w:fill="FFFFFF"/>
            <w:noWrap/>
            <w:vAlign w:val="bottom"/>
            <w:hideMark/>
          </w:tcPr>
          <w:p w14:paraId="12EB76F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(102)</w:t>
            </w:r>
          </w:p>
        </w:tc>
        <w:tc>
          <w:tcPr>
            <w:tcW w:w="100" w:type="dxa"/>
            <w:tcBorders>
              <w:top w:val="nil"/>
              <w:left w:val="nil"/>
              <w:bottom w:val="nil"/>
              <w:right w:val="nil"/>
            </w:tcBorders>
            <w:shd w:val="clear" w:color="000000" w:fill="FFFFFF"/>
            <w:noWrap/>
            <w:vAlign w:val="bottom"/>
            <w:hideMark/>
          </w:tcPr>
          <w:p w14:paraId="6E407E75"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single" w:sz="4" w:space="0" w:color="auto"/>
              <w:right w:val="nil"/>
            </w:tcBorders>
            <w:shd w:val="clear" w:color="000000" w:fill="FFFFFF"/>
            <w:noWrap/>
            <w:vAlign w:val="bottom"/>
            <w:hideMark/>
          </w:tcPr>
          <w:p w14:paraId="3B40315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204 </w:t>
            </w:r>
          </w:p>
        </w:tc>
        <w:tc>
          <w:tcPr>
            <w:tcW w:w="180" w:type="dxa"/>
            <w:tcBorders>
              <w:top w:val="nil"/>
              <w:left w:val="nil"/>
              <w:bottom w:val="nil"/>
              <w:right w:val="nil"/>
            </w:tcBorders>
            <w:shd w:val="clear" w:color="000000" w:fill="FFFFFF"/>
            <w:noWrap/>
            <w:vAlign w:val="bottom"/>
            <w:hideMark/>
          </w:tcPr>
          <w:p w14:paraId="28B17A3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000000" w:fill="FFFFFF"/>
            <w:noWrap/>
            <w:vAlign w:val="bottom"/>
            <w:hideMark/>
          </w:tcPr>
          <w:p w14:paraId="3BA9B4B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(415)</w:t>
            </w:r>
          </w:p>
        </w:tc>
      </w:tr>
      <w:tr w:rsidR="000C2E7E" w:rsidRPr="000C2E7E" w14:paraId="6EDFB033" w14:textId="77777777" w:rsidTr="000C2E7E">
        <w:trPr>
          <w:trHeight w:val="300"/>
        </w:trPr>
        <w:tc>
          <w:tcPr>
            <w:tcW w:w="3080" w:type="dxa"/>
            <w:tcBorders>
              <w:top w:val="nil"/>
              <w:left w:val="nil"/>
              <w:bottom w:val="nil"/>
              <w:right w:val="nil"/>
            </w:tcBorders>
            <w:shd w:val="clear" w:color="000000" w:fill="FFFFFF"/>
            <w:noWrap/>
            <w:vAlign w:val="bottom"/>
            <w:hideMark/>
          </w:tcPr>
          <w:p w14:paraId="65A1EB06"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Total revenue</w:t>
            </w:r>
          </w:p>
        </w:tc>
        <w:tc>
          <w:tcPr>
            <w:tcW w:w="1080" w:type="dxa"/>
            <w:tcBorders>
              <w:top w:val="nil"/>
              <w:left w:val="nil"/>
              <w:bottom w:val="single" w:sz="8" w:space="0" w:color="auto"/>
              <w:right w:val="nil"/>
            </w:tcBorders>
            <w:shd w:val="clear" w:color="000000" w:fill="FFFFFF"/>
            <w:noWrap/>
            <w:vAlign w:val="bottom"/>
            <w:hideMark/>
          </w:tcPr>
          <w:p w14:paraId="0FC2229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22,180 </w:t>
            </w:r>
          </w:p>
        </w:tc>
        <w:tc>
          <w:tcPr>
            <w:tcW w:w="180" w:type="dxa"/>
            <w:tcBorders>
              <w:top w:val="nil"/>
              <w:left w:val="nil"/>
              <w:bottom w:val="nil"/>
              <w:right w:val="nil"/>
            </w:tcBorders>
            <w:shd w:val="clear" w:color="000000" w:fill="FFFFFF"/>
            <w:noWrap/>
            <w:vAlign w:val="bottom"/>
            <w:hideMark/>
          </w:tcPr>
          <w:p w14:paraId="25B6CE48"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8" w:space="0" w:color="auto"/>
              <w:right w:val="nil"/>
            </w:tcBorders>
            <w:shd w:val="clear" w:color="000000" w:fill="FFFFFF"/>
            <w:noWrap/>
            <w:vAlign w:val="bottom"/>
            <w:hideMark/>
          </w:tcPr>
          <w:p w14:paraId="7114738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$23,382 </w:t>
            </w:r>
          </w:p>
        </w:tc>
        <w:tc>
          <w:tcPr>
            <w:tcW w:w="100" w:type="dxa"/>
            <w:tcBorders>
              <w:top w:val="nil"/>
              <w:left w:val="nil"/>
              <w:bottom w:val="nil"/>
              <w:right w:val="nil"/>
            </w:tcBorders>
            <w:shd w:val="clear" w:color="000000" w:fill="FFFFFF"/>
            <w:noWrap/>
            <w:vAlign w:val="bottom"/>
            <w:hideMark/>
          </w:tcPr>
          <w:p w14:paraId="38A1C86E"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single" w:sz="8" w:space="0" w:color="auto"/>
              <w:right w:val="nil"/>
            </w:tcBorders>
            <w:shd w:val="clear" w:color="000000" w:fill="FFFFFF"/>
            <w:noWrap/>
            <w:vAlign w:val="bottom"/>
            <w:hideMark/>
          </w:tcPr>
          <w:p w14:paraId="3193067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93,580 </w:t>
            </w:r>
          </w:p>
        </w:tc>
        <w:tc>
          <w:tcPr>
            <w:tcW w:w="180" w:type="dxa"/>
            <w:tcBorders>
              <w:top w:val="nil"/>
              <w:left w:val="nil"/>
              <w:bottom w:val="nil"/>
              <w:right w:val="nil"/>
            </w:tcBorders>
            <w:shd w:val="clear" w:color="000000" w:fill="FFFFFF"/>
            <w:noWrap/>
            <w:vAlign w:val="bottom"/>
            <w:hideMark/>
          </w:tcPr>
          <w:p w14:paraId="706CE424"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8" w:space="0" w:color="auto"/>
              <w:right w:val="nil"/>
            </w:tcBorders>
            <w:shd w:val="clear" w:color="000000" w:fill="FFFFFF"/>
            <w:noWrap/>
            <w:vAlign w:val="bottom"/>
            <w:hideMark/>
          </w:tcPr>
          <w:p w14:paraId="1C79272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$86,833 </w:t>
            </w:r>
          </w:p>
        </w:tc>
      </w:tr>
      <w:tr w:rsidR="000C2E7E" w:rsidRPr="000C2E7E" w14:paraId="433A278A" w14:textId="77777777" w:rsidTr="000C2E7E">
        <w:trPr>
          <w:trHeight w:val="285"/>
        </w:trPr>
        <w:tc>
          <w:tcPr>
            <w:tcW w:w="3080" w:type="dxa"/>
            <w:tcBorders>
              <w:top w:val="nil"/>
              <w:left w:val="nil"/>
              <w:bottom w:val="nil"/>
              <w:right w:val="nil"/>
            </w:tcBorders>
            <w:shd w:val="clear" w:color="000000" w:fill="FFFFFF"/>
            <w:noWrap/>
            <w:vAlign w:val="bottom"/>
            <w:hideMark/>
          </w:tcPr>
          <w:p w14:paraId="167774BD"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7FC632D3"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80" w:type="dxa"/>
            <w:tcBorders>
              <w:top w:val="nil"/>
              <w:left w:val="nil"/>
              <w:bottom w:val="nil"/>
              <w:right w:val="nil"/>
            </w:tcBorders>
            <w:shd w:val="clear" w:color="000000" w:fill="FFFFFF"/>
            <w:noWrap/>
            <w:vAlign w:val="bottom"/>
            <w:hideMark/>
          </w:tcPr>
          <w:p w14:paraId="7198C362"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0C8C74D3"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036A7DA0"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276214BB"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80" w:type="dxa"/>
            <w:tcBorders>
              <w:top w:val="nil"/>
              <w:left w:val="nil"/>
              <w:bottom w:val="nil"/>
              <w:right w:val="nil"/>
            </w:tcBorders>
            <w:shd w:val="clear" w:color="000000" w:fill="FFFFFF"/>
            <w:noWrap/>
            <w:vAlign w:val="bottom"/>
            <w:hideMark/>
          </w:tcPr>
          <w:p w14:paraId="78C206D9"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468DA68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r>
      <w:tr w:rsidR="000C2E7E" w:rsidRPr="000C2E7E" w14:paraId="7E24D4E8" w14:textId="77777777" w:rsidTr="000C2E7E">
        <w:trPr>
          <w:trHeight w:val="285"/>
        </w:trPr>
        <w:tc>
          <w:tcPr>
            <w:tcW w:w="3080" w:type="dxa"/>
            <w:tcBorders>
              <w:top w:val="nil"/>
              <w:left w:val="nil"/>
              <w:bottom w:val="nil"/>
              <w:right w:val="nil"/>
            </w:tcBorders>
            <w:shd w:val="clear" w:color="000000" w:fill="FFFFFF"/>
            <w:noWrap/>
            <w:vAlign w:val="bottom"/>
            <w:hideMark/>
          </w:tcPr>
          <w:p w14:paraId="290BB034"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Gross Margin</w:t>
            </w:r>
          </w:p>
        </w:tc>
        <w:tc>
          <w:tcPr>
            <w:tcW w:w="1080" w:type="dxa"/>
            <w:tcBorders>
              <w:top w:val="nil"/>
              <w:left w:val="nil"/>
              <w:bottom w:val="nil"/>
              <w:right w:val="nil"/>
            </w:tcBorders>
            <w:shd w:val="clear" w:color="000000" w:fill="FFFFFF"/>
            <w:noWrap/>
            <w:vAlign w:val="bottom"/>
            <w:hideMark/>
          </w:tcPr>
          <w:p w14:paraId="407370E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80" w:type="dxa"/>
            <w:tcBorders>
              <w:top w:val="nil"/>
              <w:left w:val="nil"/>
              <w:bottom w:val="nil"/>
              <w:right w:val="nil"/>
            </w:tcBorders>
            <w:shd w:val="clear" w:color="000000" w:fill="FFFFFF"/>
            <w:noWrap/>
            <w:vAlign w:val="bottom"/>
            <w:hideMark/>
          </w:tcPr>
          <w:p w14:paraId="27BF996D"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7C6DAAF5"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0" w:type="dxa"/>
            <w:tcBorders>
              <w:top w:val="nil"/>
              <w:left w:val="nil"/>
              <w:bottom w:val="nil"/>
              <w:right w:val="nil"/>
            </w:tcBorders>
            <w:shd w:val="clear" w:color="000000" w:fill="FFFFFF"/>
            <w:noWrap/>
            <w:vAlign w:val="bottom"/>
            <w:hideMark/>
          </w:tcPr>
          <w:p w14:paraId="16447A55"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5C15D622"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180" w:type="dxa"/>
            <w:tcBorders>
              <w:top w:val="nil"/>
              <w:left w:val="nil"/>
              <w:bottom w:val="nil"/>
              <w:right w:val="nil"/>
            </w:tcBorders>
            <w:shd w:val="clear" w:color="000000" w:fill="FFFFFF"/>
            <w:noWrap/>
            <w:vAlign w:val="bottom"/>
            <w:hideMark/>
          </w:tcPr>
          <w:p w14:paraId="4CC4CC97"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34E9887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r>
      <w:tr w:rsidR="000C2E7E" w:rsidRPr="000C2E7E" w14:paraId="34339D4E" w14:textId="77777777" w:rsidTr="000C2E7E">
        <w:trPr>
          <w:trHeight w:val="285"/>
        </w:trPr>
        <w:tc>
          <w:tcPr>
            <w:tcW w:w="3080" w:type="dxa"/>
            <w:tcBorders>
              <w:top w:val="nil"/>
              <w:left w:val="nil"/>
              <w:bottom w:val="nil"/>
              <w:right w:val="nil"/>
            </w:tcBorders>
            <w:shd w:val="clear" w:color="000000" w:fill="FFFFFF"/>
            <w:noWrap/>
            <w:vAlign w:val="bottom"/>
            <w:hideMark/>
          </w:tcPr>
          <w:p w14:paraId="6608B167"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Devices and Consumer Licensing</w:t>
            </w:r>
          </w:p>
        </w:tc>
        <w:tc>
          <w:tcPr>
            <w:tcW w:w="1080" w:type="dxa"/>
            <w:tcBorders>
              <w:top w:val="nil"/>
              <w:left w:val="nil"/>
              <w:bottom w:val="nil"/>
              <w:right w:val="nil"/>
            </w:tcBorders>
            <w:shd w:val="clear" w:color="000000" w:fill="FFFFFF"/>
            <w:noWrap/>
            <w:vAlign w:val="bottom"/>
            <w:hideMark/>
          </w:tcPr>
          <w:p w14:paraId="768AB69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2,966 </w:t>
            </w:r>
          </w:p>
        </w:tc>
        <w:tc>
          <w:tcPr>
            <w:tcW w:w="180" w:type="dxa"/>
            <w:tcBorders>
              <w:top w:val="nil"/>
              <w:left w:val="nil"/>
              <w:bottom w:val="nil"/>
              <w:right w:val="nil"/>
            </w:tcBorders>
            <w:shd w:val="clear" w:color="000000" w:fill="FFFFFF"/>
            <w:noWrap/>
            <w:vAlign w:val="bottom"/>
            <w:hideMark/>
          </w:tcPr>
          <w:p w14:paraId="428CFBC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35A3F19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  4,521 </w:t>
            </w:r>
          </w:p>
        </w:tc>
        <w:tc>
          <w:tcPr>
            <w:tcW w:w="100" w:type="dxa"/>
            <w:tcBorders>
              <w:top w:val="nil"/>
              <w:left w:val="nil"/>
              <w:bottom w:val="nil"/>
              <w:right w:val="nil"/>
            </w:tcBorders>
            <w:shd w:val="clear" w:color="000000" w:fill="FFFFFF"/>
            <w:noWrap/>
            <w:vAlign w:val="bottom"/>
            <w:hideMark/>
          </w:tcPr>
          <w:p w14:paraId="6D78D239"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4F25CBC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13,870 </w:t>
            </w:r>
          </w:p>
        </w:tc>
        <w:tc>
          <w:tcPr>
            <w:tcW w:w="180" w:type="dxa"/>
            <w:tcBorders>
              <w:top w:val="nil"/>
              <w:left w:val="nil"/>
              <w:bottom w:val="nil"/>
              <w:right w:val="nil"/>
            </w:tcBorders>
            <w:shd w:val="clear" w:color="000000" w:fill="FFFFFF"/>
            <w:noWrap/>
            <w:vAlign w:val="bottom"/>
            <w:hideMark/>
          </w:tcPr>
          <w:p w14:paraId="7807102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42042606"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$17,439 </w:t>
            </w:r>
          </w:p>
        </w:tc>
      </w:tr>
      <w:tr w:rsidR="000C2E7E" w:rsidRPr="000C2E7E" w14:paraId="1C544203" w14:textId="77777777" w:rsidTr="000C2E7E">
        <w:trPr>
          <w:trHeight w:val="285"/>
        </w:trPr>
        <w:tc>
          <w:tcPr>
            <w:tcW w:w="3080" w:type="dxa"/>
            <w:tcBorders>
              <w:top w:val="nil"/>
              <w:left w:val="nil"/>
              <w:bottom w:val="nil"/>
              <w:right w:val="nil"/>
            </w:tcBorders>
            <w:shd w:val="clear" w:color="000000" w:fill="FFFFFF"/>
            <w:noWrap/>
            <w:vAlign w:val="bottom"/>
            <w:hideMark/>
          </w:tcPr>
          <w:p w14:paraId="3B268D1B"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Computing and Gaming Hardware</w:t>
            </w:r>
          </w:p>
        </w:tc>
        <w:tc>
          <w:tcPr>
            <w:tcW w:w="1080" w:type="dxa"/>
            <w:tcBorders>
              <w:top w:val="nil"/>
              <w:left w:val="nil"/>
              <w:bottom w:val="nil"/>
              <w:right w:val="nil"/>
            </w:tcBorders>
            <w:shd w:val="clear" w:color="000000" w:fill="FFFFFF"/>
            <w:noWrap/>
            <w:vAlign w:val="bottom"/>
            <w:hideMark/>
          </w:tcPr>
          <w:p w14:paraId="5100217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435 </w:t>
            </w:r>
          </w:p>
        </w:tc>
        <w:tc>
          <w:tcPr>
            <w:tcW w:w="180" w:type="dxa"/>
            <w:tcBorders>
              <w:top w:val="nil"/>
              <w:left w:val="nil"/>
              <w:bottom w:val="nil"/>
              <w:right w:val="nil"/>
            </w:tcBorders>
            <w:shd w:val="clear" w:color="000000" w:fill="FFFFFF"/>
            <w:noWrap/>
            <w:vAlign w:val="bottom"/>
            <w:hideMark/>
          </w:tcPr>
          <w:p w14:paraId="0D11D31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7FDAE30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18 </w:t>
            </w:r>
          </w:p>
        </w:tc>
        <w:tc>
          <w:tcPr>
            <w:tcW w:w="100" w:type="dxa"/>
            <w:tcBorders>
              <w:top w:val="nil"/>
              <w:left w:val="nil"/>
              <w:bottom w:val="nil"/>
              <w:right w:val="nil"/>
            </w:tcBorders>
            <w:shd w:val="clear" w:color="000000" w:fill="FFFFFF"/>
            <w:noWrap/>
            <w:vAlign w:val="bottom"/>
            <w:hideMark/>
          </w:tcPr>
          <w:p w14:paraId="0B456C8D"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0162166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1,788 </w:t>
            </w:r>
          </w:p>
        </w:tc>
        <w:tc>
          <w:tcPr>
            <w:tcW w:w="180" w:type="dxa"/>
            <w:tcBorders>
              <w:top w:val="nil"/>
              <w:left w:val="nil"/>
              <w:bottom w:val="nil"/>
              <w:right w:val="nil"/>
            </w:tcBorders>
            <w:shd w:val="clear" w:color="000000" w:fill="FFFFFF"/>
            <w:noWrap/>
            <w:vAlign w:val="bottom"/>
            <w:hideMark/>
          </w:tcPr>
          <w:p w14:paraId="2B01EADF"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039C401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892 </w:t>
            </w:r>
          </w:p>
        </w:tc>
      </w:tr>
      <w:tr w:rsidR="000C2E7E" w:rsidRPr="000C2E7E" w14:paraId="15C2D5A7" w14:textId="77777777" w:rsidTr="000C2E7E">
        <w:trPr>
          <w:trHeight w:val="315"/>
        </w:trPr>
        <w:tc>
          <w:tcPr>
            <w:tcW w:w="3080" w:type="dxa"/>
            <w:tcBorders>
              <w:top w:val="nil"/>
              <w:left w:val="nil"/>
              <w:bottom w:val="nil"/>
              <w:right w:val="nil"/>
            </w:tcBorders>
            <w:shd w:val="clear" w:color="000000" w:fill="FFFFFF"/>
            <w:noWrap/>
            <w:vAlign w:val="bottom"/>
            <w:hideMark/>
          </w:tcPr>
          <w:p w14:paraId="67752206"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Phone Hardware</w:t>
            </w:r>
          </w:p>
        </w:tc>
        <w:tc>
          <w:tcPr>
            <w:tcW w:w="1080" w:type="dxa"/>
            <w:tcBorders>
              <w:top w:val="nil"/>
              <w:left w:val="nil"/>
              <w:bottom w:val="nil"/>
              <w:right w:val="nil"/>
            </w:tcBorders>
            <w:shd w:val="clear" w:color="000000" w:fill="FFFFFF"/>
            <w:noWrap/>
            <w:vAlign w:val="bottom"/>
            <w:hideMark/>
          </w:tcPr>
          <w:p w14:paraId="13A739D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(104)</w:t>
            </w:r>
          </w:p>
        </w:tc>
        <w:tc>
          <w:tcPr>
            <w:tcW w:w="180" w:type="dxa"/>
            <w:tcBorders>
              <w:top w:val="nil"/>
              <w:left w:val="nil"/>
              <w:bottom w:val="nil"/>
              <w:right w:val="nil"/>
            </w:tcBorders>
            <w:shd w:val="clear" w:color="000000" w:fill="FFFFFF"/>
            <w:noWrap/>
            <w:vAlign w:val="bottom"/>
            <w:hideMark/>
          </w:tcPr>
          <w:p w14:paraId="11623C8E"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vertAlign w:val="superscript"/>
              </w:rPr>
              <w:t> </w:t>
            </w:r>
          </w:p>
        </w:tc>
        <w:tc>
          <w:tcPr>
            <w:tcW w:w="920" w:type="dxa"/>
            <w:tcBorders>
              <w:top w:val="nil"/>
              <w:left w:val="nil"/>
              <w:bottom w:val="nil"/>
              <w:right w:val="nil"/>
            </w:tcBorders>
            <w:shd w:val="clear" w:color="000000" w:fill="FFFFFF"/>
            <w:noWrap/>
            <w:vAlign w:val="bottom"/>
            <w:hideMark/>
          </w:tcPr>
          <w:p w14:paraId="00B9D274"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54 </w:t>
            </w:r>
          </w:p>
        </w:tc>
        <w:tc>
          <w:tcPr>
            <w:tcW w:w="100" w:type="dxa"/>
            <w:tcBorders>
              <w:top w:val="nil"/>
              <w:left w:val="nil"/>
              <w:bottom w:val="nil"/>
              <w:right w:val="nil"/>
            </w:tcBorders>
            <w:shd w:val="clear" w:color="000000" w:fill="FFFFFF"/>
            <w:noWrap/>
            <w:vAlign w:val="bottom"/>
            <w:hideMark/>
          </w:tcPr>
          <w:p w14:paraId="73CB6ED3"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5E6787D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701 </w:t>
            </w:r>
          </w:p>
        </w:tc>
        <w:tc>
          <w:tcPr>
            <w:tcW w:w="180" w:type="dxa"/>
            <w:tcBorders>
              <w:top w:val="nil"/>
              <w:left w:val="nil"/>
              <w:bottom w:val="nil"/>
              <w:right w:val="nil"/>
            </w:tcBorders>
            <w:shd w:val="clear" w:color="000000" w:fill="FFFFFF"/>
            <w:noWrap/>
            <w:vAlign w:val="bottom"/>
            <w:hideMark/>
          </w:tcPr>
          <w:p w14:paraId="44D24959"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vertAlign w:val="superscript"/>
              </w:rPr>
              <w:t> </w:t>
            </w:r>
          </w:p>
        </w:tc>
        <w:tc>
          <w:tcPr>
            <w:tcW w:w="920" w:type="dxa"/>
            <w:tcBorders>
              <w:top w:val="nil"/>
              <w:left w:val="nil"/>
              <w:bottom w:val="nil"/>
              <w:right w:val="nil"/>
            </w:tcBorders>
            <w:shd w:val="clear" w:color="000000" w:fill="FFFFFF"/>
            <w:noWrap/>
            <w:vAlign w:val="bottom"/>
            <w:hideMark/>
          </w:tcPr>
          <w:p w14:paraId="5254AECD"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54 </w:t>
            </w:r>
          </w:p>
        </w:tc>
      </w:tr>
      <w:tr w:rsidR="000C2E7E" w:rsidRPr="000C2E7E" w14:paraId="06857077" w14:textId="77777777" w:rsidTr="000C2E7E">
        <w:trPr>
          <w:trHeight w:val="315"/>
        </w:trPr>
        <w:tc>
          <w:tcPr>
            <w:tcW w:w="3080" w:type="dxa"/>
            <w:tcBorders>
              <w:top w:val="nil"/>
              <w:left w:val="nil"/>
              <w:bottom w:val="nil"/>
              <w:right w:val="nil"/>
            </w:tcBorders>
            <w:shd w:val="clear" w:color="000000" w:fill="FFFFFF"/>
            <w:noWrap/>
            <w:vAlign w:val="bottom"/>
            <w:hideMark/>
          </w:tcPr>
          <w:p w14:paraId="6E8B1FB6"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Devices and Consumer Other</w:t>
            </w:r>
          </w:p>
        </w:tc>
        <w:tc>
          <w:tcPr>
            <w:tcW w:w="1080" w:type="dxa"/>
            <w:tcBorders>
              <w:top w:val="nil"/>
              <w:left w:val="nil"/>
              <w:bottom w:val="nil"/>
              <w:right w:val="nil"/>
            </w:tcBorders>
            <w:shd w:val="clear" w:color="000000" w:fill="FFFFFF"/>
            <w:noWrap/>
            <w:vAlign w:val="bottom"/>
            <w:hideMark/>
          </w:tcPr>
          <w:p w14:paraId="6A4C843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594 </w:t>
            </w:r>
          </w:p>
        </w:tc>
        <w:tc>
          <w:tcPr>
            <w:tcW w:w="180" w:type="dxa"/>
            <w:tcBorders>
              <w:top w:val="nil"/>
              <w:left w:val="nil"/>
              <w:bottom w:val="nil"/>
              <w:right w:val="nil"/>
            </w:tcBorders>
            <w:shd w:val="clear" w:color="000000" w:fill="FFFFFF"/>
            <w:noWrap/>
            <w:vAlign w:val="bottom"/>
            <w:hideMark/>
          </w:tcPr>
          <w:p w14:paraId="14796955"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vertAlign w:val="superscript"/>
              </w:rPr>
              <w:t> </w:t>
            </w:r>
          </w:p>
        </w:tc>
        <w:tc>
          <w:tcPr>
            <w:tcW w:w="920" w:type="dxa"/>
            <w:tcBorders>
              <w:top w:val="nil"/>
              <w:left w:val="nil"/>
              <w:bottom w:val="nil"/>
              <w:right w:val="nil"/>
            </w:tcBorders>
            <w:shd w:val="clear" w:color="000000" w:fill="FFFFFF"/>
            <w:noWrap/>
            <w:vAlign w:val="bottom"/>
            <w:hideMark/>
          </w:tcPr>
          <w:p w14:paraId="10CAA791"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291 </w:t>
            </w:r>
          </w:p>
        </w:tc>
        <w:tc>
          <w:tcPr>
            <w:tcW w:w="100" w:type="dxa"/>
            <w:tcBorders>
              <w:top w:val="nil"/>
              <w:left w:val="nil"/>
              <w:bottom w:val="nil"/>
              <w:right w:val="nil"/>
            </w:tcBorders>
            <w:shd w:val="clear" w:color="000000" w:fill="FFFFFF"/>
            <w:noWrap/>
            <w:vAlign w:val="bottom"/>
            <w:hideMark/>
          </w:tcPr>
          <w:p w14:paraId="498B164E"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77E383C0"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2,022 </w:t>
            </w:r>
          </w:p>
        </w:tc>
        <w:tc>
          <w:tcPr>
            <w:tcW w:w="180" w:type="dxa"/>
            <w:tcBorders>
              <w:top w:val="nil"/>
              <w:left w:val="nil"/>
              <w:bottom w:val="nil"/>
              <w:right w:val="nil"/>
            </w:tcBorders>
            <w:shd w:val="clear" w:color="000000" w:fill="FFFFFF"/>
            <w:noWrap/>
            <w:vAlign w:val="bottom"/>
            <w:hideMark/>
          </w:tcPr>
          <w:p w14:paraId="6E425FA6"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vertAlign w:val="superscript"/>
              </w:rPr>
              <w:t> </w:t>
            </w:r>
          </w:p>
        </w:tc>
        <w:tc>
          <w:tcPr>
            <w:tcW w:w="920" w:type="dxa"/>
            <w:tcBorders>
              <w:top w:val="nil"/>
              <w:left w:val="nil"/>
              <w:bottom w:val="nil"/>
              <w:right w:val="nil"/>
            </w:tcBorders>
            <w:shd w:val="clear" w:color="000000" w:fill="FFFFFF"/>
            <w:noWrap/>
            <w:vAlign w:val="bottom"/>
            <w:hideMark/>
          </w:tcPr>
          <w:p w14:paraId="035C49BC"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1,393 </w:t>
            </w:r>
          </w:p>
        </w:tc>
      </w:tr>
      <w:tr w:rsidR="000C2E7E" w:rsidRPr="000C2E7E" w14:paraId="6A08B384" w14:textId="77777777" w:rsidTr="000C2E7E">
        <w:trPr>
          <w:trHeight w:val="285"/>
        </w:trPr>
        <w:tc>
          <w:tcPr>
            <w:tcW w:w="3080" w:type="dxa"/>
            <w:tcBorders>
              <w:top w:val="nil"/>
              <w:left w:val="nil"/>
              <w:bottom w:val="nil"/>
              <w:right w:val="nil"/>
            </w:tcBorders>
            <w:shd w:val="clear" w:color="000000" w:fill="FFFFFF"/>
            <w:noWrap/>
            <w:vAlign w:val="bottom"/>
            <w:hideMark/>
          </w:tcPr>
          <w:p w14:paraId="48383D6D"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Commercial Licensing</w:t>
            </w:r>
          </w:p>
        </w:tc>
        <w:tc>
          <w:tcPr>
            <w:tcW w:w="1080" w:type="dxa"/>
            <w:tcBorders>
              <w:top w:val="nil"/>
              <w:left w:val="nil"/>
              <w:bottom w:val="nil"/>
              <w:right w:val="nil"/>
            </w:tcBorders>
            <w:shd w:val="clear" w:color="000000" w:fill="FFFFFF"/>
            <w:noWrap/>
            <w:vAlign w:val="bottom"/>
            <w:hideMark/>
          </w:tcPr>
          <w:p w14:paraId="3099614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9,529 </w:t>
            </w:r>
          </w:p>
        </w:tc>
        <w:tc>
          <w:tcPr>
            <w:tcW w:w="180" w:type="dxa"/>
            <w:tcBorders>
              <w:top w:val="nil"/>
              <w:left w:val="nil"/>
              <w:bottom w:val="nil"/>
              <w:right w:val="nil"/>
            </w:tcBorders>
            <w:shd w:val="clear" w:color="000000" w:fill="FFFFFF"/>
            <w:noWrap/>
            <w:vAlign w:val="bottom"/>
            <w:hideMark/>
          </w:tcPr>
          <w:p w14:paraId="0735C31A"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348A7BE9"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10,298 </w:t>
            </w:r>
          </w:p>
        </w:tc>
        <w:tc>
          <w:tcPr>
            <w:tcW w:w="100" w:type="dxa"/>
            <w:tcBorders>
              <w:top w:val="nil"/>
              <w:left w:val="nil"/>
              <w:bottom w:val="nil"/>
              <w:right w:val="nil"/>
            </w:tcBorders>
            <w:shd w:val="clear" w:color="000000" w:fill="FFFFFF"/>
            <w:noWrap/>
            <w:vAlign w:val="bottom"/>
            <w:hideMark/>
          </w:tcPr>
          <w:p w14:paraId="3FC06DB7"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543DD7AD"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37,830 </w:t>
            </w:r>
          </w:p>
        </w:tc>
        <w:tc>
          <w:tcPr>
            <w:tcW w:w="180" w:type="dxa"/>
            <w:tcBorders>
              <w:top w:val="nil"/>
              <w:left w:val="nil"/>
              <w:bottom w:val="nil"/>
              <w:right w:val="nil"/>
            </w:tcBorders>
            <w:shd w:val="clear" w:color="000000" w:fill="FFFFFF"/>
            <w:noWrap/>
            <w:vAlign w:val="bottom"/>
            <w:hideMark/>
          </w:tcPr>
          <w:p w14:paraId="6387EBA6"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70683D68"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38,615 </w:t>
            </w:r>
          </w:p>
        </w:tc>
      </w:tr>
      <w:tr w:rsidR="000C2E7E" w:rsidRPr="000C2E7E" w14:paraId="6C234CE3" w14:textId="77777777" w:rsidTr="000C2E7E">
        <w:trPr>
          <w:trHeight w:val="285"/>
        </w:trPr>
        <w:tc>
          <w:tcPr>
            <w:tcW w:w="3080" w:type="dxa"/>
            <w:tcBorders>
              <w:top w:val="nil"/>
              <w:left w:val="nil"/>
              <w:bottom w:val="nil"/>
              <w:right w:val="nil"/>
            </w:tcBorders>
            <w:shd w:val="clear" w:color="000000" w:fill="FFFFFF"/>
            <w:noWrap/>
            <w:vAlign w:val="bottom"/>
            <w:hideMark/>
          </w:tcPr>
          <w:p w14:paraId="6ADBCF27"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Commercial Other</w:t>
            </w:r>
          </w:p>
        </w:tc>
        <w:tc>
          <w:tcPr>
            <w:tcW w:w="1080" w:type="dxa"/>
            <w:tcBorders>
              <w:top w:val="nil"/>
              <w:left w:val="nil"/>
              <w:bottom w:val="nil"/>
              <w:right w:val="nil"/>
            </w:tcBorders>
            <w:shd w:val="clear" w:color="000000" w:fill="FFFFFF"/>
            <w:noWrap/>
            <w:vAlign w:val="bottom"/>
            <w:hideMark/>
          </w:tcPr>
          <w:p w14:paraId="0DA70335"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1,350 </w:t>
            </w:r>
          </w:p>
        </w:tc>
        <w:tc>
          <w:tcPr>
            <w:tcW w:w="180" w:type="dxa"/>
            <w:tcBorders>
              <w:top w:val="nil"/>
              <w:left w:val="nil"/>
              <w:bottom w:val="nil"/>
              <w:right w:val="nil"/>
            </w:tcBorders>
            <w:shd w:val="clear" w:color="000000" w:fill="FFFFFF"/>
            <w:noWrap/>
            <w:vAlign w:val="bottom"/>
            <w:hideMark/>
          </w:tcPr>
          <w:p w14:paraId="5B32BB6E"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444D471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691 </w:t>
            </w:r>
          </w:p>
        </w:tc>
        <w:tc>
          <w:tcPr>
            <w:tcW w:w="100" w:type="dxa"/>
            <w:tcBorders>
              <w:top w:val="nil"/>
              <w:left w:val="nil"/>
              <w:bottom w:val="nil"/>
              <w:right w:val="nil"/>
            </w:tcBorders>
            <w:shd w:val="clear" w:color="000000" w:fill="FFFFFF"/>
            <w:noWrap/>
            <w:vAlign w:val="bottom"/>
            <w:hideMark/>
          </w:tcPr>
          <w:p w14:paraId="63AE5A22"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nil"/>
              <w:right w:val="nil"/>
            </w:tcBorders>
            <w:shd w:val="clear" w:color="000000" w:fill="FFFFFF"/>
            <w:noWrap/>
            <w:vAlign w:val="bottom"/>
            <w:hideMark/>
          </w:tcPr>
          <w:p w14:paraId="32C4BD7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4,199 </w:t>
            </w:r>
          </w:p>
        </w:tc>
        <w:tc>
          <w:tcPr>
            <w:tcW w:w="180" w:type="dxa"/>
            <w:tcBorders>
              <w:top w:val="nil"/>
              <w:left w:val="nil"/>
              <w:bottom w:val="nil"/>
              <w:right w:val="nil"/>
            </w:tcBorders>
            <w:shd w:val="clear" w:color="000000" w:fill="FFFFFF"/>
            <w:noWrap/>
            <w:vAlign w:val="bottom"/>
            <w:hideMark/>
          </w:tcPr>
          <w:p w14:paraId="40A471E4"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nil"/>
              <w:right w:val="nil"/>
            </w:tcBorders>
            <w:shd w:val="clear" w:color="000000" w:fill="FFFFFF"/>
            <w:noWrap/>
            <w:vAlign w:val="bottom"/>
            <w:hideMark/>
          </w:tcPr>
          <w:p w14:paraId="7FB2097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1,855 </w:t>
            </w:r>
          </w:p>
        </w:tc>
      </w:tr>
      <w:tr w:rsidR="000C2E7E" w:rsidRPr="000C2E7E" w14:paraId="30898807" w14:textId="77777777" w:rsidTr="000C2E7E">
        <w:trPr>
          <w:trHeight w:val="285"/>
        </w:trPr>
        <w:tc>
          <w:tcPr>
            <w:tcW w:w="3080" w:type="dxa"/>
            <w:tcBorders>
              <w:top w:val="nil"/>
              <w:left w:val="nil"/>
              <w:bottom w:val="single" w:sz="4" w:space="0" w:color="auto"/>
              <w:right w:val="nil"/>
            </w:tcBorders>
            <w:shd w:val="clear" w:color="000000" w:fill="FFFFFF"/>
            <w:noWrap/>
            <w:vAlign w:val="bottom"/>
            <w:hideMark/>
          </w:tcPr>
          <w:p w14:paraId="2149952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Corporate and Other</w:t>
            </w:r>
          </w:p>
        </w:tc>
        <w:tc>
          <w:tcPr>
            <w:tcW w:w="1080" w:type="dxa"/>
            <w:tcBorders>
              <w:top w:val="nil"/>
              <w:left w:val="nil"/>
              <w:bottom w:val="single" w:sz="4" w:space="0" w:color="auto"/>
              <w:right w:val="nil"/>
            </w:tcBorders>
            <w:shd w:val="clear" w:color="000000" w:fill="FFFFFF"/>
            <w:noWrap/>
            <w:vAlign w:val="bottom"/>
            <w:hideMark/>
          </w:tcPr>
          <w:p w14:paraId="1EEAE5C9"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(58)</w:t>
            </w:r>
          </w:p>
        </w:tc>
        <w:tc>
          <w:tcPr>
            <w:tcW w:w="180" w:type="dxa"/>
            <w:tcBorders>
              <w:top w:val="nil"/>
              <w:left w:val="nil"/>
              <w:bottom w:val="nil"/>
              <w:right w:val="nil"/>
            </w:tcBorders>
            <w:shd w:val="clear" w:color="000000" w:fill="FFFFFF"/>
            <w:noWrap/>
            <w:vAlign w:val="bottom"/>
            <w:hideMark/>
          </w:tcPr>
          <w:p w14:paraId="347E1ED8"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000000" w:fill="FFFFFF"/>
            <w:noWrap/>
            <w:vAlign w:val="bottom"/>
            <w:hideMark/>
          </w:tcPr>
          <w:p w14:paraId="6572219A"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(124)</w:t>
            </w:r>
          </w:p>
        </w:tc>
        <w:tc>
          <w:tcPr>
            <w:tcW w:w="100" w:type="dxa"/>
            <w:tcBorders>
              <w:top w:val="nil"/>
              <w:left w:val="nil"/>
              <w:bottom w:val="nil"/>
              <w:right w:val="nil"/>
            </w:tcBorders>
            <w:shd w:val="clear" w:color="000000" w:fill="FFFFFF"/>
            <w:noWrap/>
            <w:vAlign w:val="bottom"/>
            <w:hideMark/>
          </w:tcPr>
          <w:p w14:paraId="668008AE"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single" w:sz="4" w:space="0" w:color="auto"/>
              <w:right w:val="nil"/>
            </w:tcBorders>
            <w:shd w:val="clear" w:color="000000" w:fill="FFFFFF"/>
            <w:noWrap/>
            <w:vAlign w:val="bottom"/>
            <w:hideMark/>
          </w:tcPr>
          <w:p w14:paraId="58D9DF17"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132 </w:t>
            </w:r>
          </w:p>
        </w:tc>
        <w:tc>
          <w:tcPr>
            <w:tcW w:w="180" w:type="dxa"/>
            <w:tcBorders>
              <w:top w:val="nil"/>
              <w:left w:val="nil"/>
              <w:bottom w:val="nil"/>
              <w:right w:val="nil"/>
            </w:tcBorders>
            <w:shd w:val="clear" w:color="000000" w:fill="FFFFFF"/>
            <w:noWrap/>
            <w:vAlign w:val="bottom"/>
            <w:hideMark/>
          </w:tcPr>
          <w:p w14:paraId="3950541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4" w:space="0" w:color="auto"/>
              <w:right w:val="nil"/>
            </w:tcBorders>
            <w:shd w:val="clear" w:color="000000" w:fill="FFFFFF"/>
            <w:noWrap/>
            <w:vAlign w:val="bottom"/>
            <w:hideMark/>
          </w:tcPr>
          <w:p w14:paraId="59B5DA6E"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(493)</w:t>
            </w:r>
          </w:p>
        </w:tc>
      </w:tr>
      <w:tr w:rsidR="000C2E7E" w:rsidRPr="000C2E7E" w14:paraId="4A09D834" w14:textId="77777777" w:rsidTr="000C2E7E">
        <w:trPr>
          <w:trHeight w:val="300"/>
        </w:trPr>
        <w:tc>
          <w:tcPr>
            <w:tcW w:w="3080" w:type="dxa"/>
            <w:tcBorders>
              <w:top w:val="nil"/>
              <w:left w:val="nil"/>
              <w:bottom w:val="nil"/>
              <w:right w:val="nil"/>
            </w:tcBorders>
            <w:shd w:val="clear" w:color="000000" w:fill="FFFFFF"/>
            <w:noWrap/>
            <w:vAlign w:val="bottom"/>
            <w:hideMark/>
          </w:tcPr>
          <w:p w14:paraId="273434C2"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Total gross margin</w:t>
            </w:r>
          </w:p>
        </w:tc>
        <w:tc>
          <w:tcPr>
            <w:tcW w:w="1080" w:type="dxa"/>
            <w:tcBorders>
              <w:top w:val="nil"/>
              <w:left w:val="nil"/>
              <w:bottom w:val="single" w:sz="8" w:space="0" w:color="auto"/>
              <w:right w:val="nil"/>
            </w:tcBorders>
            <w:shd w:val="clear" w:color="000000" w:fill="FFFFFF"/>
            <w:noWrap/>
            <w:vAlign w:val="bottom"/>
            <w:hideMark/>
          </w:tcPr>
          <w:p w14:paraId="18D8C381"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14,712 </w:t>
            </w:r>
          </w:p>
        </w:tc>
        <w:tc>
          <w:tcPr>
            <w:tcW w:w="180" w:type="dxa"/>
            <w:tcBorders>
              <w:top w:val="nil"/>
              <w:left w:val="nil"/>
              <w:bottom w:val="nil"/>
              <w:right w:val="nil"/>
            </w:tcBorders>
            <w:shd w:val="clear" w:color="000000" w:fill="FFFFFF"/>
            <w:noWrap/>
            <w:vAlign w:val="bottom"/>
            <w:hideMark/>
          </w:tcPr>
          <w:p w14:paraId="4ED0FB36"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8" w:space="0" w:color="auto"/>
              <w:right w:val="nil"/>
            </w:tcBorders>
            <w:shd w:val="clear" w:color="000000" w:fill="FFFFFF"/>
            <w:noWrap/>
            <w:vAlign w:val="bottom"/>
            <w:hideMark/>
          </w:tcPr>
          <w:p w14:paraId="42422E2B"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$15,749 </w:t>
            </w:r>
          </w:p>
        </w:tc>
        <w:tc>
          <w:tcPr>
            <w:tcW w:w="100" w:type="dxa"/>
            <w:tcBorders>
              <w:top w:val="nil"/>
              <w:left w:val="nil"/>
              <w:bottom w:val="nil"/>
              <w:right w:val="nil"/>
            </w:tcBorders>
            <w:shd w:val="clear" w:color="000000" w:fill="FFFFFF"/>
            <w:noWrap/>
            <w:vAlign w:val="bottom"/>
            <w:hideMark/>
          </w:tcPr>
          <w:p w14:paraId="7FF20281" w14:textId="77777777" w:rsidR="000C2E7E" w:rsidRPr="000C2E7E" w:rsidRDefault="000C2E7E" w:rsidP="000C2E7E">
            <w:pPr>
              <w:spacing w:after="0" w:line="240" w:lineRule="auto"/>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w:t>
            </w:r>
          </w:p>
        </w:tc>
        <w:tc>
          <w:tcPr>
            <w:tcW w:w="1080" w:type="dxa"/>
            <w:tcBorders>
              <w:top w:val="nil"/>
              <w:left w:val="nil"/>
              <w:bottom w:val="single" w:sz="8" w:space="0" w:color="auto"/>
              <w:right w:val="nil"/>
            </w:tcBorders>
            <w:shd w:val="clear" w:color="000000" w:fill="FFFFFF"/>
            <w:noWrap/>
            <w:vAlign w:val="bottom"/>
            <w:hideMark/>
          </w:tcPr>
          <w:p w14:paraId="02571BBC" w14:textId="77777777" w:rsidR="000C2E7E" w:rsidRPr="000C2E7E" w:rsidRDefault="000C2E7E" w:rsidP="000C2E7E">
            <w:pPr>
              <w:spacing w:after="0" w:line="240" w:lineRule="auto"/>
              <w:jc w:val="right"/>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xml:space="preserve"> $   60,542 </w:t>
            </w:r>
          </w:p>
        </w:tc>
        <w:tc>
          <w:tcPr>
            <w:tcW w:w="180" w:type="dxa"/>
            <w:tcBorders>
              <w:top w:val="nil"/>
              <w:left w:val="nil"/>
              <w:bottom w:val="nil"/>
              <w:right w:val="nil"/>
            </w:tcBorders>
            <w:shd w:val="clear" w:color="000000" w:fill="FFFFFF"/>
            <w:noWrap/>
            <w:vAlign w:val="bottom"/>
            <w:hideMark/>
          </w:tcPr>
          <w:p w14:paraId="62CF9AFD" w14:textId="77777777" w:rsidR="000C2E7E" w:rsidRPr="000C2E7E" w:rsidRDefault="000C2E7E" w:rsidP="000C2E7E">
            <w:pPr>
              <w:spacing w:after="0" w:line="240" w:lineRule="auto"/>
              <w:rPr>
                <w:rFonts w:ascii="Segoe UI" w:eastAsia="Times New Roman" w:hAnsi="Segoe UI" w:cs="Segoe UI"/>
                <w:b/>
                <w:bCs/>
                <w:color w:val="666666"/>
                <w:sz w:val="20"/>
                <w:szCs w:val="20"/>
              </w:rPr>
            </w:pPr>
            <w:r w:rsidRPr="000C2E7E">
              <w:rPr>
                <w:rFonts w:ascii="Segoe UI" w:eastAsia="Times New Roman" w:hAnsi="Segoe UI" w:cs="Segoe UI"/>
                <w:b/>
                <w:bCs/>
                <w:color w:val="666666"/>
                <w:sz w:val="20"/>
                <w:szCs w:val="20"/>
              </w:rPr>
              <w:t> </w:t>
            </w:r>
          </w:p>
        </w:tc>
        <w:tc>
          <w:tcPr>
            <w:tcW w:w="920" w:type="dxa"/>
            <w:tcBorders>
              <w:top w:val="nil"/>
              <w:left w:val="nil"/>
              <w:bottom w:val="single" w:sz="8" w:space="0" w:color="auto"/>
              <w:right w:val="nil"/>
            </w:tcBorders>
            <w:shd w:val="clear" w:color="000000" w:fill="FFFFFF"/>
            <w:noWrap/>
            <w:vAlign w:val="bottom"/>
            <w:hideMark/>
          </w:tcPr>
          <w:p w14:paraId="5179D5BF" w14:textId="77777777" w:rsidR="000C2E7E" w:rsidRPr="000C2E7E" w:rsidRDefault="000C2E7E" w:rsidP="000C2E7E">
            <w:pPr>
              <w:spacing w:after="0" w:line="240" w:lineRule="auto"/>
              <w:jc w:val="right"/>
              <w:rPr>
                <w:rFonts w:ascii="Segoe UI" w:eastAsia="Times New Roman" w:hAnsi="Segoe UI" w:cs="Segoe UI"/>
                <w:color w:val="666666"/>
                <w:sz w:val="20"/>
                <w:szCs w:val="20"/>
              </w:rPr>
            </w:pPr>
            <w:r w:rsidRPr="000C2E7E">
              <w:rPr>
                <w:rFonts w:ascii="Segoe UI" w:eastAsia="Times New Roman" w:hAnsi="Segoe UI" w:cs="Segoe UI"/>
                <w:color w:val="666666"/>
                <w:sz w:val="20"/>
                <w:szCs w:val="20"/>
              </w:rPr>
              <w:t xml:space="preserve"> $59,755 </w:t>
            </w:r>
          </w:p>
        </w:tc>
      </w:tr>
    </w:tbl>
    <w:p w14:paraId="2D3C2BF3" w14:textId="77777777" w:rsidR="000C2E7E" w:rsidRDefault="000C2E7E" w:rsidP="00EA786C">
      <w:pPr>
        <w:pStyle w:val="NoSpacing"/>
        <w:spacing w:after="200" w:line="280" w:lineRule="exact"/>
        <w:rPr>
          <w:rFonts w:ascii="Segoe UI" w:hAnsi="Segoe UI" w:cs="Segoe UI"/>
          <w:color w:val="666666"/>
          <w:sz w:val="20"/>
          <w:szCs w:val="20"/>
        </w:rPr>
      </w:pPr>
    </w:p>
    <w:p w14:paraId="76B8183B" w14:textId="77777777" w:rsidR="000C2E7E" w:rsidRDefault="000C2E7E" w:rsidP="00EA786C">
      <w:pPr>
        <w:pStyle w:val="NoSpacing"/>
        <w:spacing w:after="200" w:line="280" w:lineRule="exact"/>
        <w:rPr>
          <w:rFonts w:ascii="Segoe UI" w:hAnsi="Segoe UI" w:cs="Segoe UI"/>
          <w:color w:val="666666"/>
          <w:sz w:val="20"/>
          <w:szCs w:val="20"/>
        </w:rPr>
      </w:pPr>
    </w:p>
    <w:p w14:paraId="0F868B5E" w14:textId="77777777" w:rsidR="000C2E7E" w:rsidRDefault="000C2E7E" w:rsidP="00EA786C">
      <w:pPr>
        <w:pStyle w:val="NoSpacing"/>
        <w:spacing w:after="200" w:line="280" w:lineRule="exact"/>
        <w:rPr>
          <w:rFonts w:ascii="Segoe UI" w:hAnsi="Segoe UI" w:cs="Segoe UI"/>
          <w:color w:val="666666"/>
          <w:sz w:val="20"/>
          <w:szCs w:val="20"/>
        </w:rPr>
      </w:pPr>
    </w:p>
    <w:p w14:paraId="379D5969" w14:textId="77777777" w:rsidR="000C2E7E" w:rsidRDefault="000C2E7E" w:rsidP="00EA786C">
      <w:pPr>
        <w:pStyle w:val="NoSpacing"/>
        <w:spacing w:after="200" w:line="280" w:lineRule="exact"/>
        <w:rPr>
          <w:rFonts w:ascii="Segoe UI" w:hAnsi="Segoe UI" w:cs="Segoe UI"/>
          <w:color w:val="666666"/>
          <w:sz w:val="20"/>
          <w:szCs w:val="20"/>
        </w:rPr>
      </w:pPr>
    </w:p>
    <w:p w14:paraId="2A7BD6D4" w14:textId="77777777" w:rsidR="000C2E7E" w:rsidRDefault="000C2E7E" w:rsidP="00EA786C">
      <w:pPr>
        <w:pStyle w:val="NoSpacing"/>
        <w:spacing w:after="200" w:line="280" w:lineRule="exact"/>
        <w:rPr>
          <w:rFonts w:ascii="Segoe UI" w:hAnsi="Segoe UI" w:cs="Segoe UI"/>
          <w:color w:val="666666"/>
          <w:sz w:val="20"/>
          <w:szCs w:val="20"/>
        </w:rPr>
      </w:pPr>
    </w:p>
    <w:p w14:paraId="6BED5A01" w14:textId="77777777" w:rsidR="000C2E7E" w:rsidRDefault="000C2E7E" w:rsidP="00EA786C">
      <w:pPr>
        <w:pStyle w:val="NoSpacing"/>
        <w:spacing w:after="200" w:line="280" w:lineRule="exact"/>
        <w:rPr>
          <w:rFonts w:ascii="Segoe UI" w:hAnsi="Segoe UI" w:cs="Segoe UI"/>
          <w:color w:val="666666"/>
          <w:sz w:val="20"/>
          <w:szCs w:val="20"/>
        </w:rPr>
      </w:pPr>
    </w:p>
    <w:p w14:paraId="0BA2D426" w14:textId="77777777" w:rsidR="000C2E7E" w:rsidRDefault="000C2E7E" w:rsidP="00EA786C">
      <w:pPr>
        <w:pStyle w:val="NoSpacing"/>
        <w:spacing w:after="200" w:line="280" w:lineRule="exact"/>
        <w:rPr>
          <w:rFonts w:ascii="Segoe UI" w:hAnsi="Segoe UI" w:cs="Segoe UI"/>
          <w:color w:val="666666"/>
          <w:sz w:val="20"/>
          <w:szCs w:val="20"/>
        </w:rPr>
      </w:pPr>
    </w:p>
    <w:p w14:paraId="00B16BFB" w14:textId="77777777" w:rsidR="000C2E7E" w:rsidRDefault="000C2E7E" w:rsidP="00EA786C">
      <w:pPr>
        <w:pStyle w:val="NoSpacing"/>
        <w:spacing w:after="200" w:line="280" w:lineRule="exact"/>
        <w:rPr>
          <w:rFonts w:ascii="Segoe UI" w:hAnsi="Segoe UI" w:cs="Segoe UI"/>
          <w:color w:val="666666"/>
          <w:sz w:val="20"/>
          <w:szCs w:val="20"/>
        </w:rPr>
      </w:pPr>
    </w:p>
    <w:p w14:paraId="31883C2C" w14:textId="77777777" w:rsidR="000C2E7E" w:rsidRDefault="000C2E7E" w:rsidP="00EA786C">
      <w:pPr>
        <w:pStyle w:val="NoSpacing"/>
        <w:spacing w:after="200" w:line="280" w:lineRule="exact"/>
        <w:rPr>
          <w:rFonts w:ascii="Segoe UI" w:hAnsi="Segoe UI" w:cs="Segoe UI"/>
          <w:color w:val="666666"/>
          <w:sz w:val="20"/>
          <w:szCs w:val="20"/>
        </w:rPr>
      </w:pPr>
    </w:p>
    <w:p w14:paraId="52794278" w14:textId="77777777" w:rsidR="000C2E7E" w:rsidRDefault="000C2E7E" w:rsidP="00EA786C">
      <w:pPr>
        <w:pStyle w:val="NoSpacing"/>
        <w:spacing w:after="200" w:line="280" w:lineRule="exact"/>
        <w:rPr>
          <w:rFonts w:ascii="Segoe UI" w:hAnsi="Segoe UI" w:cs="Segoe UI"/>
          <w:color w:val="666666"/>
          <w:sz w:val="20"/>
          <w:szCs w:val="20"/>
        </w:rPr>
      </w:pPr>
    </w:p>
    <w:p w14:paraId="10F7DCD0" w14:textId="77777777" w:rsidR="000C2E7E" w:rsidRDefault="000C2E7E" w:rsidP="00EA786C">
      <w:pPr>
        <w:pStyle w:val="NoSpacing"/>
        <w:spacing w:after="200" w:line="280" w:lineRule="exact"/>
        <w:rPr>
          <w:rFonts w:ascii="Segoe UI" w:hAnsi="Segoe UI" w:cs="Segoe UI"/>
          <w:color w:val="666666"/>
          <w:sz w:val="20"/>
          <w:szCs w:val="20"/>
        </w:rPr>
      </w:pPr>
    </w:p>
    <w:p w14:paraId="0FDEBFE1" w14:textId="77777777" w:rsidR="000C2E7E" w:rsidRDefault="000C2E7E" w:rsidP="00EA786C">
      <w:pPr>
        <w:pStyle w:val="NoSpacing"/>
        <w:spacing w:after="200" w:line="280" w:lineRule="exact"/>
        <w:rPr>
          <w:rFonts w:ascii="Segoe UI" w:hAnsi="Segoe UI" w:cs="Segoe UI"/>
          <w:color w:val="666666"/>
          <w:sz w:val="20"/>
          <w:szCs w:val="20"/>
        </w:rPr>
      </w:pPr>
    </w:p>
    <w:p w14:paraId="6F73C392" w14:textId="77777777" w:rsidR="000C2E7E" w:rsidRDefault="000C2E7E" w:rsidP="00EA786C">
      <w:pPr>
        <w:pStyle w:val="NoSpacing"/>
        <w:spacing w:after="200" w:line="280" w:lineRule="exact"/>
        <w:rPr>
          <w:rFonts w:ascii="Segoe UI" w:hAnsi="Segoe UI" w:cs="Segoe UI"/>
          <w:color w:val="666666"/>
          <w:sz w:val="20"/>
          <w:szCs w:val="20"/>
        </w:rPr>
      </w:pPr>
    </w:p>
    <w:p w14:paraId="4722B804" w14:textId="77777777" w:rsidR="000C2E7E" w:rsidRDefault="000C2E7E" w:rsidP="00EA786C">
      <w:pPr>
        <w:pStyle w:val="NoSpacing"/>
        <w:spacing w:after="200" w:line="280" w:lineRule="exact"/>
        <w:rPr>
          <w:rFonts w:ascii="Segoe UI" w:hAnsi="Segoe UI" w:cs="Segoe UI"/>
          <w:color w:val="666666"/>
          <w:sz w:val="20"/>
          <w:szCs w:val="20"/>
        </w:rPr>
      </w:pPr>
    </w:p>
    <w:p w14:paraId="6CB583C4" w14:textId="77777777" w:rsidR="0044077A" w:rsidRPr="008E4C0A" w:rsidRDefault="0044077A" w:rsidP="0044077A">
      <w:pPr>
        <w:pStyle w:val="NormalWeb"/>
        <w:keepNext/>
        <w:spacing w:before="160" w:beforeAutospacing="0" w:after="160" w:afterAutospacing="0"/>
        <w:jc w:val="center"/>
        <w:rPr>
          <w:rFonts w:ascii="Segoe UI" w:hAnsi="Segoe UI" w:cs="Segoe UI"/>
          <w:b/>
          <w:bCs/>
          <w:color w:val="666666"/>
          <w:sz w:val="20"/>
          <w:szCs w:val="20"/>
        </w:rPr>
      </w:pPr>
      <w:r>
        <w:rPr>
          <w:rFonts w:ascii="Segoe UI" w:hAnsi="Segoe UI" w:cs="Segoe UI"/>
          <w:b/>
          <w:bCs/>
          <w:color w:val="666666"/>
          <w:sz w:val="20"/>
          <w:szCs w:val="20"/>
        </w:rPr>
        <w:t>M</w:t>
      </w:r>
      <w:r w:rsidRPr="008E4C0A">
        <w:rPr>
          <w:rFonts w:ascii="Segoe UI" w:hAnsi="Segoe UI" w:cs="Segoe UI"/>
          <w:b/>
          <w:bCs/>
          <w:color w:val="666666"/>
          <w:sz w:val="20"/>
          <w:szCs w:val="20"/>
        </w:rPr>
        <w:t>ICROSOFT CORPORATION</w:t>
      </w:r>
    </w:p>
    <w:p w14:paraId="0A8CD990" w14:textId="77777777" w:rsidR="0044077A" w:rsidRPr="008E4C0A" w:rsidRDefault="0044077A" w:rsidP="0044077A">
      <w:pPr>
        <w:pStyle w:val="NormalWeb"/>
        <w:keepNext/>
        <w:spacing w:before="160" w:beforeAutospacing="0" w:after="160" w:afterAutospacing="0"/>
        <w:jc w:val="center"/>
        <w:rPr>
          <w:rFonts w:ascii="Segoe UI" w:hAnsi="Segoe UI" w:cs="Segoe UI"/>
          <w:b/>
          <w:bCs/>
          <w:color w:val="666666"/>
          <w:sz w:val="20"/>
          <w:szCs w:val="20"/>
        </w:rPr>
      </w:pPr>
      <w:r w:rsidRPr="008E4C0A">
        <w:rPr>
          <w:rFonts w:ascii="Segoe UI" w:hAnsi="Segoe UI" w:cs="Segoe UI"/>
          <w:b/>
          <w:bCs/>
          <w:color w:val="666666"/>
          <w:sz w:val="20"/>
          <w:szCs w:val="20"/>
        </w:rPr>
        <w:t>FOURTH QUARTER FINANCIAL HIGHLIGHTS</w:t>
      </w:r>
    </w:p>
    <w:p w14:paraId="58831764" w14:textId="77777777" w:rsidR="0044077A" w:rsidRPr="008E4C0A" w:rsidRDefault="0044077A" w:rsidP="0044077A">
      <w:pPr>
        <w:spacing w:before="160" w:line="280" w:lineRule="exact"/>
        <w:jc w:val="both"/>
        <w:rPr>
          <w:rFonts w:ascii="Segoe UI" w:hAnsi="Segoe UI" w:cs="Segoe UI"/>
          <w:b/>
          <w:bCs/>
          <w:color w:val="666666"/>
          <w:sz w:val="20"/>
          <w:szCs w:val="20"/>
        </w:rPr>
      </w:pPr>
      <w:r>
        <w:rPr>
          <w:rFonts w:ascii="Segoe UI" w:hAnsi="Segoe UI" w:cs="Segoe UI"/>
          <w:color w:val="666666"/>
          <w:sz w:val="20"/>
          <w:szCs w:val="20"/>
        </w:rPr>
        <w:t>All growth comparisons relate to the corresponding period in the last fiscal year. Please refer to the reconciliation of our GAAP and Non-GAAP financial results in the table provided above for additional information.</w:t>
      </w:r>
    </w:p>
    <w:p w14:paraId="38254C5E" w14:textId="77777777" w:rsidR="0044077A" w:rsidRPr="0005515B" w:rsidRDefault="0044077A" w:rsidP="0044077A">
      <w:pPr>
        <w:pStyle w:val="NormalWeb"/>
        <w:keepNext/>
        <w:spacing w:before="160" w:beforeAutospacing="0" w:after="160" w:afterAutospacing="0"/>
        <w:rPr>
          <w:color w:val="FF0000"/>
        </w:rPr>
      </w:pPr>
      <w:r w:rsidRPr="008E4C0A">
        <w:rPr>
          <w:rFonts w:ascii="Segoe UI" w:hAnsi="Segoe UI" w:cs="Segoe UI"/>
          <w:b/>
          <w:bCs/>
          <w:color w:val="666666"/>
          <w:sz w:val="20"/>
          <w:szCs w:val="20"/>
        </w:rPr>
        <w:t>SUMMARY</w:t>
      </w:r>
    </w:p>
    <w:p w14:paraId="09EF815A" w14:textId="77777777" w:rsidR="0044077A" w:rsidRPr="00CD24E7" w:rsidRDefault="0044077A" w:rsidP="0044077A">
      <w:pPr>
        <w:pStyle w:val="NormalWeb"/>
        <w:spacing w:before="160" w:beforeAutospacing="0" w:after="160" w:afterAutospacing="0"/>
        <w:rPr>
          <w:rFonts w:ascii="Segoe UI" w:hAnsi="Segoe UI" w:cs="Segoe UI"/>
          <w:color w:val="666666"/>
          <w:sz w:val="20"/>
          <w:szCs w:val="20"/>
        </w:rPr>
      </w:pPr>
      <w:r w:rsidRPr="0096006A">
        <w:rPr>
          <w:rFonts w:ascii="Segoe UI" w:hAnsi="Segoe UI" w:cs="Segoe UI"/>
          <w:color w:val="666666"/>
          <w:sz w:val="20"/>
          <w:szCs w:val="20"/>
        </w:rPr>
        <w:t xml:space="preserve">Revenue was </w:t>
      </w:r>
      <w:r w:rsidRPr="00647AC7">
        <w:rPr>
          <w:rFonts w:ascii="Segoe UI" w:hAnsi="Segoe UI" w:cs="Segoe UI"/>
          <w:color w:val="666666"/>
          <w:sz w:val="20"/>
          <w:szCs w:val="20"/>
        </w:rPr>
        <w:t>$</w:t>
      </w:r>
      <w:r>
        <w:rPr>
          <w:rFonts w:ascii="Segoe UI" w:hAnsi="Segoe UI" w:cs="Segoe UI"/>
          <w:color w:val="666666"/>
          <w:sz w:val="20"/>
          <w:szCs w:val="20"/>
        </w:rPr>
        <w:t>22.2</w:t>
      </w:r>
      <w:r w:rsidRPr="00647AC7">
        <w:rPr>
          <w:rFonts w:ascii="Segoe UI" w:hAnsi="Segoe UI" w:cs="Segoe UI"/>
          <w:color w:val="666666"/>
          <w:sz w:val="20"/>
          <w:szCs w:val="20"/>
        </w:rPr>
        <w:t xml:space="preserve"> </w:t>
      </w:r>
      <w:r w:rsidRPr="0096006A">
        <w:rPr>
          <w:rFonts w:ascii="Segoe UI" w:hAnsi="Segoe UI" w:cs="Segoe UI"/>
          <w:color w:val="666666"/>
          <w:sz w:val="20"/>
          <w:szCs w:val="20"/>
        </w:rPr>
        <w:t xml:space="preserve">billion, </w:t>
      </w:r>
      <w:r>
        <w:rPr>
          <w:rFonts w:ascii="Segoe UI" w:hAnsi="Segoe UI" w:cs="Segoe UI"/>
          <w:color w:val="666666"/>
          <w:sz w:val="20"/>
          <w:szCs w:val="20"/>
        </w:rPr>
        <w:t>down</w:t>
      </w:r>
      <w:r w:rsidRPr="0096006A">
        <w:rPr>
          <w:rFonts w:ascii="Segoe UI" w:hAnsi="Segoe UI" w:cs="Segoe UI"/>
          <w:color w:val="666666"/>
          <w:sz w:val="20"/>
          <w:szCs w:val="20"/>
        </w:rPr>
        <w:t xml:space="preserve"> </w:t>
      </w:r>
      <w:r>
        <w:rPr>
          <w:rFonts w:ascii="Segoe UI" w:hAnsi="Segoe UI" w:cs="Segoe UI"/>
          <w:color w:val="666666"/>
          <w:sz w:val="20"/>
          <w:szCs w:val="20"/>
        </w:rPr>
        <w:t>5</w:t>
      </w:r>
      <w:r w:rsidRPr="00647AC7">
        <w:rPr>
          <w:rFonts w:ascii="Segoe UI" w:hAnsi="Segoe UI" w:cs="Segoe UI"/>
          <w:color w:val="666666"/>
          <w:sz w:val="20"/>
          <w:szCs w:val="20"/>
        </w:rPr>
        <w:t>%</w:t>
      </w:r>
      <w:r>
        <w:rPr>
          <w:rFonts w:ascii="Segoe UI" w:hAnsi="Segoe UI" w:cs="Segoe UI"/>
          <w:color w:val="666666"/>
          <w:sz w:val="20"/>
          <w:szCs w:val="20"/>
        </w:rPr>
        <w:t xml:space="preserve"> year-over-</w:t>
      </w:r>
      <w:r w:rsidRPr="0096006A">
        <w:rPr>
          <w:rFonts w:ascii="Segoe UI" w:hAnsi="Segoe UI" w:cs="Segoe UI"/>
          <w:color w:val="666666"/>
          <w:sz w:val="20"/>
          <w:szCs w:val="20"/>
        </w:rPr>
        <w:t>year</w:t>
      </w:r>
      <w:r>
        <w:rPr>
          <w:rFonts w:ascii="Segoe UI" w:hAnsi="Segoe UI" w:cs="Segoe UI"/>
          <w:color w:val="666666"/>
          <w:sz w:val="20"/>
          <w:szCs w:val="20"/>
        </w:rPr>
        <w:t xml:space="preserve">. </w:t>
      </w:r>
      <w:r w:rsidRPr="00CD24E7">
        <w:rPr>
          <w:rFonts w:ascii="Segoe UI" w:hAnsi="Segoe UI" w:cs="Segoe UI"/>
          <w:color w:val="666666"/>
          <w:sz w:val="20"/>
          <w:szCs w:val="20"/>
        </w:rPr>
        <w:t xml:space="preserve">Revenue included an unfavorable foreign currency impact of </w:t>
      </w:r>
      <w:r w:rsidRPr="007A3406">
        <w:rPr>
          <w:rFonts w:ascii="Segoe UI" w:hAnsi="Segoe UI" w:cs="Segoe UI"/>
          <w:color w:val="666666"/>
          <w:sz w:val="20"/>
          <w:szCs w:val="20"/>
        </w:rPr>
        <w:t>approximately 3%.</w:t>
      </w:r>
      <w:r>
        <w:rPr>
          <w:rFonts w:ascii="Segoe UI" w:hAnsi="Segoe UI" w:cs="Segoe UI"/>
          <w:color w:val="666666"/>
          <w:sz w:val="20"/>
          <w:szCs w:val="20"/>
        </w:rPr>
        <w:t xml:space="preserve"> </w:t>
      </w:r>
    </w:p>
    <w:p w14:paraId="44420CF2" w14:textId="77777777" w:rsidR="0044077A" w:rsidRPr="00CD24E7" w:rsidRDefault="0044077A" w:rsidP="0044077A">
      <w:pPr>
        <w:pStyle w:val="NormalWeb"/>
        <w:spacing w:before="160" w:beforeAutospacing="0" w:after="160" w:afterAutospacing="0"/>
        <w:rPr>
          <w:rFonts w:ascii="Segoe UI" w:hAnsi="Segoe UI" w:cs="Segoe UI"/>
          <w:color w:val="666666"/>
          <w:sz w:val="20"/>
          <w:szCs w:val="20"/>
        </w:rPr>
      </w:pPr>
      <w:r>
        <w:rPr>
          <w:rFonts w:ascii="Segoe UI" w:hAnsi="Segoe UI" w:cs="Segoe UI"/>
          <w:color w:val="666666"/>
          <w:sz w:val="20"/>
          <w:szCs w:val="20"/>
        </w:rPr>
        <w:t>G</w:t>
      </w:r>
      <w:r w:rsidRPr="004A55C8">
        <w:rPr>
          <w:rFonts w:ascii="Segoe UI" w:hAnsi="Segoe UI" w:cs="Segoe UI"/>
          <w:color w:val="666666"/>
          <w:sz w:val="20"/>
          <w:szCs w:val="20"/>
        </w:rPr>
        <w:t xml:space="preserve">ross margin </w:t>
      </w:r>
      <w:r>
        <w:rPr>
          <w:rFonts w:ascii="Segoe UI" w:hAnsi="Segoe UI" w:cs="Segoe UI"/>
          <w:color w:val="666666"/>
          <w:sz w:val="20"/>
          <w:szCs w:val="20"/>
        </w:rPr>
        <w:t>was</w:t>
      </w:r>
      <w:r w:rsidRPr="004A55C8">
        <w:rPr>
          <w:rFonts w:ascii="Segoe UI" w:hAnsi="Segoe UI" w:cs="Segoe UI"/>
          <w:color w:val="666666"/>
          <w:sz w:val="20"/>
          <w:szCs w:val="20"/>
        </w:rPr>
        <w:t xml:space="preserve"> </w:t>
      </w:r>
      <w:r w:rsidRPr="00DF655E">
        <w:rPr>
          <w:rFonts w:ascii="Segoe UI" w:hAnsi="Segoe UI" w:cs="Segoe UI"/>
          <w:color w:val="666666"/>
          <w:sz w:val="20"/>
          <w:szCs w:val="20"/>
        </w:rPr>
        <w:t>$</w:t>
      </w:r>
      <w:r>
        <w:rPr>
          <w:rFonts w:ascii="Segoe UI" w:hAnsi="Segoe UI" w:cs="Segoe UI"/>
          <w:color w:val="666666"/>
          <w:sz w:val="20"/>
          <w:szCs w:val="20"/>
        </w:rPr>
        <w:t>14.7</w:t>
      </w:r>
      <w:r w:rsidRPr="004A55C8">
        <w:rPr>
          <w:rFonts w:ascii="Segoe UI" w:hAnsi="Segoe UI" w:cs="Segoe UI"/>
          <w:color w:val="666666"/>
          <w:sz w:val="20"/>
          <w:szCs w:val="20"/>
        </w:rPr>
        <w:t xml:space="preserve"> billion, </w:t>
      </w:r>
      <w:r>
        <w:rPr>
          <w:rFonts w:ascii="Segoe UI" w:hAnsi="Segoe UI" w:cs="Segoe UI"/>
          <w:color w:val="666666"/>
          <w:sz w:val="20"/>
          <w:szCs w:val="20"/>
        </w:rPr>
        <w:t>down</w:t>
      </w:r>
      <w:r w:rsidRPr="004A55C8">
        <w:rPr>
          <w:rFonts w:ascii="Segoe UI" w:hAnsi="Segoe UI" w:cs="Segoe UI"/>
          <w:color w:val="666666"/>
          <w:sz w:val="20"/>
          <w:szCs w:val="20"/>
        </w:rPr>
        <w:t xml:space="preserve"> </w:t>
      </w:r>
      <w:r>
        <w:rPr>
          <w:rFonts w:ascii="Segoe UI" w:hAnsi="Segoe UI" w:cs="Segoe UI"/>
          <w:color w:val="666666"/>
          <w:sz w:val="20"/>
          <w:szCs w:val="20"/>
        </w:rPr>
        <w:t>7</w:t>
      </w:r>
      <w:r w:rsidRPr="00DF655E">
        <w:rPr>
          <w:rFonts w:ascii="Segoe UI" w:hAnsi="Segoe UI" w:cs="Segoe UI"/>
          <w:color w:val="666666"/>
          <w:sz w:val="20"/>
          <w:szCs w:val="20"/>
        </w:rPr>
        <w:t>%</w:t>
      </w:r>
      <w:r w:rsidRPr="004A55C8">
        <w:rPr>
          <w:rFonts w:ascii="Segoe UI" w:hAnsi="Segoe UI" w:cs="Segoe UI"/>
          <w:color w:val="666666"/>
          <w:sz w:val="20"/>
          <w:szCs w:val="20"/>
        </w:rPr>
        <w:t xml:space="preserve"> year-over-year. </w:t>
      </w:r>
      <w:r>
        <w:rPr>
          <w:rFonts w:ascii="Segoe UI" w:hAnsi="Segoe UI" w:cs="Segoe UI"/>
          <w:color w:val="666666"/>
          <w:sz w:val="20"/>
          <w:szCs w:val="20"/>
        </w:rPr>
        <w:t>Gross margin</w:t>
      </w:r>
      <w:r w:rsidRPr="00CD24E7">
        <w:rPr>
          <w:rFonts w:ascii="Segoe UI" w:hAnsi="Segoe UI" w:cs="Segoe UI"/>
          <w:color w:val="666666"/>
          <w:sz w:val="20"/>
          <w:szCs w:val="20"/>
        </w:rPr>
        <w:t xml:space="preserve"> included an unfavorable foreign currency impact of </w:t>
      </w:r>
      <w:r w:rsidRPr="007A3406">
        <w:rPr>
          <w:rFonts w:ascii="Segoe UI" w:hAnsi="Segoe UI" w:cs="Segoe UI"/>
          <w:color w:val="666666"/>
          <w:sz w:val="20"/>
          <w:szCs w:val="20"/>
        </w:rPr>
        <w:t xml:space="preserve">approximately </w:t>
      </w:r>
      <w:r>
        <w:rPr>
          <w:rFonts w:ascii="Segoe UI" w:hAnsi="Segoe UI" w:cs="Segoe UI"/>
          <w:color w:val="666666"/>
          <w:sz w:val="20"/>
          <w:szCs w:val="20"/>
        </w:rPr>
        <w:t>4</w:t>
      </w:r>
      <w:r w:rsidRPr="007A3406">
        <w:rPr>
          <w:rFonts w:ascii="Segoe UI" w:hAnsi="Segoe UI" w:cs="Segoe UI"/>
          <w:color w:val="666666"/>
          <w:sz w:val="20"/>
          <w:szCs w:val="20"/>
        </w:rPr>
        <w:t>%.</w:t>
      </w:r>
      <w:r>
        <w:rPr>
          <w:rFonts w:ascii="Segoe UI" w:hAnsi="Segoe UI" w:cs="Segoe UI"/>
          <w:color w:val="666666"/>
          <w:sz w:val="20"/>
          <w:szCs w:val="20"/>
        </w:rPr>
        <w:t xml:space="preserve"> </w:t>
      </w:r>
    </w:p>
    <w:p w14:paraId="34F7830C" w14:textId="77777777" w:rsidR="0044077A" w:rsidRPr="00F06421" w:rsidRDefault="0044077A" w:rsidP="0044077A">
      <w:pPr>
        <w:pStyle w:val="NormalWeb"/>
        <w:spacing w:before="160" w:beforeAutospacing="0" w:after="160" w:afterAutospacing="0"/>
        <w:rPr>
          <w:rFonts w:ascii="Segoe UI" w:hAnsi="Segoe UI" w:cs="Segoe UI"/>
          <w:color w:val="666666"/>
          <w:sz w:val="20"/>
          <w:szCs w:val="20"/>
        </w:rPr>
      </w:pPr>
      <w:r w:rsidRPr="004D2665">
        <w:rPr>
          <w:rFonts w:ascii="Segoe UI" w:hAnsi="Segoe UI" w:cs="Segoe UI"/>
          <w:color w:val="666666"/>
          <w:sz w:val="20"/>
          <w:szCs w:val="20"/>
        </w:rPr>
        <w:t xml:space="preserve">Operating </w:t>
      </w:r>
      <w:r>
        <w:rPr>
          <w:rFonts w:ascii="Segoe UI" w:hAnsi="Segoe UI" w:cs="Segoe UI"/>
          <w:color w:val="666666"/>
          <w:sz w:val="20"/>
          <w:szCs w:val="20"/>
        </w:rPr>
        <w:t>loss</w:t>
      </w:r>
      <w:r w:rsidRPr="004D2665">
        <w:rPr>
          <w:rFonts w:ascii="Segoe UI" w:hAnsi="Segoe UI" w:cs="Segoe UI"/>
          <w:color w:val="666666"/>
          <w:sz w:val="20"/>
          <w:szCs w:val="20"/>
        </w:rPr>
        <w:t xml:space="preserve"> was $</w:t>
      </w:r>
      <w:r>
        <w:rPr>
          <w:rFonts w:ascii="Segoe UI" w:hAnsi="Segoe UI" w:cs="Segoe UI"/>
          <w:color w:val="666666"/>
          <w:sz w:val="20"/>
          <w:szCs w:val="20"/>
        </w:rPr>
        <w:t>2.1</w:t>
      </w:r>
      <w:r w:rsidRPr="004D2665">
        <w:rPr>
          <w:rFonts w:ascii="Segoe UI" w:hAnsi="Segoe UI" w:cs="Segoe UI"/>
          <w:color w:val="666666"/>
          <w:sz w:val="20"/>
          <w:szCs w:val="20"/>
        </w:rPr>
        <w:t xml:space="preserve"> billion, </w:t>
      </w:r>
      <w:r>
        <w:rPr>
          <w:rFonts w:ascii="Segoe UI" w:hAnsi="Segoe UI" w:cs="Segoe UI"/>
          <w:color w:val="666666"/>
          <w:sz w:val="20"/>
          <w:szCs w:val="20"/>
        </w:rPr>
        <w:t xml:space="preserve">compared to operating income of $6.5 billion in the prior year. Operating loss included $8.4 billion of impairment, integration, and restructuring expenses. </w:t>
      </w:r>
      <w:r w:rsidRPr="004D2665">
        <w:rPr>
          <w:rFonts w:ascii="Segoe UI" w:hAnsi="Segoe UI" w:cs="Segoe UI"/>
          <w:color w:val="666666"/>
          <w:sz w:val="20"/>
          <w:szCs w:val="20"/>
        </w:rPr>
        <w:t xml:space="preserve">Non-GAAP operating income </w:t>
      </w:r>
      <w:r>
        <w:rPr>
          <w:rFonts w:ascii="Segoe UI" w:hAnsi="Segoe UI" w:cs="Segoe UI"/>
          <w:color w:val="666666"/>
          <w:sz w:val="20"/>
          <w:szCs w:val="20"/>
        </w:rPr>
        <w:t>was $6.4 billion, down 3</w:t>
      </w:r>
      <w:r w:rsidRPr="004D2665">
        <w:rPr>
          <w:rFonts w:ascii="Segoe UI" w:hAnsi="Segoe UI" w:cs="Segoe UI"/>
          <w:color w:val="666666"/>
          <w:sz w:val="20"/>
          <w:szCs w:val="20"/>
        </w:rPr>
        <w:t>%</w:t>
      </w:r>
      <w:r>
        <w:rPr>
          <w:rFonts w:ascii="Segoe UI" w:hAnsi="Segoe UI" w:cs="Segoe UI"/>
          <w:color w:val="666666"/>
          <w:sz w:val="20"/>
          <w:szCs w:val="20"/>
        </w:rPr>
        <w:t xml:space="preserve"> year-over-year, including an adjustment for impairment, integration, and restructuring expenses as described in the Non-GAAP reconciliation above.</w:t>
      </w:r>
    </w:p>
    <w:p w14:paraId="166B22C0" w14:textId="77777777" w:rsidR="0044077A" w:rsidRPr="00594CCA" w:rsidRDefault="0044077A" w:rsidP="0044077A">
      <w:pPr>
        <w:spacing w:after="160" w:line="280" w:lineRule="exact"/>
        <w:rPr>
          <w:rFonts w:ascii="Segoe UI" w:eastAsiaTheme="minorHAnsi" w:hAnsi="Segoe UI" w:cs="Segoe UI"/>
          <w:color w:val="666666"/>
          <w:sz w:val="20"/>
          <w:szCs w:val="20"/>
        </w:rPr>
      </w:pPr>
      <w:r>
        <w:rPr>
          <w:rFonts w:ascii="Segoe UI" w:hAnsi="Segoe UI" w:cs="Segoe UI"/>
          <w:color w:val="666666"/>
          <w:sz w:val="20"/>
          <w:szCs w:val="20"/>
        </w:rPr>
        <w:t xml:space="preserve">EPS </w:t>
      </w:r>
      <w:r w:rsidRPr="004A55C8">
        <w:rPr>
          <w:rFonts w:ascii="Segoe UI" w:hAnsi="Segoe UI" w:cs="Segoe UI"/>
          <w:color w:val="666666"/>
          <w:sz w:val="20"/>
          <w:szCs w:val="20"/>
        </w:rPr>
        <w:t xml:space="preserve">was </w:t>
      </w:r>
      <w:r w:rsidRPr="00DF655E">
        <w:rPr>
          <w:rFonts w:ascii="Segoe UI" w:hAnsi="Segoe UI" w:cs="Segoe UI"/>
          <w:color w:val="666666"/>
          <w:sz w:val="20"/>
          <w:szCs w:val="20"/>
        </w:rPr>
        <w:t>$</w:t>
      </w:r>
      <w:r>
        <w:rPr>
          <w:rFonts w:ascii="Segoe UI" w:hAnsi="Segoe UI" w:cs="Segoe UI"/>
          <w:color w:val="666666"/>
          <w:sz w:val="20"/>
          <w:szCs w:val="20"/>
        </w:rPr>
        <w:t>(0.40</w:t>
      </w:r>
      <w:r w:rsidRPr="00BA34D0">
        <w:rPr>
          <w:rFonts w:ascii="Segoe UI" w:hAnsi="Segoe UI" w:cs="Segoe UI"/>
          <w:color w:val="666666"/>
          <w:sz w:val="20"/>
          <w:szCs w:val="20"/>
        </w:rPr>
        <w:t>)</w:t>
      </w:r>
      <w:r w:rsidRPr="004A55C8">
        <w:rPr>
          <w:rFonts w:ascii="Segoe UI" w:hAnsi="Segoe UI" w:cs="Segoe UI"/>
          <w:color w:val="666666"/>
          <w:sz w:val="20"/>
          <w:szCs w:val="20"/>
        </w:rPr>
        <w:t xml:space="preserve">, </w:t>
      </w:r>
      <w:r>
        <w:rPr>
          <w:rFonts w:ascii="Segoe UI" w:hAnsi="Segoe UI" w:cs="Segoe UI"/>
          <w:color w:val="666666"/>
          <w:sz w:val="20"/>
          <w:szCs w:val="20"/>
        </w:rPr>
        <w:t>compared to $0.55 in the prior year</w:t>
      </w:r>
      <w:r w:rsidRPr="004A55C8">
        <w:rPr>
          <w:rFonts w:ascii="Segoe UI" w:hAnsi="Segoe UI" w:cs="Segoe UI"/>
          <w:color w:val="666666"/>
          <w:sz w:val="20"/>
          <w:szCs w:val="20"/>
        </w:rPr>
        <w:t xml:space="preserve">. </w:t>
      </w:r>
      <w:r>
        <w:rPr>
          <w:rFonts w:ascii="Segoe UI" w:hAnsi="Segoe UI" w:cs="Segoe UI"/>
          <w:color w:val="666666"/>
          <w:sz w:val="20"/>
          <w:szCs w:val="20"/>
        </w:rPr>
        <w:t xml:space="preserve">EPS was </w:t>
      </w:r>
      <w:r w:rsidRPr="00972AD8">
        <w:rPr>
          <w:rFonts w:ascii="Segoe UI" w:hAnsi="Segoe UI" w:cs="Segoe UI"/>
          <w:color w:val="666666"/>
          <w:sz w:val="20"/>
          <w:szCs w:val="20"/>
        </w:rPr>
        <w:t xml:space="preserve">negatively impacted by </w:t>
      </w:r>
      <w:r>
        <w:rPr>
          <w:rFonts w:ascii="Segoe UI" w:hAnsi="Segoe UI" w:cs="Segoe UI"/>
          <w:color w:val="666666"/>
          <w:sz w:val="20"/>
          <w:szCs w:val="20"/>
        </w:rPr>
        <w:t>impairment, integration, and restructuring expenses</w:t>
      </w:r>
      <w:r w:rsidRPr="008B43E2">
        <w:rPr>
          <w:rFonts w:ascii="Segoe UI" w:hAnsi="Segoe UI" w:cs="Segoe UI"/>
          <w:color w:val="666666"/>
          <w:sz w:val="20"/>
          <w:szCs w:val="20"/>
        </w:rPr>
        <w:t xml:space="preserve">. </w:t>
      </w:r>
      <w:r>
        <w:rPr>
          <w:rFonts w:ascii="Segoe UI" w:hAnsi="Segoe UI" w:cs="Segoe UI"/>
          <w:color w:val="666666"/>
          <w:sz w:val="20"/>
          <w:szCs w:val="20"/>
        </w:rPr>
        <w:t xml:space="preserve">Non-GAAP EPS </w:t>
      </w:r>
      <w:r w:rsidRPr="008B43E2">
        <w:rPr>
          <w:rFonts w:ascii="Segoe UI" w:hAnsi="Segoe UI" w:cs="Segoe UI"/>
          <w:color w:val="666666"/>
          <w:sz w:val="20"/>
          <w:szCs w:val="20"/>
        </w:rPr>
        <w:t>was $</w:t>
      </w:r>
      <w:r>
        <w:rPr>
          <w:rFonts w:ascii="Segoe UI" w:hAnsi="Segoe UI" w:cs="Segoe UI"/>
          <w:color w:val="666666"/>
          <w:sz w:val="20"/>
          <w:szCs w:val="20"/>
        </w:rPr>
        <w:t>0.62</w:t>
      </w:r>
      <w:r w:rsidRPr="008B43E2">
        <w:rPr>
          <w:rFonts w:ascii="Segoe UI" w:hAnsi="Segoe UI" w:cs="Segoe UI"/>
          <w:color w:val="666666"/>
          <w:sz w:val="20"/>
          <w:szCs w:val="20"/>
        </w:rPr>
        <w:t xml:space="preserve">, and grew </w:t>
      </w:r>
      <w:r>
        <w:rPr>
          <w:rFonts w:ascii="Segoe UI" w:hAnsi="Segoe UI" w:cs="Segoe UI"/>
          <w:color w:val="666666"/>
          <w:sz w:val="20"/>
          <w:szCs w:val="20"/>
        </w:rPr>
        <w:t>11</w:t>
      </w:r>
      <w:r w:rsidRPr="00F72820">
        <w:rPr>
          <w:rFonts w:ascii="Segoe UI" w:hAnsi="Segoe UI" w:cs="Segoe UI"/>
          <w:color w:val="666666"/>
          <w:sz w:val="20"/>
          <w:szCs w:val="20"/>
        </w:rPr>
        <w:t>%</w:t>
      </w:r>
      <w:r>
        <w:rPr>
          <w:rFonts w:ascii="Segoe UI" w:hAnsi="Segoe UI" w:cs="Segoe UI"/>
          <w:color w:val="666666"/>
          <w:sz w:val="20"/>
          <w:szCs w:val="20"/>
        </w:rPr>
        <w:t xml:space="preserve"> year-over-year, including an adjustment for impairment, integration, and restructuring expenses</w:t>
      </w:r>
      <w:r w:rsidDel="00385F9B">
        <w:rPr>
          <w:rFonts w:ascii="Segoe UI" w:hAnsi="Segoe UI" w:cs="Segoe UI"/>
          <w:color w:val="666666"/>
          <w:sz w:val="20"/>
          <w:szCs w:val="20"/>
        </w:rPr>
        <w:t xml:space="preserve"> </w:t>
      </w:r>
      <w:r>
        <w:rPr>
          <w:rFonts w:ascii="Segoe UI" w:hAnsi="Segoe UI" w:cs="Segoe UI"/>
          <w:color w:val="666666"/>
          <w:sz w:val="20"/>
          <w:szCs w:val="20"/>
        </w:rPr>
        <w:t xml:space="preserve">as described in the Non-GAAP reconciliation above. </w:t>
      </w:r>
    </w:p>
    <w:p w14:paraId="2720ECDA" w14:textId="77777777" w:rsidR="0044077A" w:rsidRPr="004A55C8" w:rsidRDefault="0044077A" w:rsidP="0044077A">
      <w:pPr>
        <w:pStyle w:val="NormalWeb"/>
        <w:keepNext/>
        <w:spacing w:before="160" w:beforeAutospacing="0" w:after="160" w:afterAutospacing="0"/>
        <w:rPr>
          <w:rFonts w:ascii="Segoe UI" w:hAnsi="Segoe UI" w:cs="Segoe UI"/>
          <w:b/>
          <w:bCs/>
          <w:color w:val="666666"/>
          <w:sz w:val="20"/>
          <w:szCs w:val="20"/>
        </w:rPr>
      </w:pPr>
      <w:r w:rsidRPr="004A55C8">
        <w:rPr>
          <w:rFonts w:ascii="Segoe UI" w:hAnsi="Segoe UI" w:cs="Segoe UI"/>
          <w:b/>
          <w:bCs/>
          <w:color w:val="666666"/>
          <w:sz w:val="20"/>
          <w:szCs w:val="20"/>
        </w:rPr>
        <w:t>SEGMENT INFORMATION</w:t>
      </w:r>
    </w:p>
    <w:p w14:paraId="352B3D84" w14:textId="77777777" w:rsidR="0044077A" w:rsidRPr="004A55C8" w:rsidRDefault="0044077A" w:rsidP="0044077A">
      <w:pPr>
        <w:pStyle w:val="NormalWeb"/>
        <w:keepNext/>
        <w:spacing w:before="160" w:beforeAutospacing="0" w:after="160" w:afterAutospacing="0"/>
        <w:rPr>
          <w:rFonts w:ascii="Segoe UI" w:hAnsi="Segoe UI" w:cs="Segoe UI"/>
          <w:b/>
          <w:bCs/>
          <w:color w:val="666666"/>
          <w:sz w:val="20"/>
          <w:szCs w:val="20"/>
          <w:u w:val="single"/>
        </w:rPr>
      </w:pPr>
      <w:r w:rsidRPr="004A55C8">
        <w:rPr>
          <w:rFonts w:ascii="Segoe UI" w:hAnsi="Segoe UI" w:cs="Segoe UI"/>
          <w:b/>
          <w:bCs/>
          <w:color w:val="666666"/>
          <w:sz w:val="20"/>
          <w:szCs w:val="20"/>
          <w:u w:val="single"/>
        </w:rPr>
        <w:t>Devices and Consumer</w:t>
      </w:r>
      <w:r>
        <w:rPr>
          <w:rFonts w:ascii="Segoe UI" w:hAnsi="Segoe UI" w:cs="Segoe UI"/>
          <w:b/>
          <w:bCs/>
          <w:color w:val="666666"/>
          <w:sz w:val="20"/>
          <w:szCs w:val="20"/>
          <w:u w:val="single"/>
        </w:rPr>
        <w:t xml:space="preserve"> (“D&amp;C”)</w:t>
      </w:r>
    </w:p>
    <w:p w14:paraId="56E3AE05" w14:textId="77777777" w:rsidR="0044077A" w:rsidRPr="001805B3" w:rsidRDefault="0044077A" w:rsidP="0044077A">
      <w:pPr>
        <w:pStyle w:val="NormalWeb"/>
        <w:spacing w:before="160" w:beforeAutospacing="0" w:after="160" w:afterAutospacing="0"/>
        <w:rPr>
          <w:rFonts w:ascii="Segoe UI" w:hAnsi="Segoe UI" w:cs="Segoe UI"/>
          <w:color w:val="666666"/>
          <w:sz w:val="20"/>
          <w:szCs w:val="20"/>
        </w:rPr>
      </w:pPr>
      <w:r w:rsidRPr="004A55C8">
        <w:rPr>
          <w:rFonts w:ascii="Segoe UI" w:hAnsi="Segoe UI" w:cs="Segoe UI"/>
          <w:color w:val="666666"/>
          <w:sz w:val="20"/>
          <w:szCs w:val="20"/>
        </w:rPr>
        <w:t xml:space="preserve">Total D&amp;C revenue </w:t>
      </w:r>
      <w:r>
        <w:rPr>
          <w:rFonts w:ascii="Segoe UI" w:hAnsi="Segoe UI" w:cs="Segoe UI"/>
          <w:color w:val="666666"/>
          <w:sz w:val="20"/>
          <w:szCs w:val="20"/>
        </w:rPr>
        <w:t>de</w:t>
      </w:r>
      <w:r w:rsidRPr="001805B3">
        <w:rPr>
          <w:rFonts w:ascii="Segoe UI" w:hAnsi="Segoe UI" w:cs="Segoe UI"/>
          <w:color w:val="666666"/>
          <w:sz w:val="20"/>
          <w:szCs w:val="20"/>
        </w:rPr>
        <w:t>creased $</w:t>
      </w:r>
      <w:r>
        <w:rPr>
          <w:rFonts w:ascii="Segoe UI" w:hAnsi="Segoe UI" w:cs="Segoe UI"/>
          <w:color w:val="666666"/>
          <w:sz w:val="20"/>
          <w:szCs w:val="20"/>
        </w:rPr>
        <w:t>1.3</w:t>
      </w:r>
      <w:r w:rsidRPr="001805B3">
        <w:rPr>
          <w:rFonts w:ascii="Segoe UI" w:hAnsi="Segoe UI" w:cs="Segoe UI"/>
          <w:color w:val="666666"/>
          <w:sz w:val="20"/>
          <w:szCs w:val="20"/>
        </w:rPr>
        <w:t xml:space="preserve"> </w:t>
      </w:r>
      <w:r>
        <w:rPr>
          <w:rFonts w:ascii="Segoe UI" w:hAnsi="Segoe UI" w:cs="Segoe UI"/>
          <w:color w:val="666666"/>
          <w:sz w:val="20"/>
          <w:szCs w:val="20"/>
        </w:rPr>
        <w:t>billion</w:t>
      </w:r>
      <w:r w:rsidRPr="001805B3">
        <w:rPr>
          <w:rFonts w:ascii="Segoe UI" w:hAnsi="Segoe UI" w:cs="Segoe UI"/>
          <w:color w:val="666666"/>
          <w:sz w:val="20"/>
          <w:szCs w:val="20"/>
        </w:rPr>
        <w:t xml:space="preserve"> or </w:t>
      </w:r>
      <w:r>
        <w:rPr>
          <w:rFonts w:ascii="Segoe UI" w:hAnsi="Segoe UI" w:cs="Segoe UI"/>
          <w:color w:val="666666"/>
          <w:sz w:val="20"/>
          <w:szCs w:val="20"/>
        </w:rPr>
        <w:t xml:space="preserve">13%, primarily due to lower revenue from Phone Hardware, Windows OEM, Windows Phone, and Office Consumer, offset in part by higher revenue from Surface, Xbox, and search advertising. </w:t>
      </w:r>
      <w:r w:rsidRPr="00F06421">
        <w:rPr>
          <w:rFonts w:ascii="Segoe UI" w:hAnsi="Segoe UI" w:cs="Segoe UI"/>
          <w:color w:val="666666"/>
          <w:sz w:val="20"/>
          <w:szCs w:val="20"/>
        </w:rPr>
        <w:t xml:space="preserve">D&amp;C revenue included an unfavorable foreign currency impact of approximately </w:t>
      </w:r>
      <w:r w:rsidRPr="007A3406">
        <w:rPr>
          <w:rFonts w:ascii="Segoe UI" w:hAnsi="Segoe UI" w:cs="Segoe UI"/>
          <w:color w:val="666666"/>
          <w:sz w:val="20"/>
          <w:szCs w:val="20"/>
        </w:rPr>
        <w:t>3%. D&amp;C gross</w:t>
      </w:r>
      <w:r w:rsidRPr="001805B3">
        <w:rPr>
          <w:rFonts w:ascii="Segoe UI" w:hAnsi="Segoe UI" w:cs="Segoe UI"/>
          <w:color w:val="666666"/>
          <w:sz w:val="20"/>
          <w:szCs w:val="20"/>
        </w:rPr>
        <w:t xml:space="preserve"> margin </w:t>
      </w:r>
      <w:r>
        <w:rPr>
          <w:rFonts w:ascii="Segoe UI" w:hAnsi="Segoe UI" w:cs="Segoe UI"/>
          <w:color w:val="666666"/>
          <w:sz w:val="20"/>
          <w:szCs w:val="20"/>
        </w:rPr>
        <w:t>de</w:t>
      </w:r>
      <w:r w:rsidRPr="001805B3">
        <w:rPr>
          <w:rFonts w:ascii="Segoe UI" w:hAnsi="Segoe UI" w:cs="Segoe UI"/>
          <w:color w:val="666666"/>
          <w:sz w:val="20"/>
          <w:szCs w:val="20"/>
        </w:rPr>
        <w:t>creased $</w:t>
      </w:r>
      <w:r>
        <w:rPr>
          <w:rFonts w:ascii="Segoe UI" w:hAnsi="Segoe UI" w:cs="Segoe UI"/>
          <w:color w:val="666666"/>
          <w:sz w:val="20"/>
          <w:szCs w:val="20"/>
        </w:rPr>
        <w:t>993 million</w:t>
      </w:r>
      <w:r w:rsidRPr="001805B3">
        <w:rPr>
          <w:rFonts w:ascii="Segoe UI" w:hAnsi="Segoe UI" w:cs="Segoe UI"/>
          <w:color w:val="666666"/>
          <w:sz w:val="20"/>
          <w:szCs w:val="20"/>
        </w:rPr>
        <w:t xml:space="preserve"> or </w:t>
      </w:r>
      <w:r>
        <w:rPr>
          <w:rFonts w:ascii="Segoe UI" w:hAnsi="Segoe UI" w:cs="Segoe UI"/>
          <w:color w:val="666666"/>
          <w:sz w:val="20"/>
          <w:szCs w:val="20"/>
        </w:rPr>
        <w:t>20</w:t>
      </w:r>
      <w:r w:rsidRPr="001805B3">
        <w:rPr>
          <w:rFonts w:ascii="Segoe UI" w:hAnsi="Segoe UI" w:cs="Segoe UI"/>
          <w:color w:val="666666"/>
          <w:sz w:val="20"/>
          <w:szCs w:val="20"/>
        </w:rPr>
        <w:t>%</w:t>
      </w:r>
      <w:r>
        <w:rPr>
          <w:rFonts w:ascii="Segoe UI" w:hAnsi="Segoe UI" w:cs="Segoe UI"/>
          <w:color w:val="666666"/>
          <w:sz w:val="20"/>
          <w:szCs w:val="20"/>
        </w:rPr>
        <w:t>, due to lower revenue, offset in part by a $296 million or 6% decrease in cost of revenue.</w:t>
      </w:r>
    </w:p>
    <w:p w14:paraId="7797D113" w14:textId="77777777" w:rsidR="0044077A" w:rsidRPr="00E675BE" w:rsidRDefault="0044077A" w:rsidP="0044077A">
      <w:pPr>
        <w:spacing w:before="160" w:line="280" w:lineRule="exact"/>
        <w:jc w:val="both"/>
        <w:rPr>
          <w:rFonts w:ascii="Segoe UI" w:hAnsi="Segoe UI" w:cs="Segoe UI"/>
          <w:b/>
          <w:i/>
          <w:color w:val="666666"/>
          <w:sz w:val="20"/>
          <w:szCs w:val="20"/>
        </w:rPr>
      </w:pPr>
      <w:r w:rsidRPr="00E675BE">
        <w:rPr>
          <w:rFonts w:ascii="Segoe UI" w:hAnsi="Segoe UI" w:cs="Segoe UI"/>
          <w:b/>
          <w:i/>
          <w:color w:val="666666"/>
          <w:sz w:val="20"/>
          <w:szCs w:val="20"/>
        </w:rPr>
        <w:t>D&amp;C Licensing</w:t>
      </w:r>
    </w:p>
    <w:p w14:paraId="163CCF40" w14:textId="77777777" w:rsidR="0044077A" w:rsidRDefault="0044077A" w:rsidP="0044077A">
      <w:pPr>
        <w:pStyle w:val="NormalWeb"/>
        <w:spacing w:before="160" w:beforeAutospacing="0" w:after="160" w:afterAutospacing="0"/>
        <w:rPr>
          <w:rFonts w:ascii="Segoe UI" w:eastAsia="Calibri" w:hAnsi="Segoe UI" w:cs="Segoe UI"/>
          <w:color w:val="666666"/>
          <w:sz w:val="20"/>
          <w:szCs w:val="20"/>
        </w:rPr>
      </w:pPr>
      <w:r w:rsidRPr="00E675BE">
        <w:rPr>
          <w:rFonts w:ascii="Segoe UI" w:eastAsia="Calibri" w:hAnsi="Segoe UI" w:cs="Segoe UI"/>
          <w:color w:val="666666"/>
          <w:sz w:val="20"/>
          <w:szCs w:val="20"/>
        </w:rPr>
        <w:t xml:space="preserve">D&amp;C Licensing revenue </w:t>
      </w:r>
      <w:r>
        <w:rPr>
          <w:rFonts w:ascii="Segoe UI" w:eastAsia="Calibri" w:hAnsi="Segoe UI" w:cs="Segoe UI"/>
          <w:color w:val="666666"/>
          <w:sz w:val="20"/>
          <w:szCs w:val="20"/>
        </w:rPr>
        <w:t>de</w:t>
      </w:r>
      <w:r w:rsidRPr="00E675BE">
        <w:rPr>
          <w:rFonts w:ascii="Segoe UI" w:eastAsia="Calibri" w:hAnsi="Segoe UI" w:cs="Segoe UI"/>
          <w:color w:val="666666"/>
          <w:sz w:val="20"/>
          <w:szCs w:val="20"/>
        </w:rPr>
        <w:t xml:space="preserve">creased </w:t>
      </w:r>
      <w:r w:rsidRPr="00111215">
        <w:rPr>
          <w:rFonts w:ascii="Segoe UI" w:eastAsia="Calibri" w:hAnsi="Segoe UI" w:cs="Segoe UI"/>
          <w:color w:val="666666"/>
          <w:sz w:val="20"/>
          <w:szCs w:val="20"/>
        </w:rPr>
        <w:t>$</w:t>
      </w:r>
      <w:r>
        <w:rPr>
          <w:rFonts w:ascii="Segoe UI" w:eastAsia="Calibri" w:hAnsi="Segoe UI" w:cs="Segoe UI"/>
          <w:color w:val="666666"/>
          <w:sz w:val="20"/>
          <w:szCs w:val="20"/>
        </w:rPr>
        <w:t>1.7</w:t>
      </w:r>
      <w:r w:rsidRPr="00E675BE">
        <w:rPr>
          <w:rFonts w:ascii="Segoe UI" w:eastAsia="Calibri" w:hAnsi="Segoe UI" w:cs="Segoe UI"/>
          <w:color w:val="666666"/>
          <w:sz w:val="20"/>
          <w:szCs w:val="20"/>
        </w:rPr>
        <w:t xml:space="preserve"> </w:t>
      </w:r>
      <w:r>
        <w:rPr>
          <w:rFonts w:ascii="Segoe UI" w:eastAsia="Calibri" w:hAnsi="Segoe UI" w:cs="Segoe UI"/>
          <w:color w:val="666666"/>
          <w:sz w:val="20"/>
          <w:szCs w:val="20"/>
        </w:rPr>
        <w:t>b</w:t>
      </w:r>
      <w:r w:rsidRPr="00E675BE">
        <w:rPr>
          <w:rFonts w:ascii="Segoe UI" w:eastAsia="Calibri" w:hAnsi="Segoe UI" w:cs="Segoe UI"/>
          <w:color w:val="666666"/>
          <w:sz w:val="20"/>
          <w:szCs w:val="20"/>
        </w:rPr>
        <w:t xml:space="preserve">illion or </w:t>
      </w:r>
      <w:r>
        <w:rPr>
          <w:rFonts w:ascii="Segoe UI" w:eastAsia="Calibri" w:hAnsi="Segoe UI" w:cs="Segoe UI"/>
          <w:color w:val="666666"/>
          <w:sz w:val="20"/>
          <w:szCs w:val="20"/>
        </w:rPr>
        <w:t>34</w:t>
      </w:r>
      <w:r w:rsidRPr="00111215">
        <w:rPr>
          <w:rFonts w:ascii="Segoe UI" w:eastAsia="Calibri" w:hAnsi="Segoe UI" w:cs="Segoe UI"/>
          <w:color w:val="666666"/>
          <w:sz w:val="20"/>
          <w:szCs w:val="20"/>
        </w:rPr>
        <w:t>%</w:t>
      </w:r>
      <w:r w:rsidRPr="00E675BE">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mainly </w:t>
      </w:r>
      <w:r w:rsidRPr="00E675BE">
        <w:rPr>
          <w:rFonts w:ascii="Segoe UI" w:eastAsia="Calibri" w:hAnsi="Segoe UI" w:cs="Segoe UI"/>
          <w:color w:val="666666"/>
          <w:sz w:val="20"/>
          <w:szCs w:val="20"/>
        </w:rPr>
        <w:t>due to</w:t>
      </w:r>
      <w:r>
        <w:rPr>
          <w:rFonts w:ascii="Segoe UI" w:eastAsia="Calibri" w:hAnsi="Segoe UI" w:cs="Segoe UI"/>
          <w:color w:val="666666"/>
          <w:sz w:val="20"/>
          <w:szCs w:val="20"/>
        </w:rPr>
        <w:t xml:space="preserve"> lower revenue from Windows OEM, Windows Phone, and Office Consumer</w:t>
      </w:r>
      <w:r w:rsidRPr="00E675BE">
        <w:rPr>
          <w:rFonts w:ascii="Segoe UI" w:eastAsia="Calibri" w:hAnsi="Segoe UI" w:cs="Segoe UI"/>
          <w:color w:val="666666"/>
          <w:sz w:val="20"/>
          <w:szCs w:val="20"/>
        </w:rPr>
        <w:t>.</w:t>
      </w:r>
      <w:r>
        <w:rPr>
          <w:rFonts w:ascii="Segoe UI" w:eastAsia="Calibri" w:hAnsi="Segoe UI" w:cs="Segoe UI"/>
          <w:color w:val="666666"/>
          <w:sz w:val="20"/>
          <w:szCs w:val="20"/>
        </w:rPr>
        <w:t xml:space="preserve"> G</w:t>
      </w:r>
      <w:r w:rsidRPr="00E675BE">
        <w:rPr>
          <w:rFonts w:ascii="Segoe UI" w:eastAsia="Calibri" w:hAnsi="Segoe UI" w:cs="Segoe UI"/>
          <w:color w:val="666666"/>
          <w:sz w:val="20"/>
          <w:szCs w:val="20"/>
        </w:rPr>
        <w:t xml:space="preserve">ross margin </w:t>
      </w:r>
      <w:r>
        <w:rPr>
          <w:rFonts w:ascii="Segoe UI" w:eastAsia="Calibri" w:hAnsi="Segoe UI" w:cs="Segoe UI"/>
          <w:color w:val="666666"/>
          <w:sz w:val="20"/>
          <w:szCs w:val="20"/>
        </w:rPr>
        <w:t>de</w:t>
      </w:r>
      <w:r w:rsidRPr="00E675BE">
        <w:rPr>
          <w:rFonts w:ascii="Segoe UI" w:eastAsia="Calibri" w:hAnsi="Segoe UI" w:cs="Segoe UI"/>
          <w:color w:val="666666"/>
          <w:sz w:val="20"/>
          <w:szCs w:val="20"/>
        </w:rPr>
        <w:t xml:space="preserve">creased </w:t>
      </w:r>
      <w:r w:rsidRPr="00111215">
        <w:rPr>
          <w:rFonts w:ascii="Segoe UI" w:eastAsia="Calibri" w:hAnsi="Segoe UI" w:cs="Segoe UI"/>
          <w:color w:val="666666"/>
          <w:sz w:val="20"/>
          <w:szCs w:val="20"/>
        </w:rPr>
        <w:t>$</w:t>
      </w:r>
      <w:r>
        <w:rPr>
          <w:rFonts w:ascii="Segoe UI" w:eastAsia="Calibri" w:hAnsi="Segoe UI" w:cs="Segoe UI"/>
          <w:color w:val="666666"/>
          <w:sz w:val="20"/>
          <w:szCs w:val="20"/>
        </w:rPr>
        <w:t>1.6</w:t>
      </w:r>
      <w:r w:rsidRPr="00E675BE">
        <w:rPr>
          <w:rFonts w:ascii="Segoe UI" w:eastAsia="Calibri" w:hAnsi="Segoe UI" w:cs="Segoe UI"/>
          <w:color w:val="666666"/>
          <w:sz w:val="20"/>
          <w:szCs w:val="20"/>
        </w:rPr>
        <w:t xml:space="preserve"> </w:t>
      </w:r>
      <w:r>
        <w:rPr>
          <w:rFonts w:ascii="Segoe UI" w:eastAsia="Calibri" w:hAnsi="Segoe UI" w:cs="Segoe UI"/>
          <w:color w:val="666666"/>
          <w:sz w:val="20"/>
          <w:szCs w:val="20"/>
        </w:rPr>
        <w:t>b</w:t>
      </w:r>
      <w:r w:rsidRPr="00E675BE">
        <w:rPr>
          <w:rFonts w:ascii="Segoe UI" w:eastAsia="Calibri" w:hAnsi="Segoe UI" w:cs="Segoe UI"/>
          <w:color w:val="666666"/>
          <w:sz w:val="20"/>
          <w:szCs w:val="20"/>
        </w:rPr>
        <w:t xml:space="preserve">illion or </w:t>
      </w:r>
      <w:r>
        <w:rPr>
          <w:rFonts w:ascii="Segoe UI" w:eastAsia="Calibri" w:hAnsi="Segoe UI" w:cs="Segoe UI"/>
          <w:color w:val="666666"/>
          <w:sz w:val="20"/>
          <w:szCs w:val="20"/>
        </w:rPr>
        <w:t>34</w:t>
      </w:r>
      <w:r w:rsidRPr="00111215">
        <w:rPr>
          <w:rFonts w:ascii="Segoe UI" w:eastAsia="Calibri" w:hAnsi="Segoe UI" w:cs="Segoe UI"/>
          <w:color w:val="666666"/>
          <w:sz w:val="20"/>
          <w:szCs w:val="20"/>
        </w:rPr>
        <w:t>%</w:t>
      </w:r>
      <w:r w:rsidRPr="00E675BE">
        <w:rPr>
          <w:rFonts w:ascii="Segoe UI" w:eastAsia="Calibri" w:hAnsi="Segoe UI" w:cs="Segoe UI"/>
          <w:color w:val="666666"/>
          <w:sz w:val="20"/>
          <w:szCs w:val="20"/>
        </w:rPr>
        <w:t>.</w:t>
      </w:r>
    </w:p>
    <w:p w14:paraId="35E77BC7" w14:textId="77777777" w:rsidR="0044077A" w:rsidRPr="001C7BBC" w:rsidRDefault="0044077A" w:rsidP="0044077A">
      <w:pPr>
        <w:pStyle w:val="NormalWeb"/>
        <w:numPr>
          <w:ilvl w:val="0"/>
          <w:numId w:val="4"/>
        </w:numPr>
        <w:spacing w:before="160" w:beforeAutospacing="0" w:after="160" w:afterAutospacing="0"/>
        <w:rPr>
          <w:rFonts w:ascii="Segoe UI" w:eastAsia="Calibri" w:hAnsi="Segoe UI" w:cs="Segoe UI"/>
          <w:color w:val="666666"/>
          <w:sz w:val="20"/>
          <w:szCs w:val="20"/>
        </w:rPr>
      </w:pPr>
      <w:r w:rsidRPr="00E675BE">
        <w:rPr>
          <w:rFonts w:ascii="Segoe UI" w:eastAsia="Calibri" w:hAnsi="Segoe UI" w:cs="Segoe UI"/>
          <w:color w:val="666666"/>
          <w:sz w:val="20"/>
          <w:szCs w:val="20"/>
        </w:rPr>
        <w:t xml:space="preserve">Windows OEM revenue </w:t>
      </w:r>
      <w:r>
        <w:rPr>
          <w:rFonts w:ascii="Segoe UI" w:eastAsia="Calibri" w:hAnsi="Segoe UI" w:cs="Segoe UI"/>
          <w:color w:val="666666"/>
          <w:sz w:val="20"/>
          <w:szCs w:val="20"/>
        </w:rPr>
        <w:t>de</w:t>
      </w:r>
      <w:r w:rsidRPr="00E675BE">
        <w:rPr>
          <w:rFonts w:ascii="Segoe UI" w:eastAsia="Calibri" w:hAnsi="Segoe UI" w:cs="Segoe UI"/>
          <w:color w:val="666666"/>
          <w:sz w:val="20"/>
          <w:szCs w:val="20"/>
        </w:rPr>
        <w:t>creased</w:t>
      </w:r>
      <w:r>
        <w:rPr>
          <w:rFonts w:ascii="Segoe UI" w:eastAsia="Calibri" w:hAnsi="Segoe UI" w:cs="Segoe UI"/>
          <w:color w:val="666666"/>
          <w:sz w:val="20"/>
          <w:szCs w:val="20"/>
        </w:rPr>
        <w:t xml:space="preserve"> $683 million or 22</w:t>
      </w:r>
      <w:r w:rsidRPr="00111215">
        <w:rPr>
          <w:rFonts w:ascii="Segoe UI" w:eastAsia="Calibri" w:hAnsi="Segoe UI" w:cs="Segoe UI"/>
          <w:color w:val="666666"/>
          <w:sz w:val="20"/>
          <w:szCs w:val="20"/>
        </w:rPr>
        <w:t>%</w:t>
      </w:r>
      <w:r w:rsidRPr="00E675BE">
        <w:rPr>
          <w:rFonts w:ascii="Segoe UI" w:eastAsia="Calibri" w:hAnsi="Segoe UI" w:cs="Segoe UI"/>
          <w:color w:val="666666"/>
          <w:sz w:val="20"/>
          <w:szCs w:val="20"/>
        </w:rPr>
        <w:t xml:space="preserve">, </w:t>
      </w:r>
      <w:r>
        <w:rPr>
          <w:rFonts w:ascii="Segoe UI" w:eastAsia="Calibri" w:hAnsi="Segoe UI" w:cs="Segoe UI"/>
          <w:color w:val="666666"/>
          <w:sz w:val="20"/>
          <w:szCs w:val="20"/>
        </w:rPr>
        <w:t>as</w:t>
      </w:r>
      <w:r w:rsidRPr="00E675BE">
        <w:rPr>
          <w:rFonts w:ascii="Segoe UI" w:eastAsia="Calibri" w:hAnsi="Segoe UI" w:cs="Segoe UI"/>
          <w:color w:val="666666"/>
          <w:sz w:val="20"/>
          <w:szCs w:val="20"/>
        </w:rPr>
        <w:t xml:space="preserve"> Windows </w:t>
      </w:r>
      <w:r>
        <w:rPr>
          <w:rFonts w:ascii="Segoe UI" w:eastAsia="Calibri" w:hAnsi="Segoe UI" w:cs="Segoe UI"/>
          <w:color w:val="666666"/>
          <w:sz w:val="20"/>
          <w:szCs w:val="20"/>
        </w:rPr>
        <w:t xml:space="preserve">OEM </w:t>
      </w:r>
      <w:r w:rsidRPr="00E675BE">
        <w:rPr>
          <w:rFonts w:ascii="Segoe UI" w:eastAsia="Calibri" w:hAnsi="Segoe UI" w:cs="Segoe UI"/>
          <w:color w:val="666666"/>
          <w:sz w:val="20"/>
          <w:szCs w:val="20"/>
        </w:rPr>
        <w:t xml:space="preserve">Pro revenue </w:t>
      </w:r>
      <w:r>
        <w:rPr>
          <w:rFonts w:ascii="Segoe UI" w:eastAsia="Calibri" w:hAnsi="Segoe UI" w:cs="Segoe UI"/>
          <w:color w:val="666666"/>
          <w:sz w:val="20"/>
          <w:szCs w:val="20"/>
        </w:rPr>
        <w:t>de</w:t>
      </w:r>
      <w:r w:rsidRPr="00E675BE">
        <w:rPr>
          <w:rFonts w:ascii="Segoe UI" w:eastAsia="Calibri" w:hAnsi="Segoe UI" w:cs="Segoe UI"/>
          <w:color w:val="666666"/>
          <w:sz w:val="20"/>
          <w:szCs w:val="20"/>
        </w:rPr>
        <w:t>c</w:t>
      </w:r>
      <w:r>
        <w:rPr>
          <w:rFonts w:ascii="Segoe UI" w:eastAsia="Calibri" w:hAnsi="Segoe UI" w:cs="Segoe UI"/>
          <w:color w:val="666666"/>
          <w:sz w:val="20"/>
          <w:szCs w:val="20"/>
        </w:rPr>
        <w:t>lined</w:t>
      </w:r>
      <w:r w:rsidRPr="00E675BE">
        <w:rPr>
          <w:rFonts w:ascii="Segoe UI" w:eastAsia="Calibri" w:hAnsi="Segoe UI" w:cs="Segoe UI"/>
          <w:color w:val="666666"/>
          <w:sz w:val="20"/>
          <w:szCs w:val="20"/>
        </w:rPr>
        <w:t xml:space="preserve"> </w:t>
      </w:r>
      <w:r>
        <w:rPr>
          <w:rFonts w:ascii="Segoe UI" w:eastAsia="Calibri" w:hAnsi="Segoe UI" w:cs="Segoe UI"/>
          <w:color w:val="666666"/>
          <w:sz w:val="20"/>
          <w:szCs w:val="20"/>
        </w:rPr>
        <w:t>21</w:t>
      </w:r>
      <w:r w:rsidRPr="00111215">
        <w:rPr>
          <w:rFonts w:ascii="Segoe UI" w:eastAsia="Calibri" w:hAnsi="Segoe UI" w:cs="Segoe UI"/>
          <w:color w:val="666666"/>
          <w:sz w:val="20"/>
          <w:szCs w:val="20"/>
        </w:rPr>
        <w:t>%</w:t>
      </w:r>
      <w:r w:rsidRPr="00E675BE">
        <w:rPr>
          <w:rFonts w:ascii="Segoe UI" w:eastAsia="Calibri" w:hAnsi="Segoe UI" w:cs="Segoe UI"/>
          <w:color w:val="666666"/>
          <w:sz w:val="20"/>
          <w:szCs w:val="20"/>
        </w:rPr>
        <w:t xml:space="preserve"> an</w:t>
      </w:r>
      <w:r>
        <w:rPr>
          <w:rFonts w:ascii="Segoe UI" w:eastAsia="Calibri" w:hAnsi="Segoe UI" w:cs="Segoe UI"/>
          <w:color w:val="666666"/>
          <w:sz w:val="20"/>
          <w:szCs w:val="20"/>
        </w:rPr>
        <w:t xml:space="preserve">d Windows OEM non-Pro revenue declined </w:t>
      </w:r>
      <w:r w:rsidRPr="00202F20">
        <w:rPr>
          <w:rFonts w:ascii="Segoe UI" w:eastAsia="Calibri" w:hAnsi="Segoe UI" w:cs="Segoe UI"/>
          <w:color w:val="666666"/>
          <w:sz w:val="20"/>
          <w:szCs w:val="20"/>
        </w:rPr>
        <w:t>2</w:t>
      </w:r>
      <w:r>
        <w:rPr>
          <w:rFonts w:ascii="Segoe UI" w:eastAsia="Calibri" w:hAnsi="Segoe UI" w:cs="Segoe UI"/>
          <w:color w:val="666666"/>
          <w:sz w:val="20"/>
          <w:szCs w:val="20"/>
        </w:rPr>
        <w:t>7</w:t>
      </w:r>
      <w:r w:rsidRPr="00111215">
        <w:rPr>
          <w:rFonts w:ascii="Segoe UI" w:eastAsia="Calibri" w:hAnsi="Segoe UI" w:cs="Segoe UI"/>
          <w:color w:val="666666"/>
          <w:sz w:val="20"/>
          <w:szCs w:val="20"/>
        </w:rPr>
        <w:t>%</w:t>
      </w:r>
      <w:r>
        <w:rPr>
          <w:rFonts w:ascii="Segoe UI" w:eastAsia="Calibri" w:hAnsi="Segoe UI" w:cs="Segoe UI"/>
          <w:color w:val="666666"/>
          <w:sz w:val="20"/>
          <w:szCs w:val="20"/>
        </w:rPr>
        <w:t xml:space="preserve">. </w:t>
      </w:r>
      <w:r w:rsidRPr="00F06421">
        <w:rPr>
          <w:rFonts w:ascii="Segoe UI" w:eastAsia="Calibri" w:hAnsi="Segoe UI" w:cs="Segoe UI"/>
          <w:color w:val="666666"/>
          <w:sz w:val="20"/>
          <w:szCs w:val="20"/>
        </w:rPr>
        <w:t xml:space="preserve">Windows OEM Pro revenue decreased, primarily due to </w:t>
      </w:r>
      <w:r w:rsidRPr="00047623">
        <w:rPr>
          <w:rFonts w:ascii="Segoe UI" w:eastAsia="Calibri" w:hAnsi="Segoe UI" w:cs="Segoe UI"/>
          <w:color w:val="666666"/>
          <w:sz w:val="20"/>
          <w:szCs w:val="20"/>
        </w:rPr>
        <w:t xml:space="preserve">declines in the business </w:t>
      </w:r>
      <w:r w:rsidRPr="001C7BBC">
        <w:rPr>
          <w:rFonts w:ascii="Segoe UI" w:eastAsia="Calibri" w:hAnsi="Segoe UI" w:cs="Segoe UI"/>
          <w:color w:val="666666"/>
          <w:sz w:val="20"/>
          <w:szCs w:val="20"/>
        </w:rPr>
        <w:t xml:space="preserve">PC market and benefits realized from the expiration of support for Windows XP in the prior year. Windows OEM non-Pro revenue </w:t>
      </w:r>
      <w:r>
        <w:rPr>
          <w:rFonts w:ascii="Segoe UI" w:eastAsia="Calibri" w:hAnsi="Segoe UI" w:cs="Segoe UI"/>
          <w:color w:val="666666"/>
          <w:sz w:val="20"/>
          <w:szCs w:val="20"/>
        </w:rPr>
        <w:t>decreased</w:t>
      </w:r>
      <w:r w:rsidRPr="001C7BBC">
        <w:rPr>
          <w:rFonts w:ascii="Segoe UI" w:eastAsia="Calibri" w:hAnsi="Segoe UI" w:cs="Segoe UI"/>
          <w:color w:val="666666"/>
          <w:sz w:val="20"/>
          <w:szCs w:val="20"/>
        </w:rPr>
        <w:t xml:space="preserve">, </w:t>
      </w:r>
      <w:r w:rsidRPr="00F672DC">
        <w:rPr>
          <w:rFonts w:ascii="Segoe UI" w:eastAsia="Calibri" w:hAnsi="Segoe UI" w:cs="Segoe UI"/>
          <w:color w:val="666666"/>
          <w:sz w:val="20"/>
          <w:szCs w:val="20"/>
        </w:rPr>
        <w:t>as OEMs tightly managed PC inventory ahead of the Windows 10 launch, particularly in developed markets</w:t>
      </w:r>
      <w:r w:rsidRPr="001C7BBC">
        <w:rPr>
          <w:rFonts w:ascii="Segoe UI" w:eastAsia="Calibri" w:hAnsi="Segoe UI" w:cs="Segoe UI"/>
          <w:color w:val="666666"/>
          <w:sz w:val="20"/>
          <w:szCs w:val="20"/>
        </w:rPr>
        <w:t xml:space="preserve">. </w:t>
      </w:r>
    </w:p>
    <w:p w14:paraId="0C845D9C" w14:textId="77777777" w:rsidR="0044077A" w:rsidRDefault="0044077A" w:rsidP="0044077A">
      <w:pPr>
        <w:pStyle w:val="NormalWeb"/>
        <w:numPr>
          <w:ilvl w:val="0"/>
          <w:numId w:val="4"/>
        </w:numPr>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Windows Phone revenue decreased $552 million or 68%, mainly due to $382 million of revenue recognized in the prior year at the conclusion of the commercial agreement with Nokia, and a decline in royalty revenue.</w:t>
      </w:r>
    </w:p>
    <w:p w14:paraId="4D07D4C1" w14:textId="77777777" w:rsidR="0044077A" w:rsidRPr="001C7BBC" w:rsidRDefault="0044077A" w:rsidP="0044077A">
      <w:pPr>
        <w:pStyle w:val="NormalWeb"/>
        <w:numPr>
          <w:ilvl w:val="0"/>
          <w:numId w:val="4"/>
        </w:numPr>
        <w:spacing w:before="160" w:beforeAutospacing="0" w:after="160" w:afterAutospacing="0"/>
        <w:rPr>
          <w:rFonts w:ascii="Segoe UI" w:eastAsia="Calibri" w:hAnsi="Segoe UI" w:cs="Segoe UI"/>
          <w:color w:val="666666"/>
          <w:sz w:val="20"/>
          <w:szCs w:val="20"/>
        </w:rPr>
      </w:pPr>
      <w:r w:rsidRPr="00E2793B">
        <w:rPr>
          <w:rFonts w:ascii="Segoe UI" w:eastAsia="Calibri" w:hAnsi="Segoe UI" w:cs="Segoe UI"/>
          <w:color w:val="666666"/>
          <w:sz w:val="20"/>
          <w:szCs w:val="20"/>
        </w:rPr>
        <w:t xml:space="preserve">Office Consumer revenue </w:t>
      </w:r>
      <w:r>
        <w:rPr>
          <w:rFonts w:ascii="Segoe UI" w:eastAsia="Calibri" w:hAnsi="Segoe UI" w:cs="Segoe UI"/>
          <w:color w:val="666666"/>
          <w:sz w:val="20"/>
          <w:szCs w:val="20"/>
        </w:rPr>
        <w:t>de</w:t>
      </w:r>
      <w:r w:rsidRPr="00E2793B">
        <w:rPr>
          <w:rFonts w:ascii="Segoe UI" w:eastAsia="Calibri" w:hAnsi="Segoe UI" w:cs="Segoe UI"/>
          <w:color w:val="666666"/>
          <w:sz w:val="20"/>
          <w:szCs w:val="20"/>
        </w:rPr>
        <w:t>creased $</w:t>
      </w:r>
      <w:r>
        <w:rPr>
          <w:rFonts w:ascii="Segoe UI" w:eastAsia="Calibri" w:hAnsi="Segoe UI" w:cs="Segoe UI"/>
          <w:color w:val="666666"/>
          <w:sz w:val="20"/>
          <w:szCs w:val="20"/>
        </w:rPr>
        <w:t>330</w:t>
      </w:r>
      <w:r w:rsidRPr="00E2793B">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42</w:t>
      </w:r>
      <w:r w:rsidRPr="00E2793B">
        <w:rPr>
          <w:rFonts w:ascii="Segoe UI" w:eastAsia="Calibri" w:hAnsi="Segoe UI" w:cs="Segoe UI"/>
          <w:color w:val="666666"/>
          <w:sz w:val="20"/>
          <w:szCs w:val="20"/>
        </w:rPr>
        <w:t>%</w:t>
      </w:r>
      <w:r>
        <w:rPr>
          <w:rFonts w:ascii="Segoe UI" w:eastAsia="Calibri" w:hAnsi="Segoe UI" w:cs="Segoe UI"/>
          <w:color w:val="666666"/>
          <w:sz w:val="20"/>
          <w:szCs w:val="20"/>
        </w:rPr>
        <w:t xml:space="preserve">, </w:t>
      </w:r>
      <w:r w:rsidRPr="001C7BBC">
        <w:rPr>
          <w:rFonts w:ascii="Segoe UI" w:eastAsia="Calibri" w:hAnsi="Segoe UI" w:cs="Segoe UI"/>
          <w:color w:val="666666"/>
          <w:sz w:val="20"/>
          <w:szCs w:val="20"/>
        </w:rPr>
        <w:t xml:space="preserve">reflecting declines in the consumer PC market, particularly Japan where Office </w:t>
      </w:r>
      <w:r>
        <w:rPr>
          <w:rFonts w:ascii="Segoe UI" w:eastAsia="Calibri" w:hAnsi="Segoe UI" w:cs="Segoe UI"/>
          <w:color w:val="666666"/>
          <w:sz w:val="20"/>
          <w:szCs w:val="20"/>
        </w:rPr>
        <w:t>is predominantly pre-installed on new</w:t>
      </w:r>
      <w:r w:rsidRPr="001C7BBC">
        <w:rPr>
          <w:rFonts w:ascii="Segoe UI" w:eastAsia="Calibri" w:hAnsi="Segoe UI" w:cs="Segoe UI"/>
          <w:color w:val="666666"/>
          <w:sz w:val="20"/>
          <w:szCs w:val="20"/>
        </w:rPr>
        <w:t xml:space="preserve"> PCs, </w:t>
      </w:r>
      <w:r>
        <w:rPr>
          <w:rFonts w:ascii="Segoe UI" w:eastAsia="Calibri" w:hAnsi="Segoe UI" w:cs="Segoe UI"/>
          <w:color w:val="666666"/>
          <w:sz w:val="20"/>
          <w:szCs w:val="20"/>
        </w:rPr>
        <w:t xml:space="preserve">and </w:t>
      </w:r>
      <w:r w:rsidRPr="001C7BBC">
        <w:rPr>
          <w:rFonts w:ascii="Segoe UI" w:eastAsia="Calibri" w:hAnsi="Segoe UI" w:cs="Segoe UI"/>
          <w:color w:val="666666"/>
          <w:sz w:val="20"/>
          <w:szCs w:val="20"/>
        </w:rPr>
        <w:t>the transition of customers to Office 365 Consumer</w:t>
      </w:r>
      <w:r>
        <w:rPr>
          <w:rFonts w:ascii="Segoe UI" w:eastAsia="Calibri" w:hAnsi="Segoe UI" w:cs="Segoe UI"/>
          <w:color w:val="666666"/>
          <w:sz w:val="20"/>
          <w:szCs w:val="20"/>
        </w:rPr>
        <w:t>,</w:t>
      </w:r>
      <w:r w:rsidRPr="001C7BBC">
        <w:rPr>
          <w:rFonts w:ascii="Segoe UI" w:eastAsia="Calibri" w:hAnsi="Segoe UI" w:cs="Segoe UI"/>
          <w:color w:val="666666"/>
          <w:sz w:val="20"/>
          <w:szCs w:val="20"/>
        </w:rPr>
        <w:t xml:space="preserve"> </w:t>
      </w:r>
      <w:r>
        <w:rPr>
          <w:rFonts w:ascii="Segoe UI" w:eastAsia="Calibri" w:hAnsi="Segoe UI" w:cs="Segoe UI"/>
          <w:color w:val="666666"/>
          <w:sz w:val="20"/>
          <w:szCs w:val="20"/>
        </w:rPr>
        <w:t>where</w:t>
      </w:r>
      <w:r w:rsidRPr="001C7BBC">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revenue </w:t>
      </w:r>
      <w:r w:rsidRPr="001C7BBC">
        <w:rPr>
          <w:rFonts w:ascii="Segoe UI" w:eastAsia="Calibri" w:hAnsi="Segoe UI" w:cs="Segoe UI"/>
          <w:color w:val="666666"/>
          <w:sz w:val="20"/>
          <w:szCs w:val="20"/>
        </w:rPr>
        <w:t>is recognized ratably.</w:t>
      </w:r>
    </w:p>
    <w:p w14:paraId="4079DAF6" w14:textId="77777777" w:rsidR="0044077A" w:rsidRPr="00CA404F" w:rsidRDefault="0044077A" w:rsidP="0044077A">
      <w:pPr>
        <w:spacing w:before="160" w:line="280" w:lineRule="exact"/>
        <w:jc w:val="both"/>
        <w:rPr>
          <w:rFonts w:ascii="Segoe UI" w:hAnsi="Segoe UI" w:cs="Segoe UI"/>
          <w:b/>
          <w:i/>
          <w:color w:val="666666"/>
          <w:sz w:val="20"/>
          <w:szCs w:val="20"/>
        </w:rPr>
      </w:pPr>
      <w:r w:rsidRPr="004A55C8">
        <w:rPr>
          <w:rFonts w:ascii="Segoe UI" w:hAnsi="Segoe UI" w:cs="Segoe UI"/>
          <w:b/>
          <w:i/>
          <w:color w:val="666666"/>
          <w:sz w:val="20"/>
          <w:szCs w:val="20"/>
        </w:rPr>
        <w:t>Computing and Gaming Hardware</w:t>
      </w:r>
    </w:p>
    <w:p w14:paraId="1DD1E9F5" w14:textId="77777777" w:rsidR="0044077A" w:rsidRPr="001A71E0" w:rsidRDefault="0044077A" w:rsidP="0044077A">
      <w:pPr>
        <w:pStyle w:val="NormalWeb"/>
        <w:spacing w:before="160" w:beforeAutospacing="0" w:after="160" w:afterAutospacing="0"/>
        <w:rPr>
          <w:rFonts w:ascii="Segoe UI" w:eastAsia="Calibri" w:hAnsi="Segoe UI" w:cs="Segoe UI"/>
          <w:color w:val="666666"/>
          <w:sz w:val="20"/>
          <w:szCs w:val="20"/>
        </w:rPr>
      </w:pPr>
      <w:r w:rsidRPr="004A55C8">
        <w:rPr>
          <w:rFonts w:ascii="Segoe UI" w:eastAsia="Calibri" w:hAnsi="Segoe UI" w:cs="Segoe UI"/>
          <w:color w:val="666666"/>
          <w:sz w:val="20"/>
          <w:szCs w:val="20"/>
        </w:rPr>
        <w:t>Computing and Gaming Hardware</w:t>
      </w:r>
      <w:r w:rsidRPr="00CA404F">
        <w:rPr>
          <w:rFonts w:ascii="Segoe UI" w:eastAsia="Calibri" w:hAnsi="Segoe UI" w:cs="Segoe UI"/>
          <w:color w:val="666666"/>
          <w:sz w:val="20"/>
          <w:szCs w:val="20"/>
        </w:rPr>
        <w:t xml:space="preserve"> revenue increased </w:t>
      </w:r>
      <w:r w:rsidRPr="00B565A7">
        <w:rPr>
          <w:rFonts w:ascii="Segoe UI" w:eastAsia="Calibri" w:hAnsi="Segoe UI" w:cs="Segoe UI"/>
          <w:color w:val="666666"/>
          <w:sz w:val="20"/>
          <w:szCs w:val="20"/>
        </w:rPr>
        <w:t>$</w:t>
      </w:r>
      <w:r>
        <w:rPr>
          <w:rFonts w:ascii="Segoe UI" w:eastAsia="Calibri" w:hAnsi="Segoe UI" w:cs="Segoe UI"/>
          <w:color w:val="666666"/>
          <w:sz w:val="20"/>
          <w:szCs w:val="20"/>
        </w:rPr>
        <w:t>591</w:t>
      </w:r>
      <w:r w:rsidRPr="00CA404F">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44</w:t>
      </w:r>
      <w:r w:rsidRPr="00B565A7">
        <w:rPr>
          <w:rFonts w:ascii="Segoe UI" w:eastAsia="Calibri" w:hAnsi="Segoe UI" w:cs="Segoe UI"/>
          <w:color w:val="666666"/>
          <w:sz w:val="20"/>
          <w:szCs w:val="20"/>
        </w:rPr>
        <w:t>%</w:t>
      </w:r>
      <w:r w:rsidRPr="004A55C8">
        <w:rPr>
          <w:rFonts w:ascii="Segoe UI" w:eastAsia="Calibri" w:hAnsi="Segoe UI" w:cs="Segoe UI"/>
          <w:color w:val="666666"/>
          <w:sz w:val="20"/>
          <w:szCs w:val="20"/>
        </w:rPr>
        <w:t>, dr</w:t>
      </w:r>
      <w:r>
        <w:rPr>
          <w:rFonts w:ascii="Segoe UI" w:eastAsia="Calibri" w:hAnsi="Segoe UI" w:cs="Segoe UI"/>
          <w:color w:val="666666"/>
          <w:sz w:val="20"/>
          <w:szCs w:val="20"/>
        </w:rPr>
        <w:t>iven by higher Surface and Xbox P</w:t>
      </w:r>
      <w:r w:rsidRPr="004A55C8">
        <w:rPr>
          <w:rFonts w:ascii="Segoe UI" w:eastAsia="Calibri" w:hAnsi="Segoe UI" w:cs="Segoe UI"/>
          <w:color w:val="666666"/>
          <w:sz w:val="20"/>
          <w:szCs w:val="20"/>
        </w:rPr>
        <w:t>latform revenue. G</w:t>
      </w:r>
      <w:r w:rsidRPr="00B565A7">
        <w:rPr>
          <w:rFonts w:ascii="Segoe UI" w:eastAsia="Calibri" w:hAnsi="Segoe UI" w:cs="Segoe UI"/>
          <w:color w:val="666666"/>
          <w:sz w:val="20"/>
          <w:szCs w:val="20"/>
        </w:rPr>
        <w:t>ross margin increased $</w:t>
      </w:r>
      <w:r>
        <w:rPr>
          <w:rFonts w:ascii="Segoe UI" w:eastAsia="Calibri" w:hAnsi="Segoe UI" w:cs="Segoe UI"/>
          <w:color w:val="666666"/>
          <w:sz w:val="20"/>
          <w:szCs w:val="20"/>
        </w:rPr>
        <w:t>417</w:t>
      </w:r>
      <w:r w:rsidRPr="00B565A7">
        <w:rPr>
          <w:rFonts w:ascii="Segoe UI" w:eastAsia="Calibri" w:hAnsi="Segoe UI" w:cs="Segoe UI"/>
          <w:color w:val="666666"/>
          <w:sz w:val="20"/>
          <w:szCs w:val="20"/>
        </w:rPr>
        <w:t xml:space="preserve"> million</w:t>
      </w:r>
      <w:r>
        <w:rPr>
          <w:rFonts w:ascii="Segoe UI" w:eastAsia="Calibri" w:hAnsi="Segoe UI" w:cs="Segoe UI"/>
          <w:color w:val="666666"/>
          <w:sz w:val="20"/>
          <w:szCs w:val="20"/>
        </w:rPr>
        <w:t>, and benefitted from the mix shift to Surface Pro 3 and Surface 3.</w:t>
      </w:r>
    </w:p>
    <w:p w14:paraId="190926A3" w14:textId="77777777" w:rsidR="0044077A" w:rsidRPr="00DD4877" w:rsidRDefault="0044077A" w:rsidP="0044077A">
      <w:pPr>
        <w:pStyle w:val="NormalWeb"/>
        <w:numPr>
          <w:ilvl w:val="0"/>
          <w:numId w:val="4"/>
        </w:numPr>
        <w:spacing w:before="160" w:beforeAutospacing="0" w:after="160" w:afterAutospacing="0"/>
        <w:rPr>
          <w:rFonts w:ascii="Segoe UI" w:eastAsia="Calibri" w:hAnsi="Segoe UI" w:cs="Segoe UI"/>
          <w:color w:val="666666"/>
          <w:sz w:val="20"/>
          <w:szCs w:val="20"/>
        </w:rPr>
      </w:pPr>
      <w:r w:rsidRPr="00DD4877">
        <w:rPr>
          <w:rFonts w:ascii="Segoe UI" w:eastAsia="Calibri" w:hAnsi="Segoe UI" w:cs="Segoe UI"/>
          <w:color w:val="666666"/>
          <w:sz w:val="20"/>
          <w:szCs w:val="20"/>
        </w:rPr>
        <w:t xml:space="preserve">Surface revenue </w:t>
      </w:r>
      <w:r>
        <w:rPr>
          <w:rFonts w:ascii="Segoe UI" w:eastAsia="Calibri" w:hAnsi="Segoe UI" w:cs="Segoe UI"/>
          <w:color w:val="666666"/>
          <w:sz w:val="20"/>
          <w:szCs w:val="20"/>
        </w:rPr>
        <w:t xml:space="preserve">increased </w:t>
      </w:r>
      <w:r w:rsidRPr="00E24564">
        <w:rPr>
          <w:rFonts w:ascii="Segoe UI" w:eastAsia="Calibri" w:hAnsi="Segoe UI" w:cs="Segoe UI"/>
          <w:color w:val="666666"/>
          <w:sz w:val="20"/>
          <w:szCs w:val="20"/>
        </w:rPr>
        <w:t>117% to $888 million,</w:t>
      </w:r>
      <w:r w:rsidRPr="00DD4877">
        <w:rPr>
          <w:rFonts w:ascii="Segoe UI" w:eastAsia="Calibri" w:hAnsi="Segoe UI" w:cs="Segoe UI"/>
          <w:color w:val="666666"/>
          <w:sz w:val="20"/>
          <w:szCs w:val="20"/>
        </w:rPr>
        <w:t xml:space="preserve"> </w:t>
      </w:r>
      <w:r>
        <w:rPr>
          <w:rFonts w:ascii="Segoe UI" w:eastAsia="Calibri" w:hAnsi="Segoe UI" w:cs="Segoe UI"/>
          <w:color w:val="666666"/>
          <w:sz w:val="20"/>
          <w:szCs w:val="20"/>
        </w:rPr>
        <w:t>driven by</w:t>
      </w:r>
      <w:r w:rsidRPr="00DD4877">
        <w:rPr>
          <w:rFonts w:ascii="Segoe UI" w:eastAsia="Calibri" w:hAnsi="Segoe UI" w:cs="Segoe UI"/>
          <w:color w:val="666666"/>
          <w:sz w:val="20"/>
          <w:szCs w:val="20"/>
        </w:rPr>
        <w:t xml:space="preserve"> Surface Pro 3</w:t>
      </w:r>
      <w:r>
        <w:rPr>
          <w:rFonts w:ascii="Segoe UI" w:eastAsia="Calibri" w:hAnsi="Segoe UI" w:cs="Segoe UI"/>
          <w:color w:val="666666"/>
          <w:sz w:val="20"/>
          <w:szCs w:val="20"/>
        </w:rPr>
        <w:t xml:space="preserve"> and Surface 3 units sold</w:t>
      </w:r>
      <w:r w:rsidRPr="00DD4877">
        <w:rPr>
          <w:rFonts w:ascii="Segoe UI" w:eastAsia="Calibri" w:hAnsi="Segoe UI" w:cs="Segoe UI"/>
          <w:color w:val="666666"/>
          <w:sz w:val="20"/>
          <w:szCs w:val="20"/>
        </w:rPr>
        <w:t>.</w:t>
      </w:r>
      <w:r>
        <w:rPr>
          <w:rFonts w:ascii="Segoe UI" w:eastAsia="Calibri" w:hAnsi="Segoe UI" w:cs="Segoe UI"/>
          <w:color w:val="666666"/>
          <w:sz w:val="20"/>
          <w:szCs w:val="20"/>
        </w:rPr>
        <w:t xml:space="preserve"> </w:t>
      </w:r>
      <w:r w:rsidRPr="00DD4877">
        <w:rPr>
          <w:rFonts w:ascii="Segoe UI" w:eastAsiaTheme="minorHAnsi" w:hAnsi="Segoe UI" w:cs="Segoe UI"/>
          <w:color w:val="666666"/>
          <w:sz w:val="20"/>
          <w:szCs w:val="20"/>
        </w:rPr>
        <w:t>We launched Surface Pro 3</w:t>
      </w:r>
      <w:r>
        <w:rPr>
          <w:rFonts w:ascii="Segoe UI" w:eastAsiaTheme="minorHAnsi" w:hAnsi="Segoe UI" w:cs="Segoe UI"/>
          <w:color w:val="666666"/>
          <w:sz w:val="20"/>
          <w:szCs w:val="20"/>
        </w:rPr>
        <w:t xml:space="preserve"> and Surface 3 in June 2014 and May 2015, respectively</w:t>
      </w:r>
      <w:r w:rsidRPr="00DD4877">
        <w:rPr>
          <w:rFonts w:ascii="Segoe UI" w:eastAsiaTheme="minorHAnsi" w:hAnsi="Segoe UI" w:cs="Segoe UI"/>
          <w:color w:val="666666"/>
          <w:sz w:val="20"/>
          <w:szCs w:val="20"/>
        </w:rPr>
        <w:t>.</w:t>
      </w:r>
    </w:p>
    <w:p w14:paraId="0F1BEB66" w14:textId="77777777" w:rsidR="0044077A" w:rsidRDefault="0044077A" w:rsidP="0044077A">
      <w:pPr>
        <w:pStyle w:val="NormalWeb"/>
        <w:numPr>
          <w:ilvl w:val="0"/>
          <w:numId w:val="4"/>
        </w:numPr>
        <w:spacing w:before="160" w:beforeAutospacing="0" w:after="160" w:afterAutospacing="0"/>
        <w:rPr>
          <w:rFonts w:ascii="Segoe UI" w:eastAsia="Calibri" w:hAnsi="Segoe UI" w:cs="Segoe UI"/>
          <w:color w:val="666666"/>
          <w:sz w:val="20"/>
          <w:szCs w:val="20"/>
        </w:rPr>
      </w:pPr>
      <w:r w:rsidRPr="00DD4877">
        <w:rPr>
          <w:rFonts w:ascii="Segoe UI" w:eastAsia="Calibri" w:hAnsi="Segoe UI" w:cs="Segoe UI"/>
          <w:color w:val="666666"/>
          <w:sz w:val="20"/>
          <w:szCs w:val="20"/>
        </w:rPr>
        <w:t xml:space="preserve">Xbox Platform revenue </w:t>
      </w:r>
      <w:r>
        <w:rPr>
          <w:rFonts w:ascii="Segoe UI" w:eastAsia="Calibri" w:hAnsi="Segoe UI" w:cs="Segoe UI"/>
          <w:color w:val="666666"/>
          <w:sz w:val="20"/>
          <w:szCs w:val="20"/>
        </w:rPr>
        <w:t>increased</w:t>
      </w:r>
      <w:r w:rsidRPr="00DD4877">
        <w:rPr>
          <w:rFonts w:ascii="Segoe UI" w:eastAsia="Calibri" w:hAnsi="Segoe UI" w:cs="Segoe UI"/>
          <w:color w:val="666666"/>
          <w:sz w:val="20"/>
          <w:szCs w:val="20"/>
        </w:rPr>
        <w:t xml:space="preserve"> </w:t>
      </w:r>
      <w:r>
        <w:rPr>
          <w:rFonts w:ascii="Segoe UI" w:eastAsia="Calibri" w:hAnsi="Segoe UI" w:cs="Segoe UI"/>
          <w:color w:val="666666"/>
          <w:sz w:val="20"/>
          <w:szCs w:val="20"/>
        </w:rPr>
        <w:t>$86 million or 10</w:t>
      </w:r>
      <w:r w:rsidRPr="00B565A7">
        <w:rPr>
          <w:rFonts w:ascii="Segoe UI" w:eastAsia="Calibri" w:hAnsi="Segoe UI" w:cs="Segoe UI"/>
          <w:color w:val="666666"/>
          <w:sz w:val="20"/>
          <w:szCs w:val="20"/>
        </w:rPr>
        <w:t>%</w:t>
      </w:r>
      <w:r w:rsidRPr="00DD4877">
        <w:rPr>
          <w:rFonts w:ascii="Segoe UI" w:eastAsia="Calibri" w:hAnsi="Segoe UI" w:cs="Segoe UI"/>
          <w:color w:val="666666"/>
          <w:sz w:val="20"/>
          <w:szCs w:val="20"/>
        </w:rPr>
        <w:t xml:space="preserve">, driven </w:t>
      </w:r>
      <w:r w:rsidRPr="00B03352">
        <w:rPr>
          <w:rFonts w:ascii="Segoe UI" w:eastAsia="Calibri" w:hAnsi="Segoe UI" w:cs="Segoe UI"/>
          <w:color w:val="666666"/>
          <w:sz w:val="20"/>
          <w:szCs w:val="20"/>
        </w:rPr>
        <w:t xml:space="preserve">by </w:t>
      </w:r>
      <w:r>
        <w:rPr>
          <w:rFonts w:ascii="Segoe UI" w:eastAsia="Calibri" w:hAnsi="Segoe UI" w:cs="Segoe UI"/>
          <w:color w:val="666666"/>
          <w:sz w:val="20"/>
          <w:szCs w:val="20"/>
        </w:rPr>
        <w:t>higher volumes of</w:t>
      </w:r>
      <w:r w:rsidRPr="00367687">
        <w:rPr>
          <w:rFonts w:ascii="Segoe UI" w:eastAsia="Calibri" w:hAnsi="Segoe UI" w:cs="Segoe UI"/>
          <w:color w:val="666666"/>
          <w:sz w:val="20"/>
          <w:szCs w:val="20"/>
        </w:rPr>
        <w:t xml:space="preserve"> console</w:t>
      </w:r>
      <w:r>
        <w:rPr>
          <w:rFonts w:ascii="Segoe UI" w:eastAsia="Calibri" w:hAnsi="Segoe UI" w:cs="Segoe UI"/>
          <w:color w:val="666666"/>
          <w:sz w:val="20"/>
          <w:szCs w:val="20"/>
        </w:rPr>
        <w:t>s sold, offset in part by lower prices of Xbox Ones sold</w:t>
      </w:r>
      <w:r w:rsidRPr="00367687">
        <w:rPr>
          <w:rFonts w:ascii="Segoe UI" w:eastAsia="Calibri" w:hAnsi="Segoe UI" w:cs="Segoe UI"/>
          <w:color w:val="666666"/>
          <w:sz w:val="20"/>
          <w:szCs w:val="20"/>
        </w:rPr>
        <w:t>. We</w:t>
      </w:r>
      <w:r w:rsidRPr="00DD4877">
        <w:rPr>
          <w:rFonts w:ascii="Segoe UI" w:eastAsia="Calibri" w:hAnsi="Segoe UI" w:cs="Segoe UI"/>
          <w:color w:val="666666"/>
          <w:sz w:val="20"/>
          <w:szCs w:val="20"/>
        </w:rPr>
        <w:t xml:space="preserve"> sold </w:t>
      </w:r>
      <w:r>
        <w:rPr>
          <w:rFonts w:ascii="Segoe UI" w:eastAsia="Calibri" w:hAnsi="Segoe UI" w:cs="Segoe UI"/>
          <w:color w:val="666666"/>
          <w:sz w:val="20"/>
          <w:szCs w:val="20"/>
        </w:rPr>
        <w:t>1.4</w:t>
      </w:r>
      <w:r w:rsidRPr="00DD4877">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million </w:t>
      </w:r>
      <w:r w:rsidRPr="00DD4877">
        <w:rPr>
          <w:rFonts w:ascii="Segoe UI" w:eastAsia="Calibri" w:hAnsi="Segoe UI" w:cs="Segoe UI"/>
          <w:color w:val="666666"/>
          <w:sz w:val="20"/>
          <w:szCs w:val="20"/>
        </w:rPr>
        <w:t>consoles in the fourth quarter compared to 1.</w:t>
      </w:r>
      <w:r>
        <w:rPr>
          <w:rFonts w:ascii="Segoe UI" w:eastAsia="Calibri" w:hAnsi="Segoe UI" w:cs="Segoe UI"/>
          <w:color w:val="666666"/>
          <w:sz w:val="20"/>
          <w:szCs w:val="20"/>
        </w:rPr>
        <w:t>1</w:t>
      </w:r>
      <w:r w:rsidRPr="00DD4877">
        <w:rPr>
          <w:rFonts w:ascii="Segoe UI" w:eastAsia="Calibri" w:hAnsi="Segoe UI" w:cs="Segoe UI"/>
          <w:color w:val="666666"/>
          <w:sz w:val="20"/>
          <w:szCs w:val="20"/>
        </w:rPr>
        <w:t xml:space="preserve"> million consoles during the prior year.</w:t>
      </w:r>
    </w:p>
    <w:p w14:paraId="3D2253AA" w14:textId="77777777" w:rsidR="0044077A" w:rsidRPr="00DD4877" w:rsidRDefault="0044077A" w:rsidP="0044077A">
      <w:pPr>
        <w:pStyle w:val="NormalWeb"/>
        <w:numPr>
          <w:ilvl w:val="0"/>
          <w:numId w:val="4"/>
        </w:numPr>
        <w:spacing w:before="160" w:beforeAutospacing="0" w:after="160" w:afterAutospacing="0"/>
        <w:rPr>
          <w:rFonts w:ascii="Segoe UI" w:eastAsia="Calibri" w:hAnsi="Segoe UI" w:cs="Segoe UI"/>
          <w:color w:val="666666"/>
          <w:sz w:val="20"/>
          <w:szCs w:val="20"/>
        </w:rPr>
      </w:pPr>
      <w:r w:rsidRPr="00F06421">
        <w:rPr>
          <w:rFonts w:ascii="Segoe UI" w:eastAsia="Calibri" w:hAnsi="Segoe UI" w:cs="Segoe UI"/>
          <w:color w:val="666666"/>
          <w:sz w:val="20"/>
          <w:szCs w:val="20"/>
        </w:rPr>
        <w:t xml:space="preserve">Computing and Gaming Hardware revenue included an unfavorable foreign currency impact of </w:t>
      </w:r>
      <w:r w:rsidRPr="007A3406">
        <w:rPr>
          <w:rFonts w:ascii="Segoe UI" w:eastAsia="Calibri" w:hAnsi="Segoe UI" w:cs="Segoe UI"/>
          <w:color w:val="666666"/>
          <w:sz w:val="20"/>
          <w:szCs w:val="20"/>
        </w:rPr>
        <w:t>approximately 6%.</w:t>
      </w:r>
    </w:p>
    <w:p w14:paraId="68F06FA8" w14:textId="77777777" w:rsidR="0044077A" w:rsidRPr="00CA404F" w:rsidRDefault="0044077A" w:rsidP="0044077A">
      <w:pPr>
        <w:spacing w:before="160" w:line="280" w:lineRule="exact"/>
        <w:jc w:val="both"/>
        <w:rPr>
          <w:rFonts w:ascii="Segoe UI" w:hAnsi="Segoe UI" w:cs="Segoe UI"/>
          <w:b/>
          <w:i/>
          <w:color w:val="666666"/>
          <w:sz w:val="20"/>
          <w:szCs w:val="20"/>
        </w:rPr>
      </w:pPr>
      <w:r w:rsidRPr="004A55C8">
        <w:rPr>
          <w:rFonts w:ascii="Segoe UI" w:hAnsi="Segoe UI" w:cs="Segoe UI"/>
          <w:b/>
          <w:i/>
          <w:color w:val="666666"/>
          <w:sz w:val="20"/>
          <w:szCs w:val="20"/>
        </w:rPr>
        <w:t>Phone Hardware</w:t>
      </w:r>
    </w:p>
    <w:p w14:paraId="6AF86422" w14:textId="77777777" w:rsidR="0044077A" w:rsidRDefault="0044077A" w:rsidP="0044077A">
      <w:pPr>
        <w:pStyle w:val="NormalWeb"/>
        <w:spacing w:before="160" w:beforeAutospacing="0" w:after="160" w:afterAutospacing="0"/>
        <w:rPr>
          <w:rFonts w:ascii="Segoe UI" w:eastAsia="Calibri" w:hAnsi="Segoe UI" w:cs="Segoe UI"/>
          <w:color w:val="666666"/>
          <w:sz w:val="20"/>
          <w:szCs w:val="20"/>
        </w:rPr>
      </w:pPr>
      <w:r w:rsidRPr="004A55C8">
        <w:rPr>
          <w:rFonts w:ascii="Segoe UI" w:eastAsia="Calibri" w:hAnsi="Segoe UI" w:cs="Segoe UI"/>
          <w:color w:val="666666"/>
          <w:sz w:val="20"/>
          <w:szCs w:val="20"/>
        </w:rPr>
        <w:t>Phone Hardware</w:t>
      </w:r>
      <w:r w:rsidRPr="00CA404F">
        <w:rPr>
          <w:rFonts w:ascii="Segoe UI" w:eastAsia="Calibri" w:hAnsi="Segoe UI" w:cs="Segoe UI"/>
          <w:color w:val="666666"/>
          <w:sz w:val="20"/>
          <w:szCs w:val="20"/>
        </w:rPr>
        <w:t xml:space="preserve"> </w:t>
      </w:r>
      <w:r w:rsidRPr="004A55C8">
        <w:rPr>
          <w:rFonts w:ascii="Segoe UI" w:eastAsia="Calibri" w:hAnsi="Segoe UI" w:cs="Segoe UI"/>
          <w:color w:val="666666"/>
          <w:sz w:val="20"/>
          <w:szCs w:val="20"/>
        </w:rPr>
        <w:t>revenue</w:t>
      </w:r>
      <w:r w:rsidRPr="00F12E55">
        <w:rPr>
          <w:rFonts w:ascii="Segoe UI" w:eastAsia="Calibri" w:hAnsi="Segoe UI" w:cs="Segoe UI"/>
          <w:color w:val="666666"/>
          <w:sz w:val="20"/>
          <w:szCs w:val="20"/>
        </w:rPr>
        <w:t xml:space="preserve"> </w:t>
      </w:r>
      <w:r>
        <w:rPr>
          <w:rFonts w:ascii="Segoe UI" w:eastAsia="Calibri" w:hAnsi="Segoe UI" w:cs="Segoe UI"/>
          <w:color w:val="666666"/>
          <w:sz w:val="20"/>
          <w:szCs w:val="20"/>
        </w:rPr>
        <w:t>decreased $748 million or 38%</w:t>
      </w:r>
      <w:r w:rsidRPr="00F12E55">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Gross margin decreased $158 million, due to lower revenue, offset in part by a $590 million or 31% decrease in cost of revenue. Phone Hardware has been </w:t>
      </w:r>
      <w:r w:rsidRPr="00113F8A">
        <w:rPr>
          <w:rFonts w:ascii="Segoe UI" w:eastAsia="Calibri" w:hAnsi="Segoe UI" w:cs="Segoe UI"/>
          <w:color w:val="666666"/>
          <w:sz w:val="20"/>
          <w:szCs w:val="20"/>
        </w:rPr>
        <w:t xml:space="preserve">included in our </w:t>
      </w:r>
      <w:r>
        <w:rPr>
          <w:rFonts w:ascii="Segoe UI" w:eastAsia="Calibri" w:hAnsi="Segoe UI" w:cs="Segoe UI"/>
          <w:color w:val="666666"/>
          <w:sz w:val="20"/>
          <w:szCs w:val="20"/>
        </w:rPr>
        <w:t xml:space="preserve">consolidated financial </w:t>
      </w:r>
      <w:r w:rsidRPr="00113F8A">
        <w:rPr>
          <w:rFonts w:ascii="Segoe UI" w:eastAsia="Calibri" w:hAnsi="Segoe UI" w:cs="Segoe UI"/>
          <w:color w:val="666666"/>
          <w:sz w:val="20"/>
          <w:szCs w:val="20"/>
        </w:rPr>
        <w:t xml:space="preserve">results </w:t>
      </w:r>
      <w:r>
        <w:rPr>
          <w:rFonts w:ascii="Segoe UI" w:eastAsia="Calibri" w:hAnsi="Segoe UI" w:cs="Segoe UI"/>
          <w:color w:val="666666"/>
          <w:sz w:val="20"/>
          <w:szCs w:val="20"/>
        </w:rPr>
        <w:t>starting on</w:t>
      </w:r>
      <w:r w:rsidRPr="00113F8A">
        <w:rPr>
          <w:rFonts w:ascii="Segoe UI" w:eastAsia="Calibri" w:hAnsi="Segoe UI" w:cs="Segoe UI"/>
          <w:color w:val="666666"/>
          <w:sz w:val="20"/>
          <w:szCs w:val="20"/>
        </w:rPr>
        <w:t xml:space="preserve"> April 25, 2014</w:t>
      </w:r>
      <w:r>
        <w:rPr>
          <w:rFonts w:ascii="Segoe UI" w:eastAsia="Calibri" w:hAnsi="Segoe UI" w:cs="Segoe UI"/>
          <w:color w:val="666666"/>
          <w:sz w:val="20"/>
          <w:szCs w:val="20"/>
        </w:rPr>
        <w:t>, the date we acquired NDS</w:t>
      </w:r>
      <w:r w:rsidRPr="00113F8A">
        <w:rPr>
          <w:rFonts w:ascii="Segoe UI" w:eastAsia="Calibri" w:hAnsi="Segoe UI" w:cs="Segoe UI"/>
          <w:color w:val="666666"/>
          <w:sz w:val="20"/>
          <w:szCs w:val="20"/>
        </w:rPr>
        <w:t>.</w:t>
      </w:r>
    </w:p>
    <w:p w14:paraId="56265FF7" w14:textId="77777777" w:rsidR="0044077A" w:rsidRDefault="0044077A" w:rsidP="0044077A">
      <w:pPr>
        <w:pStyle w:val="NormalWeb"/>
        <w:numPr>
          <w:ilvl w:val="0"/>
          <w:numId w:val="5"/>
        </w:numPr>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Lumia phones revenue declined, driven by a mix shift to lower price point devices. W</w:t>
      </w:r>
      <w:r w:rsidRPr="00F12E55">
        <w:rPr>
          <w:rFonts w:ascii="Segoe UI" w:eastAsia="Calibri" w:hAnsi="Segoe UI" w:cs="Segoe UI"/>
          <w:color w:val="666666"/>
          <w:sz w:val="20"/>
          <w:szCs w:val="20"/>
        </w:rPr>
        <w:t xml:space="preserve">e sold </w:t>
      </w:r>
      <w:r>
        <w:rPr>
          <w:rFonts w:ascii="Segoe UI" w:eastAsia="Calibri" w:hAnsi="Segoe UI" w:cs="Segoe UI"/>
          <w:color w:val="666666"/>
          <w:sz w:val="20"/>
          <w:szCs w:val="20"/>
        </w:rPr>
        <w:t>8.4</w:t>
      </w:r>
      <w:r w:rsidRPr="00F12E55">
        <w:rPr>
          <w:rFonts w:ascii="Segoe UI" w:eastAsia="Calibri" w:hAnsi="Segoe UI" w:cs="Segoe UI"/>
          <w:color w:val="666666"/>
          <w:sz w:val="20"/>
          <w:szCs w:val="20"/>
        </w:rPr>
        <w:t xml:space="preserve"> million </w:t>
      </w:r>
      <w:r>
        <w:rPr>
          <w:rFonts w:ascii="Segoe UI" w:eastAsia="Calibri" w:hAnsi="Segoe UI" w:cs="Segoe UI"/>
          <w:color w:val="666666"/>
          <w:sz w:val="20"/>
          <w:szCs w:val="20"/>
        </w:rPr>
        <w:t>Lumia phones in the fourth quarter compared to 5.8 million in the prior year.</w:t>
      </w:r>
    </w:p>
    <w:p w14:paraId="193C6B10" w14:textId="77777777" w:rsidR="0044077A" w:rsidRDefault="0044077A" w:rsidP="0044077A">
      <w:pPr>
        <w:pStyle w:val="NormalWeb"/>
        <w:numPr>
          <w:ilvl w:val="0"/>
          <w:numId w:val="5"/>
        </w:numPr>
        <w:spacing w:before="160" w:beforeAutospacing="0" w:after="160" w:afterAutospacing="0"/>
        <w:rPr>
          <w:rFonts w:ascii="Segoe UI" w:eastAsia="Calibri" w:hAnsi="Segoe UI" w:cs="Segoe UI"/>
          <w:color w:val="666666"/>
          <w:sz w:val="20"/>
          <w:szCs w:val="20"/>
        </w:rPr>
      </w:pPr>
      <w:r w:rsidRPr="00B42469">
        <w:rPr>
          <w:rFonts w:ascii="Segoe UI" w:eastAsia="Calibri" w:hAnsi="Segoe UI" w:cs="Segoe UI"/>
          <w:color w:val="666666"/>
          <w:sz w:val="20"/>
          <w:szCs w:val="20"/>
        </w:rPr>
        <w:t>Non-Lumia phones revenue declined</w:t>
      </w:r>
      <w:r>
        <w:rPr>
          <w:rFonts w:ascii="Segoe UI" w:eastAsia="Calibri" w:hAnsi="Segoe UI" w:cs="Segoe UI"/>
          <w:color w:val="666666"/>
          <w:sz w:val="20"/>
          <w:szCs w:val="20"/>
        </w:rPr>
        <w:t>,</w:t>
      </w:r>
      <w:r w:rsidRPr="00B42469">
        <w:rPr>
          <w:rFonts w:ascii="Segoe UI" w:eastAsia="Calibri" w:hAnsi="Segoe UI" w:cs="Segoe UI"/>
          <w:color w:val="666666"/>
          <w:sz w:val="20"/>
          <w:szCs w:val="20"/>
        </w:rPr>
        <w:t xml:space="preserve"> </w:t>
      </w:r>
      <w:r>
        <w:rPr>
          <w:rFonts w:ascii="Segoe UI" w:eastAsia="Calibri" w:hAnsi="Segoe UI" w:cs="Segoe UI"/>
          <w:color w:val="666666"/>
          <w:sz w:val="20"/>
          <w:szCs w:val="20"/>
        </w:rPr>
        <w:t>driven primarily by lower volumes</w:t>
      </w:r>
      <w:r w:rsidRPr="00B42469">
        <w:rPr>
          <w:rFonts w:ascii="Segoe UI" w:eastAsia="Calibri" w:hAnsi="Segoe UI" w:cs="Segoe UI"/>
          <w:color w:val="666666"/>
          <w:sz w:val="20"/>
          <w:szCs w:val="20"/>
        </w:rPr>
        <w:t xml:space="preserve">. We sold 19.4 million non-Lumia feature phones </w:t>
      </w:r>
      <w:r>
        <w:rPr>
          <w:rFonts w:ascii="Segoe UI" w:eastAsia="Calibri" w:hAnsi="Segoe UI" w:cs="Segoe UI"/>
          <w:color w:val="666666"/>
          <w:sz w:val="20"/>
          <w:szCs w:val="20"/>
        </w:rPr>
        <w:t xml:space="preserve">in the fourth quarter </w:t>
      </w:r>
      <w:r w:rsidRPr="00B42469">
        <w:rPr>
          <w:rFonts w:ascii="Segoe UI" w:eastAsia="Calibri" w:hAnsi="Segoe UI" w:cs="Segoe UI"/>
          <w:color w:val="666666"/>
          <w:sz w:val="20"/>
          <w:szCs w:val="20"/>
        </w:rPr>
        <w:t xml:space="preserve">compared </w:t>
      </w:r>
      <w:r>
        <w:rPr>
          <w:rFonts w:ascii="Segoe UI" w:eastAsia="Calibri" w:hAnsi="Segoe UI" w:cs="Segoe UI"/>
          <w:color w:val="666666"/>
          <w:sz w:val="20"/>
          <w:szCs w:val="20"/>
        </w:rPr>
        <w:t>to</w:t>
      </w:r>
      <w:r w:rsidRPr="00B42469">
        <w:rPr>
          <w:rFonts w:ascii="Segoe UI" w:eastAsia="Calibri" w:hAnsi="Segoe UI" w:cs="Segoe UI"/>
          <w:color w:val="666666"/>
          <w:sz w:val="20"/>
          <w:szCs w:val="20"/>
        </w:rPr>
        <w:t xml:space="preserve"> 30.3 million in the prior year. </w:t>
      </w:r>
    </w:p>
    <w:p w14:paraId="3DE4009B" w14:textId="77777777" w:rsidR="0044077A" w:rsidRPr="007A3406" w:rsidRDefault="0044077A" w:rsidP="0044077A">
      <w:pPr>
        <w:pStyle w:val="NormalWeb"/>
        <w:numPr>
          <w:ilvl w:val="0"/>
          <w:numId w:val="5"/>
        </w:numPr>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Phone</w:t>
      </w:r>
      <w:r w:rsidRPr="00F06421">
        <w:rPr>
          <w:rFonts w:ascii="Segoe UI" w:eastAsia="Calibri" w:hAnsi="Segoe UI" w:cs="Segoe UI"/>
          <w:color w:val="666666"/>
          <w:sz w:val="20"/>
          <w:szCs w:val="20"/>
        </w:rPr>
        <w:t xml:space="preserve"> Hardware revenue included an unfavorable foreign currency impact of </w:t>
      </w:r>
      <w:r w:rsidRPr="00B91761">
        <w:rPr>
          <w:rFonts w:ascii="Segoe UI" w:eastAsia="Calibri" w:hAnsi="Segoe UI" w:cs="Segoe UI"/>
          <w:color w:val="666666"/>
          <w:sz w:val="20"/>
          <w:szCs w:val="20"/>
        </w:rPr>
        <w:t>approximately 4</w:t>
      </w:r>
      <w:r w:rsidRPr="00F06421">
        <w:rPr>
          <w:rFonts w:ascii="Segoe UI" w:eastAsia="Calibri" w:hAnsi="Segoe UI" w:cs="Segoe UI"/>
          <w:color w:val="666666"/>
          <w:sz w:val="20"/>
          <w:szCs w:val="20"/>
        </w:rPr>
        <w:t>%.</w:t>
      </w:r>
    </w:p>
    <w:p w14:paraId="6EF81232" w14:textId="77777777" w:rsidR="0044077A" w:rsidRPr="008F5FDB" w:rsidRDefault="0044077A" w:rsidP="0044077A">
      <w:pPr>
        <w:spacing w:before="160" w:line="280" w:lineRule="exact"/>
        <w:jc w:val="both"/>
        <w:rPr>
          <w:rFonts w:ascii="Segoe UI" w:hAnsi="Segoe UI" w:cs="Segoe UI"/>
          <w:b/>
          <w:i/>
          <w:color w:val="666666"/>
          <w:sz w:val="20"/>
          <w:szCs w:val="20"/>
        </w:rPr>
      </w:pPr>
      <w:r w:rsidRPr="008F5FDB">
        <w:rPr>
          <w:rFonts w:ascii="Segoe UI" w:hAnsi="Segoe UI" w:cs="Segoe UI"/>
          <w:b/>
          <w:i/>
          <w:color w:val="666666"/>
          <w:sz w:val="20"/>
          <w:szCs w:val="20"/>
        </w:rPr>
        <w:t>D&amp;C Other</w:t>
      </w:r>
    </w:p>
    <w:p w14:paraId="3DDF0AD7" w14:textId="77777777" w:rsidR="0044077A" w:rsidRPr="008F5FDB" w:rsidRDefault="0044077A" w:rsidP="0044077A">
      <w:pPr>
        <w:pStyle w:val="NormalWeb"/>
        <w:spacing w:before="160" w:beforeAutospacing="0" w:after="160" w:afterAutospacing="0"/>
        <w:rPr>
          <w:rFonts w:ascii="Segoe UI" w:eastAsia="Calibri" w:hAnsi="Segoe UI" w:cs="Segoe UI"/>
          <w:color w:val="666666"/>
          <w:sz w:val="20"/>
          <w:szCs w:val="20"/>
        </w:rPr>
      </w:pPr>
      <w:r w:rsidRPr="008F5FDB">
        <w:rPr>
          <w:rFonts w:ascii="Segoe UI" w:eastAsia="Calibri" w:hAnsi="Segoe UI" w:cs="Segoe UI"/>
          <w:color w:val="666666"/>
          <w:sz w:val="20"/>
          <w:szCs w:val="20"/>
        </w:rPr>
        <w:t xml:space="preserve">D&amp;C Other revenue increased </w:t>
      </w:r>
      <w:r w:rsidRPr="0098126A">
        <w:rPr>
          <w:rFonts w:ascii="Segoe UI" w:eastAsia="Calibri" w:hAnsi="Segoe UI" w:cs="Segoe UI"/>
          <w:color w:val="666666"/>
          <w:sz w:val="20"/>
          <w:szCs w:val="20"/>
        </w:rPr>
        <w:t>$</w:t>
      </w:r>
      <w:r>
        <w:rPr>
          <w:rFonts w:ascii="Segoe UI" w:eastAsia="Calibri" w:hAnsi="Segoe UI" w:cs="Segoe UI"/>
          <w:color w:val="666666"/>
          <w:sz w:val="20"/>
          <w:szCs w:val="20"/>
        </w:rPr>
        <w:t>538</w:t>
      </w:r>
      <w:r w:rsidRPr="008F5FDB">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31</w:t>
      </w:r>
      <w:r w:rsidRPr="0098126A">
        <w:rPr>
          <w:rFonts w:ascii="Segoe UI" w:eastAsia="Calibri" w:hAnsi="Segoe UI" w:cs="Segoe UI"/>
          <w:color w:val="666666"/>
          <w:sz w:val="20"/>
          <w:szCs w:val="20"/>
        </w:rPr>
        <w:t>%</w:t>
      </w:r>
      <w:r w:rsidRPr="008F5FDB">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mainly </w:t>
      </w:r>
      <w:r w:rsidRPr="008F5FDB">
        <w:rPr>
          <w:rFonts w:ascii="Segoe UI" w:eastAsia="Calibri" w:hAnsi="Segoe UI" w:cs="Segoe UI"/>
          <w:color w:val="666666"/>
          <w:sz w:val="20"/>
          <w:szCs w:val="20"/>
        </w:rPr>
        <w:t>due</w:t>
      </w:r>
      <w:r>
        <w:rPr>
          <w:rFonts w:ascii="Segoe UI" w:eastAsia="Calibri" w:hAnsi="Segoe UI" w:cs="Segoe UI"/>
          <w:color w:val="666666"/>
          <w:sz w:val="20"/>
          <w:szCs w:val="20"/>
        </w:rPr>
        <w:t xml:space="preserve"> </w:t>
      </w:r>
      <w:r w:rsidRPr="008F5FDB">
        <w:rPr>
          <w:rFonts w:ascii="Segoe UI" w:eastAsia="Calibri" w:hAnsi="Segoe UI" w:cs="Segoe UI"/>
          <w:color w:val="666666"/>
          <w:sz w:val="20"/>
          <w:szCs w:val="20"/>
        </w:rPr>
        <w:t xml:space="preserve">to </w:t>
      </w:r>
      <w:r>
        <w:rPr>
          <w:rFonts w:ascii="Segoe UI" w:eastAsia="Calibri" w:hAnsi="Segoe UI" w:cs="Segoe UI"/>
          <w:color w:val="666666"/>
          <w:sz w:val="20"/>
          <w:szCs w:val="20"/>
        </w:rPr>
        <w:t>higher revenue from</w:t>
      </w:r>
      <w:r w:rsidRPr="008F5FDB">
        <w:rPr>
          <w:rFonts w:ascii="Segoe UI" w:eastAsia="Calibri" w:hAnsi="Segoe UI" w:cs="Segoe UI"/>
          <w:color w:val="666666"/>
          <w:sz w:val="20"/>
          <w:szCs w:val="20"/>
        </w:rPr>
        <w:t xml:space="preserve"> </w:t>
      </w:r>
      <w:r>
        <w:rPr>
          <w:rFonts w:ascii="Segoe UI" w:eastAsia="Calibri" w:hAnsi="Segoe UI" w:cs="Segoe UI"/>
          <w:color w:val="666666"/>
          <w:sz w:val="20"/>
          <w:szCs w:val="20"/>
        </w:rPr>
        <w:t>Xbox Live transactions,</w:t>
      </w:r>
      <w:r w:rsidRPr="008F5FDB">
        <w:rPr>
          <w:rFonts w:ascii="Segoe UI" w:eastAsia="Calibri" w:hAnsi="Segoe UI" w:cs="Segoe UI"/>
          <w:color w:val="666666"/>
          <w:sz w:val="20"/>
          <w:szCs w:val="20"/>
        </w:rPr>
        <w:t xml:space="preserve"> search </w:t>
      </w:r>
      <w:r>
        <w:rPr>
          <w:rFonts w:ascii="Segoe UI" w:eastAsia="Calibri" w:hAnsi="Segoe UI" w:cs="Segoe UI"/>
          <w:color w:val="666666"/>
          <w:sz w:val="20"/>
          <w:szCs w:val="20"/>
        </w:rPr>
        <w:t>advertising, first-party video games, including Minecraft, and Office 365 Consumer</w:t>
      </w:r>
      <w:r w:rsidRPr="008F5FDB">
        <w:rPr>
          <w:rFonts w:ascii="Segoe UI" w:eastAsia="Calibri" w:hAnsi="Segoe UI" w:cs="Segoe UI"/>
          <w:color w:val="666666"/>
          <w:sz w:val="20"/>
          <w:szCs w:val="20"/>
        </w:rPr>
        <w:t xml:space="preserve">. </w:t>
      </w:r>
      <w:r>
        <w:rPr>
          <w:rFonts w:ascii="Segoe UI" w:eastAsia="Calibri" w:hAnsi="Segoe UI" w:cs="Segoe UI"/>
          <w:color w:val="666666"/>
          <w:sz w:val="20"/>
          <w:szCs w:val="20"/>
        </w:rPr>
        <w:t>G</w:t>
      </w:r>
      <w:r w:rsidRPr="008F5FDB">
        <w:rPr>
          <w:rFonts w:ascii="Segoe UI" w:eastAsia="Calibri" w:hAnsi="Segoe UI" w:cs="Segoe UI"/>
          <w:color w:val="666666"/>
          <w:sz w:val="20"/>
          <w:szCs w:val="20"/>
        </w:rPr>
        <w:t xml:space="preserve">ross margin increased </w:t>
      </w:r>
      <w:r>
        <w:rPr>
          <w:rFonts w:ascii="Segoe UI" w:eastAsia="Calibri" w:hAnsi="Segoe UI" w:cs="Segoe UI"/>
          <w:color w:val="666666"/>
          <w:sz w:val="20"/>
          <w:szCs w:val="20"/>
        </w:rPr>
        <w:t>$303 million or 104</w:t>
      </w:r>
      <w:r w:rsidRPr="0098126A">
        <w:rPr>
          <w:rFonts w:ascii="Segoe UI" w:eastAsia="Calibri" w:hAnsi="Segoe UI" w:cs="Segoe UI"/>
          <w:color w:val="666666"/>
          <w:sz w:val="20"/>
          <w:szCs w:val="20"/>
        </w:rPr>
        <w:t>%</w:t>
      </w:r>
      <w:r>
        <w:rPr>
          <w:rFonts w:ascii="Segoe UI" w:eastAsia="Calibri" w:hAnsi="Segoe UI" w:cs="Segoe UI"/>
          <w:color w:val="666666"/>
          <w:sz w:val="20"/>
          <w:szCs w:val="20"/>
        </w:rPr>
        <w:t xml:space="preserve">, and </w:t>
      </w:r>
      <w:r w:rsidRPr="00924E73">
        <w:rPr>
          <w:rFonts w:ascii="Segoe UI" w:eastAsia="Calibri" w:hAnsi="Segoe UI" w:cs="Segoe UI"/>
          <w:color w:val="666666"/>
          <w:sz w:val="20"/>
          <w:szCs w:val="20"/>
        </w:rPr>
        <w:t xml:space="preserve">gross margin </w:t>
      </w:r>
      <w:r>
        <w:rPr>
          <w:rFonts w:ascii="Segoe UI" w:eastAsia="Calibri" w:hAnsi="Segoe UI" w:cs="Segoe UI"/>
          <w:color w:val="666666"/>
          <w:sz w:val="20"/>
          <w:szCs w:val="20"/>
        </w:rPr>
        <w:t xml:space="preserve">percentage </w:t>
      </w:r>
      <w:r w:rsidRPr="00924E73">
        <w:rPr>
          <w:rFonts w:ascii="Segoe UI" w:eastAsia="Calibri" w:hAnsi="Segoe UI" w:cs="Segoe UI"/>
          <w:color w:val="666666"/>
          <w:sz w:val="20"/>
          <w:szCs w:val="20"/>
        </w:rPr>
        <w:t>increased to 26%</w:t>
      </w:r>
      <w:r>
        <w:rPr>
          <w:rFonts w:ascii="Segoe UI" w:eastAsia="Calibri" w:hAnsi="Segoe UI" w:cs="Segoe UI"/>
          <w:color w:val="666666"/>
          <w:sz w:val="20"/>
          <w:szCs w:val="20"/>
        </w:rPr>
        <w:t>,</w:t>
      </w:r>
      <w:r w:rsidRPr="00924E73">
        <w:rPr>
          <w:rFonts w:ascii="Segoe UI" w:eastAsia="Calibri" w:hAnsi="Segoe UI" w:cs="Segoe UI"/>
          <w:color w:val="666666"/>
          <w:sz w:val="20"/>
          <w:szCs w:val="20"/>
        </w:rPr>
        <w:t xml:space="preserve"> up from 17% in the prior year</w:t>
      </w:r>
      <w:r>
        <w:rPr>
          <w:rFonts w:ascii="Segoe UI" w:eastAsia="Calibri" w:hAnsi="Segoe UI" w:cs="Segoe UI"/>
          <w:color w:val="666666"/>
          <w:sz w:val="20"/>
          <w:szCs w:val="20"/>
        </w:rPr>
        <w:t>.</w:t>
      </w:r>
    </w:p>
    <w:p w14:paraId="30AFAB8E" w14:textId="77777777" w:rsidR="0044077A" w:rsidRDefault="0044077A" w:rsidP="0044077A">
      <w:pPr>
        <w:pStyle w:val="NormalWeb"/>
        <w:numPr>
          <w:ilvl w:val="0"/>
          <w:numId w:val="5"/>
        </w:numPr>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 xml:space="preserve">Xbox Live transactions revenue increased $205 million or 58%, reflecting </w:t>
      </w:r>
      <w:r w:rsidRPr="0001758B">
        <w:rPr>
          <w:rFonts w:ascii="Segoe UI" w:eastAsia="Calibri" w:hAnsi="Segoe UI" w:cs="Segoe UI"/>
          <w:color w:val="666666"/>
          <w:sz w:val="20"/>
          <w:szCs w:val="20"/>
        </w:rPr>
        <w:t>increased users and revenue per user</w:t>
      </w:r>
      <w:r>
        <w:rPr>
          <w:rFonts w:ascii="Segoe UI" w:eastAsia="Calibri" w:hAnsi="Segoe UI" w:cs="Segoe UI"/>
          <w:color w:val="666666"/>
          <w:sz w:val="20"/>
          <w:szCs w:val="20"/>
        </w:rPr>
        <w:t>.</w:t>
      </w:r>
    </w:p>
    <w:p w14:paraId="5E552B12" w14:textId="77777777" w:rsidR="0044077A" w:rsidRPr="00CD24E7" w:rsidRDefault="0044077A" w:rsidP="0044077A">
      <w:pPr>
        <w:pStyle w:val="NormalWeb"/>
        <w:numPr>
          <w:ilvl w:val="0"/>
          <w:numId w:val="5"/>
        </w:numPr>
        <w:spacing w:before="160" w:beforeAutospacing="0" w:after="160" w:afterAutospacing="0"/>
        <w:rPr>
          <w:rFonts w:ascii="Segoe UI" w:eastAsia="Calibri" w:hAnsi="Segoe UI" w:cs="Segoe UI"/>
          <w:color w:val="666666"/>
          <w:sz w:val="20"/>
          <w:szCs w:val="20"/>
        </w:rPr>
      </w:pPr>
      <w:r w:rsidRPr="00CD24E7">
        <w:rPr>
          <w:rFonts w:ascii="Segoe UI" w:eastAsia="Calibri" w:hAnsi="Segoe UI" w:cs="Segoe UI"/>
          <w:color w:val="666666"/>
          <w:sz w:val="20"/>
          <w:szCs w:val="20"/>
        </w:rPr>
        <w:t xml:space="preserve">Search </w:t>
      </w:r>
      <w:r>
        <w:rPr>
          <w:rFonts w:ascii="Segoe UI" w:eastAsia="Calibri" w:hAnsi="Segoe UI" w:cs="Segoe UI"/>
          <w:color w:val="666666"/>
          <w:sz w:val="20"/>
          <w:szCs w:val="20"/>
        </w:rPr>
        <w:t xml:space="preserve">advertising </w:t>
      </w:r>
      <w:r w:rsidRPr="00CD24E7">
        <w:rPr>
          <w:rFonts w:ascii="Segoe UI" w:eastAsia="Calibri" w:hAnsi="Segoe UI" w:cs="Segoe UI"/>
          <w:color w:val="666666"/>
          <w:sz w:val="20"/>
          <w:szCs w:val="20"/>
        </w:rPr>
        <w:t xml:space="preserve">revenue increased </w:t>
      </w:r>
      <w:r>
        <w:rPr>
          <w:rFonts w:ascii="Segoe UI" w:eastAsia="Calibri" w:hAnsi="Segoe UI" w:cs="Segoe UI"/>
          <w:color w:val="666666"/>
          <w:sz w:val="20"/>
          <w:szCs w:val="20"/>
        </w:rPr>
        <w:t>$160 million or 21</w:t>
      </w:r>
      <w:r w:rsidRPr="00CD24E7">
        <w:rPr>
          <w:rFonts w:ascii="Segoe UI" w:eastAsia="Calibri" w:hAnsi="Segoe UI" w:cs="Segoe UI"/>
          <w:color w:val="666666"/>
          <w:sz w:val="20"/>
          <w:szCs w:val="20"/>
        </w:rPr>
        <w:t>%</w:t>
      </w:r>
      <w:r>
        <w:rPr>
          <w:rFonts w:ascii="Segoe UI" w:eastAsia="Calibri" w:hAnsi="Segoe UI" w:cs="Segoe UI"/>
          <w:color w:val="666666"/>
          <w:sz w:val="20"/>
          <w:szCs w:val="20"/>
        </w:rPr>
        <w:t>, driven by growth in Bing</w:t>
      </w:r>
      <w:r w:rsidRPr="00CD24E7">
        <w:rPr>
          <w:rFonts w:ascii="Segoe UI" w:eastAsia="Calibri" w:hAnsi="Segoe UI" w:cs="Segoe UI"/>
          <w:color w:val="666666"/>
          <w:sz w:val="20"/>
          <w:szCs w:val="20"/>
        </w:rPr>
        <w:t xml:space="preserve">. Growth in search revenue was due to </w:t>
      </w:r>
      <w:r w:rsidRPr="00766A8B">
        <w:rPr>
          <w:rFonts w:ascii="Segoe UI" w:eastAsia="Calibri" w:hAnsi="Segoe UI" w:cs="Segoe UI"/>
          <w:color w:val="666666"/>
          <w:sz w:val="20"/>
          <w:szCs w:val="20"/>
        </w:rPr>
        <w:t>higher revenue per search and increased search volume</w:t>
      </w:r>
      <w:r w:rsidRPr="00CD24E7">
        <w:rPr>
          <w:rFonts w:ascii="Segoe UI" w:eastAsia="Calibri" w:hAnsi="Segoe UI" w:cs="Segoe UI"/>
          <w:color w:val="666666"/>
          <w:sz w:val="20"/>
          <w:szCs w:val="20"/>
        </w:rPr>
        <w:t xml:space="preserve">.  </w:t>
      </w:r>
    </w:p>
    <w:p w14:paraId="04622C22" w14:textId="77777777" w:rsidR="0044077A" w:rsidRDefault="0044077A" w:rsidP="0044077A">
      <w:pPr>
        <w:pStyle w:val="NormalWeb"/>
        <w:numPr>
          <w:ilvl w:val="0"/>
          <w:numId w:val="5"/>
        </w:numPr>
        <w:spacing w:before="160" w:beforeAutospacing="0" w:after="160" w:afterAutospacing="0"/>
        <w:rPr>
          <w:rFonts w:ascii="Segoe UI" w:eastAsia="Calibri" w:hAnsi="Segoe UI" w:cs="Segoe UI"/>
          <w:color w:val="666666"/>
          <w:sz w:val="20"/>
          <w:szCs w:val="20"/>
        </w:rPr>
      </w:pPr>
      <w:r w:rsidRPr="00F06421">
        <w:rPr>
          <w:rFonts w:ascii="Segoe UI" w:eastAsia="Calibri" w:hAnsi="Segoe UI" w:cs="Segoe UI"/>
          <w:color w:val="666666"/>
          <w:sz w:val="20"/>
          <w:szCs w:val="20"/>
        </w:rPr>
        <w:t>First-party video games revenue increased</w:t>
      </w:r>
      <w:r>
        <w:rPr>
          <w:rFonts w:ascii="Segoe UI" w:eastAsia="Calibri" w:hAnsi="Segoe UI" w:cs="Segoe UI"/>
          <w:color w:val="666666"/>
          <w:sz w:val="20"/>
          <w:szCs w:val="20"/>
        </w:rPr>
        <w:t xml:space="preserve"> $63 million or 62%</w:t>
      </w:r>
      <w:r w:rsidRPr="00F06421">
        <w:rPr>
          <w:rFonts w:ascii="Segoe UI" w:eastAsia="Calibri" w:hAnsi="Segoe UI" w:cs="Segoe UI"/>
          <w:color w:val="666666"/>
          <w:sz w:val="20"/>
          <w:szCs w:val="20"/>
        </w:rPr>
        <w:t>.</w:t>
      </w:r>
      <w:r>
        <w:rPr>
          <w:rFonts w:ascii="Segoe UI" w:eastAsia="Calibri" w:hAnsi="Segoe UI" w:cs="Segoe UI"/>
          <w:color w:val="666666"/>
          <w:sz w:val="20"/>
          <w:szCs w:val="20"/>
        </w:rPr>
        <w:t xml:space="preserve"> We acquired the Minecraft gaming franchise in November 2014.</w:t>
      </w:r>
    </w:p>
    <w:p w14:paraId="4543B89E" w14:textId="77777777" w:rsidR="0044077A" w:rsidRPr="00CD24E7" w:rsidRDefault="0044077A" w:rsidP="0044077A">
      <w:pPr>
        <w:pStyle w:val="NormalWeb"/>
        <w:numPr>
          <w:ilvl w:val="0"/>
          <w:numId w:val="5"/>
        </w:numPr>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Office 365</w:t>
      </w:r>
      <w:r w:rsidRPr="00CD24E7">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Consumer revenue </w:t>
      </w:r>
      <w:r w:rsidRPr="00CD24E7">
        <w:rPr>
          <w:rFonts w:ascii="Segoe UI" w:eastAsia="Calibri" w:hAnsi="Segoe UI" w:cs="Segoe UI"/>
          <w:color w:val="666666"/>
          <w:sz w:val="20"/>
          <w:szCs w:val="20"/>
        </w:rPr>
        <w:t xml:space="preserve">increased </w:t>
      </w:r>
      <w:r>
        <w:rPr>
          <w:rFonts w:ascii="Segoe UI" w:eastAsia="Calibri" w:hAnsi="Segoe UI" w:cs="Segoe UI"/>
          <w:color w:val="666666"/>
          <w:sz w:val="20"/>
          <w:szCs w:val="20"/>
        </w:rPr>
        <w:t xml:space="preserve">$58 million, reflecting </w:t>
      </w:r>
      <w:r w:rsidRPr="00766A8B">
        <w:rPr>
          <w:rFonts w:ascii="Segoe UI" w:eastAsia="Calibri" w:hAnsi="Segoe UI" w:cs="Segoe UI"/>
          <w:color w:val="666666"/>
          <w:sz w:val="20"/>
          <w:szCs w:val="20"/>
        </w:rPr>
        <w:t>subscriber growth</w:t>
      </w:r>
      <w:r>
        <w:rPr>
          <w:rFonts w:ascii="Segoe UI" w:eastAsia="Calibri" w:hAnsi="Segoe UI" w:cs="Segoe UI"/>
          <w:color w:val="666666"/>
          <w:sz w:val="20"/>
          <w:szCs w:val="20"/>
        </w:rPr>
        <w:t xml:space="preserve">. We ended the year </w:t>
      </w:r>
      <w:r w:rsidRPr="00E96166">
        <w:rPr>
          <w:rFonts w:ascii="Segoe UI" w:eastAsia="Calibri" w:hAnsi="Segoe UI" w:cs="Segoe UI"/>
          <w:color w:val="666666"/>
          <w:sz w:val="20"/>
          <w:szCs w:val="20"/>
        </w:rPr>
        <w:t>with 15.2</w:t>
      </w:r>
      <w:r>
        <w:rPr>
          <w:rFonts w:ascii="Segoe UI" w:eastAsia="Calibri" w:hAnsi="Segoe UI" w:cs="Segoe UI"/>
          <w:color w:val="666666"/>
          <w:sz w:val="20"/>
          <w:szCs w:val="20"/>
        </w:rPr>
        <w:t xml:space="preserve"> million subscribers</w:t>
      </w:r>
      <w:r w:rsidRPr="00CD24E7">
        <w:rPr>
          <w:rFonts w:ascii="Segoe UI" w:eastAsia="Calibri" w:hAnsi="Segoe UI" w:cs="Segoe UI"/>
          <w:color w:val="666666"/>
          <w:sz w:val="20"/>
          <w:szCs w:val="20"/>
        </w:rPr>
        <w:t xml:space="preserve">.   </w:t>
      </w:r>
    </w:p>
    <w:p w14:paraId="520E5BF1" w14:textId="77777777" w:rsidR="0044077A" w:rsidRPr="007A3406" w:rsidRDefault="0044077A" w:rsidP="0044077A">
      <w:pPr>
        <w:pStyle w:val="NormalWeb"/>
        <w:numPr>
          <w:ilvl w:val="0"/>
          <w:numId w:val="5"/>
        </w:numPr>
        <w:spacing w:before="160" w:beforeAutospacing="0" w:after="160" w:afterAutospacing="0"/>
        <w:rPr>
          <w:rFonts w:ascii="Segoe UI" w:eastAsia="Calibri" w:hAnsi="Segoe UI" w:cs="Segoe UI"/>
          <w:color w:val="666666"/>
          <w:sz w:val="20"/>
          <w:szCs w:val="20"/>
        </w:rPr>
      </w:pPr>
      <w:r w:rsidRPr="00F06421">
        <w:rPr>
          <w:rFonts w:ascii="Segoe UI" w:eastAsia="Calibri" w:hAnsi="Segoe UI" w:cs="Segoe UI"/>
          <w:color w:val="666666"/>
          <w:sz w:val="20"/>
          <w:szCs w:val="20"/>
        </w:rPr>
        <w:t xml:space="preserve">D&amp;C Other revenue included an unfavorable foreign currency impact of </w:t>
      </w:r>
      <w:r w:rsidRPr="007A3406">
        <w:rPr>
          <w:rFonts w:ascii="Segoe UI" w:eastAsia="Calibri" w:hAnsi="Segoe UI" w:cs="Segoe UI"/>
          <w:color w:val="666666"/>
          <w:sz w:val="20"/>
          <w:szCs w:val="20"/>
        </w:rPr>
        <w:t>approximately 4%.</w:t>
      </w:r>
    </w:p>
    <w:p w14:paraId="0BE9FE87" w14:textId="77777777" w:rsidR="0044077A" w:rsidRPr="009F2E81" w:rsidRDefault="0044077A" w:rsidP="0044077A">
      <w:pPr>
        <w:pStyle w:val="NormalWeb"/>
        <w:spacing w:before="160" w:beforeAutospacing="0" w:after="160" w:afterAutospacing="0"/>
        <w:rPr>
          <w:rFonts w:ascii="Segoe UI" w:hAnsi="Segoe UI" w:cs="Segoe UI"/>
          <w:b/>
          <w:bCs/>
          <w:color w:val="666666"/>
          <w:sz w:val="20"/>
          <w:szCs w:val="20"/>
          <w:u w:val="single"/>
        </w:rPr>
      </w:pPr>
      <w:r w:rsidRPr="009F2E81">
        <w:rPr>
          <w:rFonts w:ascii="Segoe UI" w:hAnsi="Segoe UI" w:cs="Segoe UI"/>
          <w:b/>
          <w:bCs/>
          <w:color w:val="666666"/>
          <w:sz w:val="20"/>
          <w:szCs w:val="20"/>
          <w:u w:val="single"/>
        </w:rPr>
        <w:t>Commercial</w:t>
      </w:r>
    </w:p>
    <w:p w14:paraId="2AD62995" w14:textId="09C5C625" w:rsidR="0044077A" w:rsidRDefault="0044077A" w:rsidP="0044077A">
      <w:pPr>
        <w:pStyle w:val="NormalWeb"/>
        <w:spacing w:before="160" w:beforeAutospacing="0" w:after="160" w:afterAutospacing="0"/>
        <w:rPr>
          <w:rFonts w:ascii="Segoe UI" w:eastAsia="Calibri" w:hAnsi="Segoe UI" w:cs="Segoe UI"/>
          <w:color w:val="666666"/>
          <w:sz w:val="20"/>
          <w:szCs w:val="20"/>
        </w:rPr>
      </w:pPr>
      <w:r>
        <w:rPr>
          <w:rFonts w:ascii="Segoe UI" w:hAnsi="Segoe UI" w:cs="Segoe UI"/>
          <w:color w:val="666666"/>
          <w:sz w:val="20"/>
          <w:szCs w:val="20"/>
        </w:rPr>
        <w:t>Commercial</w:t>
      </w:r>
      <w:r w:rsidRPr="00F06421">
        <w:rPr>
          <w:rFonts w:ascii="Segoe UI" w:hAnsi="Segoe UI" w:cs="Segoe UI"/>
          <w:color w:val="666666"/>
          <w:sz w:val="20"/>
          <w:szCs w:val="20"/>
        </w:rPr>
        <w:t xml:space="preserve"> revenue </w:t>
      </w:r>
      <w:r>
        <w:rPr>
          <w:rFonts w:ascii="Segoe UI" w:hAnsi="Segoe UI" w:cs="Segoe UI"/>
          <w:color w:val="666666"/>
          <w:sz w:val="20"/>
          <w:szCs w:val="20"/>
        </w:rPr>
        <w:t xml:space="preserve">increased slightly, overcoming </w:t>
      </w:r>
      <w:r w:rsidRPr="00F06421">
        <w:rPr>
          <w:rFonts w:ascii="Segoe UI" w:hAnsi="Segoe UI" w:cs="Segoe UI"/>
          <w:color w:val="666666"/>
          <w:sz w:val="20"/>
          <w:szCs w:val="20"/>
        </w:rPr>
        <w:t xml:space="preserve">an unfavorable foreign currency impact of approximately </w:t>
      </w:r>
      <w:r>
        <w:rPr>
          <w:rFonts w:ascii="Segoe UI" w:hAnsi="Segoe UI" w:cs="Segoe UI"/>
          <w:color w:val="666666"/>
          <w:sz w:val="20"/>
          <w:szCs w:val="20"/>
        </w:rPr>
        <w:t>4</w:t>
      </w:r>
      <w:r w:rsidRPr="007A3406">
        <w:rPr>
          <w:rFonts w:ascii="Segoe UI" w:hAnsi="Segoe UI" w:cs="Segoe UI"/>
          <w:color w:val="666666"/>
          <w:sz w:val="20"/>
          <w:szCs w:val="20"/>
        </w:rPr>
        <w:t>%</w:t>
      </w:r>
      <w:r>
        <w:rPr>
          <w:rFonts w:ascii="Segoe UI" w:hAnsi="Segoe UI" w:cs="Segoe UI"/>
          <w:color w:val="666666"/>
          <w:sz w:val="20"/>
          <w:szCs w:val="20"/>
        </w:rPr>
        <w:t xml:space="preserve">. </w:t>
      </w:r>
      <w:r w:rsidRPr="00367687">
        <w:rPr>
          <w:rFonts w:ascii="Segoe UI" w:eastAsia="Calibri" w:hAnsi="Segoe UI" w:cs="Segoe UI"/>
          <w:color w:val="666666"/>
          <w:sz w:val="20"/>
          <w:szCs w:val="20"/>
        </w:rPr>
        <w:t xml:space="preserve">Server products </w:t>
      </w:r>
      <w:r>
        <w:rPr>
          <w:rFonts w:ascii="Segoe UI" w:eastAsia="Calibri" w:hAnsi="Segoe UI" w:cs="Segoe UI"/>
          <w:color w:val="666666"/>
          <w:sz w:val="20"/>
          <w:szCs w:val="20"/>
        </w:rPr>
        <w:t xml:space="preserve">and services </w:t>
      </w:r>
      <w:r w:rsidRPr="00367687">
        <w:rPr>
          <w:rFonts w:ascii="Segoe UI" w:eastAsia="Calibri" w:hAnsi="Segoe UI" w:cs="Segoe UI"/>
          <w:color w:val="666666"/>
          <w:sz w:val="20"/>
          <w:szCs w:val="20"/>
        </w:rPr>
        <w:t>revenue</w:t>
      </w:r>
      <w:r>
        <w:rPr>
          <w:rFonts w:ascii="Segoe UI" w:eastAsia="Calibri" w:hAnsi="Segoe UI" w:cs="Segoe UI"/>
          <w:color w:val="666666"/>
          <w:sz w:val="20"/>
          <w:szCs w:val="20"/>
        </w:rPr>
        <w:t xml:space="preserve"> grew 4%, and </w:t>
      </w:r>
      <w:r w:rsidRPr="00B03352">
        <w:rPr>
          <w:rFonts w:ascii="Segoe UI" w:eastAsia="Calibri" w:hAnsi="Segoe UI" w:cs="Segoe UI"/>
          <w:color w:val="666666"/>
          <w:sz w:val="20"/>
          <w:szCs w:val="20"/>
        </w:rPr>
        <w:t xml:space="preserve">Office Commercial </w:t>
      </w:r>
      <w:r>
        <w:rPr>
          <w:rFonts w:ascii="Segoe UI" w:eastAsia="Calibri" w:hAnsi="Segoe UI" w:cs="Segoe UI"/>
          <w:color w:val="666666"/>
          <w:sz w:val="20"/>
          <w:szCs w:val="20"/>
        </w:rPr>
        <w:t>product</w:t>
      </w:r>
      <w:r w:rsidR="00277FE0">
        <w:rPr>
          <w:rFonts w:ascii="Segoe UI" w:eastAsia="Calibri" w:hAnsi="Segoe UI" w:cs="Segoe UI"/>
          <w:color w:val="666666"/>
          <w:sz w:val="20"/>
          <w:szCs w:val="20"/>
        </w:rPr>
        <w:t>s</w:t>
      </w:r>
      <w:r>
        <w:rPr>
          <w:rFonts w:ascii="Segoe UI" w:eastAsia="Calibri" w:hAnsi="Segoe UI" w:cs="Segoe UI"/>
          <w:color w:val="666666"/>
          <w:sz w:val="20"/>
          <w:szCs w:val="20"/>
        </w:rPr>
        <w:t xml:space="preserve"> and services </w:t>
      </w:r>
      <w:r w:rsidRPr="00B03352">
        <w:rPr>
          <w:rFonts w:ascii="Segoe UI" w:eastAsia="Calibri" w:hAnsi="Segoe UI" w:cs="Segoe UI"/>
          <w:color w:val="666666"/>
          <w:sz w:val="20"/>
          <w:szCs w:val="20"/>
        </w:rPr>
        <w:t>revenue</w:t>
      </w:r>
      <w:r>
        <w:rPr>
          <w:rFonts w:ascii="Segoe UI" w:eastAsia="Calibri" w:hAnsi="Segoe UI" w:cs="Segoe UI"/>
          <w:color w:val="666666"/>
          <w:sz w:val="20"/>
          <w:szCs w:val="20"/>
        </w:rPr>
        <w:t xml:space="preserve"> declined 4%</w:t>
      </w:r>
      <w:r w:rsidRPr="004C371A">
        <w:rPr>
          <w:rFonts w:ascii="Segoe UI" w:eastAsia="Calibri" w:hAnsi="Segoe UI" w:cs="Segoe UI"/>
          <w:color w:val="666666"/>
          <w:sz w:val="20"/>
          <w:szCs w:val="20"/>
        </w:rPr>
        <w:t>. Commercial gross margin decreased $1</w:t>
      </w:r>
      <w:r>
        <w:rPr>
          <w:rFonts w:ascii="Segoe UI" w:eastAsia="Calibri" w:hAnsi="Segoe UI" w:cs="Segoe UI"/>
          <w:color w:val="666666"/>
          <w:sz w:val="20"/>
          <w:szCs w:val="20"/>
        </w:rPr>
        <w:t>10</w:t>
      </w:r>
      <w:r w:rsidRPr="004C371A">
        <w:rPr>
          <w:rFonts w:ascii="Segoe UI" w:eastAsia="Calibri" w:hAnsi="Segoe UI" w:cs="Segoe UI"/>
          <w:color w:val="666666"/>
          <w:sz w:val="20"/>
          <w:szCs w:val="20"/>
        </w:rPr>
        <w:t xml:space="preserve"> million or 1%.</w:t>
      </w:r>
    </w:p>
    <w:p w14:paraId="7505F6DE" w14:textId="77777777" w:rsidR="0044077A" w:rsidRPr="006A0B3D" w:rsidRDefault="0044077A" w:rsidP="0044077A">
      <w:pPr>
        <w:spacing w:before="160" w:line="280" w:lineRule="exact"/>
        <w:jc w:val="both"/>
        <w:rPr>
          <w:rFonts w:ascii="Segoe UI" w:hAnsi="Segoe UI" w:cs="Segoe UI"/>
          <w:b/>
          <w:i/>
          <w:color w:val="666666"/>
          <w:sz w:val="20"/>
          <w:szCs w:val="20"/>
        </w:rPr>
      </w:pPr>
      <w:r w:rsidRPr="006A0B3D">
        <w:rPr>
          <w:rFonts w:ascii="Segoe UI" w:hAnsi="Segoe UI" w:cs="Segoe UI"/>
          <w:b/>
          <w:i/>
          <w:color w:val="666666"/>
          <w:sz w:val="20"/>
          <w:szCs w:val="20"/>
        </w:rPr>
        <w:t>Commercial Licensing</w:t>
      </w:r>
    </w:p>
    <w:p w14:paraId="00DC9644" w14:textId="77777777" w:rsidR="0044077A" w:rsidRPr="006A0B3D" w:rsidRDefault="0044077A" w:rsidP="0044077A">
      <w:pPr>
        <w:pStyle w:val="NormalWeb"/>
        <w:spacing w:before="160" w:beforeAutospacing="0" w:after="160" w:afterAutospacing="0"/>
        <w:rPr>
          <w:rFonts w:ascii="Segoe UI" w:eastAsia="Calibri" w:hAnsi="Segoe UI" w:cs="Segoe UI"/>
          <w:color w:val="666666"/>
          <w:sz w:val="20"/>
          <w:szCs w:val="20"/>
        </w:rPr>
      </w:pPr>
      <w:r w:rsidRPr="006A0B3D">
        <w:rPr>
          <w:rFonts w:ascii="Segoe UI" w:eastAsia="Calibri" w:hAnsi="Segoe UI" w:cs="Segoe UI"/>
          <w:color w:val="666666"/>
          <w:sz w:val="20"/>
          <w:szCs w:val="20"/>
        </w:rPr>
        <w:t xml:space="preserve">Commercial Licensing revenue </w:t>
      </w:r>
      <w:r>
        <w:rPr>
          <w:rFonts w:ascii="Segoe UI" w:eastAsia="Calibri" w:hAnsi="Segoe UI" w:cs="Segoe UI"/>
          <w:color w:val="666666"/>
          <w:sz w:val="20"/>
          <w:szCs w:val="20"/>
        </w:rPr>
        <w:t>de</w:t>
      </w:r>
      <w:r w:rsidRPr="006A0B3D">
        <w:rPr>
          <w:rFonts w:ascii="Segoe UI" w:eastAsia="Calibri" w:hAnsi="Segoe UI" w:cs="Segoe UI"/>
          <w:color w:val="666666"/>
          <w:sz w:val="20"/>
          <w:szCs w:val="20"/>
        </w:rPr>
        <w:t xml:space="preserve">creased </w:t>
      </w:r>
      <w:r w:rsidRPr="00BB6FD4">
        <w:rPr>
          <w:rFonts w:ascii="Segoe UI" w:eastAsia="Calibri" w:hAnsi="Segoe UI" w:cs="Segoe UI"/>
          <w:color w:val="666666"/>
          <w:sz w:val="20"/>
          <w:szCs w:val="20"/>
        </w:rPr>
        <w:t>$</w:t>
      </w:r>
      <w:r>
        <w:rPr>
          <w:rFonts w:ascii="Segoe UI" w:eastAsia="Calibri" w:hAnsi="Segoe UI" w:cs="Segoe UI"/>
          <w:color w:val="666666"/>
          <w:sz w:val="20"/>
          <w:szCs w:val="20"/>
        </w:rPr>
        <w:t>782</w:t>
      </w:r>
      <w:r w:rsidRPr="006A0B3D">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7</w:t>
      </w:r>
      <w:r w:rsidRPr="00BB6FD4">
        <w:rPr>
          <w:rFonts w:ascii="Segoe UI" w:eastAsia="Calibri" w:hAnsi="Segoe UI" w:cs="Segoe UI"/>
          <w:color w:val="666666"/>
          <w:sz w:val="20"/>
          <w:szCs w:val="20"/>
        </w:rPr>
        <w:t>%</w:t>
      </w:r>
      <w:r w:rsidRPr="006A0B3D">
        <w:rPr>
          <w:rFonts w:ascii="Segoe UI" w:eastAsia="Calibri" w:hAnsi="Segoe UI" w:cs="Segoe UI"/>
          <w:color w:val="666666"/>
          <w:sz w:val="20"/>
          <w:szCs w:val="20"/>
        </w:rPr>
        <w:t xml:space="preserve">, </w:t>
      </w:r>
      <w:r w:rsidRPr="00F06421">
        <w:rPr>
          <w:rFonts w:ascii="Segoe UI" w:eastAsia="Calibri" w:hAnsi="Segoe UI" w:cs="Segoe UI"/>
          <w:color w:val="666666"/>
          <w:sz w:val="20"/>
          <w:szCs w:val="20"/>
        </w:rPr>
        <w:t>primarily due to a decline in revenue from Office Commercial</w:t>
      </w:r>
      <w:r w:rsidRPr="006A0B3D">
        <w:rPr>
          <w:rFonts w:ascii="Segoe UI" w:eastAsia="Calibri" w:hAnsi="Segoe UI" w:cs="Segoe UI"/>
          <w:color w:val="666666"/>
          <w:sz w:val="20"/>
          <w:szCs w:val="20"/>
        </w:rPr>
        <w:t xml:space="preserve">. </w:t>
      </w:r>
      <w:r>
        <w:rPr>
          <w:rFonts w:ascii="Segoe UI" w:eastAsia="Calibri" w:hAnsi="Segoe UI" w:cs="Segoe UI"/>
          <w:color w:val="666666"/>
          <w:sz w:val="20"/>
          <w:szCs w:val="20"/>
        </w:rPr>
        <w:t>G</w:t>
      </w:r>
      <w:r w:rsidRPr="006A0B3D">
        <w:rPr>
          <w:rFonts w:ascii="Segoe UI" w:eastAsia="Calibri" w:hAnsi="Segoe UI" w:cs="Segoe UI"/>
          <w:color w:val="666666"/>
          <w:sz w:val="20"/>
          <w:szCs w:val="20"/>
        </w:rPr>
        <w:t xml:space="preserve">ross margin </w:t>
      </w:r>
      <w:r>
        <w:rPr>
          <w:rFonts w:ascii="Segoe UI" w:eastAsia="Calibri" w:hAnsi="Segoe UI" w:cs="Segoe UI"/>
          <w:color w:val="666666"/>
          <w:sz w:val="20"/>
          <w:szCs w:val="20"/>
        </w:rPr>
        <w:t>de</w:t>
      </w:r>
      <w:r w:rsidRPr="006A0B3D">
        <w:rPr>
          <w:rFonts w:ascii="Segoe UI" w:eastAsia="Calibri" w:hAnsi="Segoe UI" w:cs="Segoe UI"/>
          <w:color w:val="666666"/>
          <w:sz w:val="20"/>
          <w:szCs w:val="20"/>
        </w:rPr>
        <w:t xml:space="preserve">creased </w:t>
      </w:r>
      <w:r w:rsidRPr="00BB6FD4">
        <w:rPr>
          <w:rFonts w:ascii="Segoe UI" w:eastAsia="Calibri" w:hAnsi="Segoe UI" w:cs="Segoe UI"/>
          <w:color w:val="666666"/>
          <w:sz w:val="20"/>
          <w:szCs w:val="20"/>
        </w:rPr>
        <w:t>$</w:t>
      </w:r>
      <w:r>
        <w:rPr>
          <w:rFonts w:ascii="Segoe UI" w:eastAsia="Calibri" w:hAnsi="Segoe UI" w:cs="Segoe UI"/>
          <w:color w:val="666666"/>
          <w:sz w:val="20"/>
          <w:szCs w:val="20"/>
        </w:rPr>
        <w:t>769</w:t>
      </w:r>
      <w:r w:rsidRPr="006A0B3D">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7</w:t>
      </w:r>
      <w:r w:rsidRPr="00BB6FD4">
        <w:rPr>
          <w:rFonts w:ascii="Segoe UI" w:eastAsia="Calibri" w:hAnsi="Segoe UI" w:cs="Segoe UI"/>
          <w:color w:val="666666"/>
          <w:sz w:val="20"/>
          <w:szCs w:val="20"/>
        </w:rPr>
        <w:t>%</w:t>
      </w:r>
      <w:r w:rsidRPr="001D3B0A">
        <w:rPr>
          <w:rFonts w:ascii="Segoe UI" w:eastAsia="Calibri" w:hAnsi="Segoe UI" w:cs="Segoe UI"/>
          <w:color w:val="666666"/>
          <w:sz w:val="20"/>
          <w:szCs w:val="20"/>
        </w:rPr>
        <w:t>, in line with revenue</w:t>
      </w:r>
      <w:r>
        <w:rPr>
          <w:rFonts w:ascii="Segoe UI" w:eastAsia="Calibri" w:hAnsi="Segoe UI" w:cs="Segoe UI"/>
          <w:color w:val="666666"/>
          <w:sz w:val="20"/>
          <w:szCs w:val="20"/>
        </w:rPr>
        <w:t>.</w:t>
      </w:r>
      <w:r w:rsidRPr="006A0B3D">
        <w:rPr>
          <w:rFonts w:ascii="Segoe UI" w:eastAsia="Calibri" w:hAnsi="Segoe UI" w:cs="Segoe UI"/>
          <w:color w:val="666666"/>
          <w:sz w:val="20"/>
          <w:szCs w:val="20"/>
        </w:rPr>
        <w:t xml:space="preserve"> </w:t>
      </w:r>
    </w:p>
    <w:p w14:paraId="297D6CAC" w14:textId="77777777" w:rsidR="0044077A" w:rsidRDefault="0044077A" w:rsidP="0044077A">
      <w:pPr>
        <w:pStyle w:val="NormalWeb"/>
        <w:numPr>
          <w:ilvl w:val="0"/>
          <w:numId w:val="5"/>
        </w:numPr>
        <w:spacing w:before="160" w:beforeAutospacing="0" w:after="160" w:afterAutospacing="0"/>
        <w:rPr>
          <w:rFonts w:ascii="Segoe UI" w:eastAsia="Calibri" w:hAnsi="Segoe UI" w:cs="Segoe UI"/>
          <w:color w:val="666666"/>
          <w:sz w:val="20"/>
          <w:szCs w:val="20"/>
        </w:rPr>
      </w:pPr>
      <w:r w:rsidRPr="00F06421">
        <w:rPr>
          <w:rFonts w:ascii="Segoe UI" w:eastAsia="Calibri" w:hAnsi="Segoe UI" w:cs="Segoe UI"/>
          <w:color w:val="666666"/>
          <w:sz w:val="20"/>
          <w:szCs w:val="20"/>
        </w:rPr>
        <w:t xml:space="preserve">Office Commercial revenue </w:t>
      </w:r>
      <w:r>
        <w:rPr>
          <w:rFonts w:ascii="Segoe UI" w:eastAsia="Calibri" w:hAnsi="Segoe UI" w:cs="Segoe UI"/>
          <w:color w:val="666666"/>
          <w:sz w:val="20"/>
          <w:szCs w:val="20"/>
        </w:rPr>
        <w:t>decreased</w:t>
      </w:r>
      <w:r w:rsidRPr="00F06421">
        <w:rPr>
          <w:rFonts w:ascii="Segoe UI" w:eastAsia="Calibri" w:hAnsi="Segoe UI" w:cs="Segoe UI"/>
          <w:color w:val="666666"/>
          <w:sz w:val="20"/>
          <w:szCs w:val="20"/>
        </w:rPr>
        <w:t xml:space="preserve"> $</w:t>
      </w:r>
      <w:r>
        <w:rPr>
          <w:rFonts w:ascii="Segoe UI" w:eastAsia="Calibri" w:hAnsi="Segoe UI" w:cs="Segoe UI"/>
          <w:color w:val="666666"/>
          <w:sz w:val="20"/>
          <w:szCs w:val="20"/>
        </w:rPr>
        <w:t>823</w:t>
      </w:r>
      <w:r w:rsidRPr="00F06421">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18</w:t>
      </w:r>
      <w:r w:rsidRPr="00F06421">
        <w:rPr>
          <w:rFonts w:ascii="Segoe UI" w:eastAsia="Calibri" w:hAnsi="Segoe UI" w:cs="Segoe UI"/>
          <w:color w:val="666666"/>
          <w:sz w:val="20"/>
          <w:szCs w:val="20"/>
        </w:rPr>
        <w:t xml:space="preserve">%, due to </w:t>
      </w:r>
      <w:r>
        <w:rPr>
          <w:rFonts w:ascii="Segoe UI" w:eastAsia="Calibri" w:hAnsi="Segoe UI" w:cs="Segoe UI"/>
          <w:color w:val="666666"/>
          <w:sz w:val="20"/>
          <w:szCs w:val="20"/>
        </w:rPr>
        <w:t xml:space="preserve">the continued transition of customers to </w:t>
      </w:r>
      <w:r w:rsidRPr="00047623">
        <w:rPr>
          <w:rFonts w:ascii="Segoe UI" w:eastAsia="Calibri" w:hAnsi="Segoe UI" w:cs="Segoe UI"/>
          <w:color w:val="666666"/>
          <w:sz w:val="20"/>
          <w:szCs w:val="20"/>
        </w:rPr>
        <w:t>Office 365 Commercial and</w:t>
      </w:r>
      <w:r w:rsidRPr="0001758B">
        <w:rPr>
          <w:rFonts w:ascii="Segoe UI" w:eastAsia="Calibri" w:hAnsi="Segoe UI" w:cs="Segoe UI"/>
          <w:color w:val="666666"/>
          <w:sz w:val="20"/>
          <w:szCs w:val="20"/>
        </w:rPr>
        <w:t xml:space="preserve"> lower transactional license volume, reflecting a decline in the business PC market following Windows XP end of support in the prior year</w:t>
      </w:r>
      <w:r>
        <w:rPr>
          <w:rFonts w:ascii="Segoe UI" w:eastAsia="Calibri" w:hAnsi="Segoe UI" w:cs="Segoe UI"/>
          <w:color w:val="666666"/>
          <w:sz w:val="20"/>
          <w:szCs w:val="20"/>
        </w:rPr>
        <w:t xml:space="preserve">. </w:t>
      </w:r>
      <w:r w:rsidRPr="00F06421">
        <w:rPr>
          <w:rFonts w:ascii="Segoe UI" w:eastAsia="Calibri" w:hAnsi="Segoe UI" w:cs="Segoe UI"/>
          <w:color w:val="666666"/>
          <w:sz w:val="20"/>
          <w:szCs w:val="20"/>
        </w:rPr>
        <w:t>Office Commercial revenue</w:t>
      </w:r>
      <w:r>
        <w:rPr>
          <w:rFonts w:ascii="Segoe UI" w:eastAsia="Calibri" w:hAnsi="Segoe UI" w:cs="Segoe UI"/>
          <w:color w:val="666666"/>
          <w:sz w:val="20"/>
          <w:szCs w:val="20"/>
        </w:rPr>
        <w:t xml:space="preserve"> </w:t>
      </w:r>
      <w:r w:rsidRPr="00F06421">
        <w:rPr>
          <w:rFonts w:ascii="Segoe UI" w:eastAsia="Calibri" w:hAnsi="Segoe UI" w:cs="Segoe UI"/>
          <w:color w:val="666666"/>
          <w:sz w:val="20"/>
          <w:szCs w:val="20"/>
        </w:rPr>
        <w:t xml:space="preserve">included an unfavorable foreign currency impact of </w:t>
      </w:r>
      <w:r w:rsidRPr="007A3406">
        <w:rPr>
          <w:rFonts w:ascii="Segoe UI" w:eastAsia="Calibri" w:hAnsi="Segoe UI" w:cs="Segoe UI"/>
          <w:color w:val="666666"/>
          <w:sz w:val="20"/>
          <w:szCs w:val="20"/>
        </w:rPr>
        <w:t xml:space="preserve">approximately </w:t>
      </w:r>
      <w:r>
        <w:rPr>
          <w:rFonts w:ascii="Segoe UI" w:eastAsia="Calibri" w:hAnsi="Segoe UI" w:cs="Segoe UI"/>
          <w:color w:val="666666"/>
          <w:sz w:val="20"/>
          <w:szCs w:val="20"/>
        </w:rPr>
        <w:t>5</w:t>
      </w:r>
      <w:r w:rsidRPr="007A3406">
        <w:rPr>
          <w:rFonts w:ascii="Segoe UI" w:eastAsia="Calibri" w:hAnsi="Segoe UI" w:cs="Segoe UI"/>
          <w:color w:val="666666"/>
          <w:sz w:val="20"/>
          <w:szCs w:val="20"/>
        </w:rPr>
        <w:t>%</w:t>
      </w:r>
      <w:r>
        <w:rPr>
          <w:rFonts w:ascii="Segoe UI" w:eastAsia="Calibri" w:hAnsi="Segoe UI" w:cs="Segoe UI"/>
          <w:color w:val="666666"/>
          <w:sz w:val="20"/>
          <w:szCs w:val="20"/>
        </w:rPr>
        <w:t>.</w:t>
      </w:r>
      <w:r w:rsidRPr="00C81479">
        <w:rPr>
          <w:rFonts w:ascii="Segoe UI" w:eastAsia="Calibri" w:hAnsi="Segoe UI" w:cs="Segoe UI"/>
          <w:color w:val="666666"/>
          <w:sz w:val="20"/>
          <w:szCs w:val="20"/>
        </w:rPr>
        <w:t xml:space="preserve"> </w:t>
      </w:r>
    </w:p>
    <w:p w14:paraId="4BBEBE47" w14:textId="77777777" w:rsidR="0044077A" w:rsidRPr="00875902" w:rsidRDefault="0044077A" w:rsidP="0044077A">
      <w:pPr>
        <w:pStyle w:val="NormalWeb"/>
        <w:numPr>
          <w:ilvl w:val="0"/>
          <w:numId w:val="5"/>
        </w:numPr>
        <w:spacing w:before="160" w:beforeAutospacing="0" w:after="160" w:afterAutospacing="0"/>
        <w:rPr>
          <w:rFonts w:ascii="Segoe UI" w:hAnsi="Segoe UI" w:cs="Segoe UI"/>
          <w:color w:val="666666"/>
          <w:sz w:val="20"/>
          <w:szCs w:val="20"/>
        </w:rPr>
      </w:pPr>
      <w:r>
        <w:rPr>
          <w:rFonts w:ascii="Segoe UI" w:eastAsia="Calibri" w:hAnsi="Segoe UI" w:cs="Segoe UI"/>
          <w:color w:val="666666"/>
          <w:sz w:val="20"/>
          <w:szCs w:val="20"/>
        </w:rPr>
        <w:t xml:space="preserve">Despite </w:t>
      </w:r>
      <w:r w:rsidRPr="00875902">
        <w:rPr>
          <w:rFonts w:ascii="Segoe UI" w:eastAsia="Calibri" w:hAnsi="Segoe UI" w:cs="Segoe UI"/>
          <w:color w:val="666666"/>
          <w:sz w:val="20"/>
          <w:szCs w:val="20"/>
        </w:rPr>
        <w:t>an unfavorable foreign currency impact of approximately 5%</w:t>
      </w:r>
      <w:r>
        <w:rPr>
          <w:rFonts w:ascii="Segoe UI" w:eastAsia="Calibri" w:hAnsi="Segoe UI" w:cs="Segoe UI"/>
          <w:color w:val="666666"/>
          <w:sz w:val="20"/>
          <w:szCs w:val="20"/>
        </w:rPr>
        <w:t>, s</w:t>
      </w:r>
      <w:r w:rsidRPr="00875902">
        <w:rPr>
          <w:rFonts w:ascii="Segoe UI" w:eastAsia="Calibri" w:hAnsi="Segoe UI" w:cs="Segoe UI"/>
          <w:color w:val="666666"/>
          <w:sz w:val="20"/>
          <w:szCs w:val="20"/>
        </w:rPr>
        <w:t>erver products revenue was flat</w:t>
      </w:r>
      <w:r>
        <w:rPr>
          <w:rFonts w:ascii="Segoe UI" w:eastAsia="Calibri" w:hAnsi="Segoe UI" w:cs="Segoe UI"/>
          <w:color w:val="666666"/>
          <w:sz w:val="20"/>
          <w:szCs w:val="20"/>
        </w:rPr>
        <w:t>, as annuity revenue growth offset transactional revenue declines.</w:t>
      </w:r>
    </w:p>
    <w:p w14:paraId="6F968D2F" w14:textId="77777777" w:rsidR="0044077A" w:rsidRPr="007E42A8" w:rsidRDefault="0044077A" w:rsidP="0044077A">
      <w:pPr>
        <w:keepNext/>
        <w:spacing w:before="160" w:line="280" w:lineRule="exact"/>
        <w:jc w:val="both"/>
        <w:rPr>
          <w:rFonts w:ascii="Segoe UI" w:hAnsi="Segoe UI" w:cs="Segoe UI"/>
          <w:b/>
          <w:i/>
          <w:color w:val="666666"/>
          <w:sz w:val="20"/>
          <w:szCs w:val="20"/>
        </w:rPr>
      </w:pPr>
      <w:r w:rsidRPr="007E42A8">
        <w:rPr>
          <w:rFonts w:ascii="Segoe UI" w:hAnsi="Segoe UI" w:cs="Segoe UI"/>
          <w:b/>
          <w:i/>
          <w:color w:val="666666"/>
          <w:sz w:val="20"/>
          <w:szCs w:val="20"/>
        </w:rPr>
        <w:t>Commercial Other</w:t>
      </w:r>
    </w:p>
    <w:p w14:paraId="7DB32F12" w14:textId="77777777" w:rsidR="0044077A" w:rsidRPr="007E42A8" w:rsidRDefault="0044077A" w:rsidP="0044077A">
      <w:pPr>
        <w:pStyle w:val="NormalWeb"/>
        <w:keepNext/>
        <w:spacing w:before="160" w:beforeAutospacing="0" w:after="160" w:afterAutospacing="0"/>
        <w:rPr>
          <w:rFonts w:ascii="Segoe UI" w:eastAsia="Calibri" w:hAnsi="Segoe UI" w:cs="Segoe UI"/>
          <w:color w:val="666666"/>
          <w:sz w:val="20"/>
          <w:szCs w:val="20"/>
        </w:rPr>
      </w:pPr>
      <w:r w:rsidRPr="007E42A8">
        <w:rPr>
          <w:rFonts w:ascii="Segoe UI" w:eastAsia="Calibri" w:hAnsi="Segoe UI" w:cs="Segoe UI"/>
          <w:color w:val="666666"/>
          <w:sz w:val="20"/>
          <w:szCs w:val="20"/>
        </w:rPr>
        <w:t xml:space="preserve">Commercial Other revenue increased </w:t>
      </w:r>
      <w:r w:rsidRPr="00CC2B2B">
        <w:rPr>
          <w:rFonts w:ascii="Segoe UI" w:eastAsia="Calibri" w:hAnsi="Segoe UI" w:cs="Segoe UI"/>
          <w:color w:val="666666"/>
          <w:sz w:val="20"/>
          <w:szCs w:val="20"/>
        </w:rPr>
        <w:t>$</w:t>
      </w:r>
      <w:r>
        <w:rPr>
          <w:rFonts w:ascii="Segoe UI" w:eastAsia="Calibri" w:hAnsi="Segoe UI" w:cs="Segoe UI"/>
          <w:color w:val="666666"/>
          <w:sz w:val="20"/>
          <w:szCs w:val="20"/>
        </w:rPr>
        <w:t>814</w:t>
      </w:r>
      <w:r w:rsidRPr="007E42A8">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36</w:t>
      </w:r>
      <w:r w:rsidRPr="00CC2B2B">
        <w:rPr>
          <w:rFonts w:ascii="Segoe UI" w:eastAsia="Calibri" w:hAnsi="Segoe UI" w:cs="Segoe UI"/>
          <w:color w:val="666666"/>
          <w:sz w:val="20"/>
          <w:szCs w:val="20"/>
        </w:rPr>
        <w:t>%</w:t>
      </w:r>
      <w:r w:rsidRPr="007E42A8">
        <w:rPr>
          <w:rFonts w:ascii="Segoe UI" w:eastAsia="Calibri" w:hAnsi="Segoe UI" w:cs="Segoe UI"/>
          <w:color w:val="666666"/>
          <w:sz w:val="20"/>
          <w:szCs w:val="20"/>
        </w:rPr>
        <w:t xml:space="preserve">, due to higher </w:t>
      </w:r>
      <w:r>
        <w:rPr>
          <w:rFonts w:ascii="Segoe UI" w:eastAsia="Calibri" w:hAnsi="Segoe UI" w:cs="Segoe UI"/>
          <w:color w:val="666666"/>
          <w:sz w:val="20"/>
          <w:szCs w:val="20"/>
        </w:rPr>
        <w:t>Commercial C</w:t>
      </w:r>
      <w:r w:rsidRPr="007E42A8">
        <w:rPr>
          <w:rFonts w:ascii="Segoe UI" w:eastAsia="Calibri" w:hAnsi="Segoe UI" w:cs="Segoe UI"/>
          <w:color w:val="666666"/>
          <w:sz w:val="20"/>
          <w:szCs w:val="20"/>
        </w:rPr>
        <w:t xml:space="preserve">loud revenue. </w:t>
      </w:r>
      <w:r>
        <w:rPr>
          <w:rFonts w:ascii="Segoe UI" w:eastAsia="Calibri" w:hAnsi="Segoe UI" w:cs="Segoe UI"/>
          <w:color w:val="666666"/>
          <w:sz w:val="20"/>
          <w:szCs w:val="20"/>
        </w:rPr>
        <w:t>G</w:t>
      </w:r>
      <w:r w:rsidRPr="007E42A8">
        <w:rPr>
          <w:rFonts w:ascii="Segoe UI" w:eastAsia="Calibri" w:hAnsi="Segoe UI" w:cs="Segoe UI"/>
          <w:color w:val="666666"/>
          <w:sz w:val="20"/>
          <w:szCs w:val="20"/>
        </w:rPr>
        <w:t xml:space="preserve">ross margin increased </w:t>
      </w:r>
      <w:r w:rsidRPr="00CC2B2B">
        <w:rPr>
          <w:rFonts w:ascii="Segoe UI" w:eastAsia="Calibri" w:hAnsi="Segoe UI" w:cs="Segoe UI"/>
          <w:color w:val="666666"/>
          <w:sz w:val="20"/>
          <w:szCs w:val="20"/>
        </w:rPr>
        <w:t>$</w:t>
      </w:r>
      <w:r>
        <w:rPr>
          <w:rFonts w:ascii="Segoe UI" w:eastAsia="Calibri" w:hAnsi="Segoe UI" w:cs="Segoe UI"/>
          <w:color w:val="666666"/>
          <w:sz w:val="20"/>
          <w:szCs w:val="20"/>
        </w:rPr>
        <w:t>659</w:t>
      </w:r>
      <w:r w:rsidRPr="007E42A8">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95</w:t>
      </w:r>
      <w:r w:rsidRPr="00CC2B2B">
        <w:rPr>
          <w:rFonts w:ascii="Segoe UI" w:eastAsia="Calibri" w:hAnsi="Segoe UI" w:cs="Segoe UI"/>
          <w:color w:val="666666"/>
          <w:sz w:val="20"/>
          <w:szCs w:val="20"/>
        </w:rPr>
        <w:t>%</w:t>
      </w:r>
      <w:r>
        <w:rPr>
          <w:rFonts w:ascii="Segoe UI" w:eastAsia="Calibri" w:hAnsi="Segoe UI" w:cs="Segoe UI"/>
          <w:color w:val="666666"/>
          <w:sz w:val="20"/>
          <w:szCs w:val="20"/>
        </w:rPr>
        <w:t>, driven by increased scale in our Commercial Cloud.</w:t>
      </w:r>
    </w:p>
    <w:p w14:paraId="5E21AE10" w14:textId="77777777" w:rsidR="0044077A" w:rsidRDefault="0044077A" w:rsidP="0044077A">
      <w:pPr>
        <w:pStyle w:val="NormalWeb"/>
        <w:numPr>
          <w:ilvl w:val="0"/>
          <w:numId w:val="4"/>
        </w:numPr>
        <w:spacing w:before="160" w:beforeAutospacing="0" w:after="160" w:afterAutospacing="0"/>
        <w:rPr>
          <w:rFonts w:ascii="Segoe UI" w:eastAsia="Calibri" w:hAnsi="Segoe UI" w:cs="Segoe UI"/>
          <w:sz w:val="20"/>
          <w:szCs w:val="20"/>
        </w:rPr>
      </w:pPr>
      <w:r>
        <w:rPr>
          <w:rFonts w:ascii="Segoe UI" w:eastAsia="Calibri" w:hAnsi="Segoe UI" w:cs="Segoe UI"/>
          <w:color w:val="666666"/>
          <w:sz w:val="20"/>
          <w:szCs w:val="20"/>
        </w:rPr>
        <w:t>Commercial C</w:t>
      </w:r>
      <w:r w:rsidRPr="007E42A8">
        <w:rPr>
          <w:rFonts w:ascii="Segoe UI" w:eastAsia="Calibri" w:hAnsi="Segoe UI" w:cs="Segoe UI"/>
          <w:color w:val="666666"/>
          <w:sz w:val="20"/>
          <w:szCs w:val="20"/>
        </w:rPr>
        <w:t xml:space="preserve">loud revenue grew </w:t>
      </w:r>
      <w:r w:rsidRPr="00CC2B2B">
        <w:rPr>
          <w:rFonts w:ascii="Segoe UI" w:eastAsia="Calibri" w:hAnsi="Segoe UI" w:cs="Segoe UI"/>
          <w:color w:val="666666"/>
          <w:sz w:val="20"/>
          <w:szCs w:val="20"/>
        </w:rPr>
        <w:t>$</w:t>
      </w:r>
      <w:r>
        <w:rPr>
          <w:rFonts w:ascii="Segoe UI" w:eastAsia="Calibri" w:hAnsi="Segoe UI" w:cs="Segoe UI"/>
          <w:color w:val="666666"/>
          <w:sz w:val="20"/>
          <w:szCs w:val="20"/>
        </w:rPr>
        <w:t>832</w:t>
      </w:r>
      <w:r w:rsidRPr="007E42A8">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88</w:t>
      </w:r>
      <w:r w:rsidRPr="00CC2B2B">
        <w:rPr>
          <w:rFonts w:ascii="Segoe UI" w:eastAsia="Calibri" w:hAnsi="Segoe UI" w:cs="Segoe UI"/>
          <w:color w:val="666666"/>
          <w:sz w:val="20"/>
          <w:szCs w:val="20"/>
        </w:rPr>
        <w:t>%</w:t>
      </w:r>
      <w:r>
        <w:rPr>
          <w:rFonts w:ascii="Segoe UI" w:eastAsia="Calibri" w:hAnsi="Segoe UI" w:cs="Segoe UI"/>
          <w:color w:val="666666"/>
          <w:sz w:val="20"/>
          <w:szCs w:val="20"/>
        </w:rPr>
        <w:t xml:space="preserve">, </w:t>
      </w:r>
      <w:r w:rsidRPr="00F06421">
        <w:rPr>
          <w:rFonts w:ascii="Segoe UI" w:eastAsia="Calibri" w:hAnsi="Segoe UI" w:cs="Segoe UI"/>
          <w:color w:val="666666"/>
          <w:sz w:val="20"/>
          <w:szCs w:val="20"/>
        </w:rPr>
        <w:t xml:space="preserve">mainly due </w:t>
      </w:r>
      <w:r>
        <w:rPr>
          <w:rFonts w:ascii="Segoe UI" w:eastAsia="Calibri" w:hAnsi="Segoe UI" w:cs="Segoe UI"/>
          <w:color w:val="666666"/>
          <w:sz w:val="20"/>
          <w:szCs w:val="20"/>
        </w:rPr>
        <w:t xml:space="preserve">to higher revenue from Office 365 Commercial and Microsoft Azure. Cloud </w:t>
      </w:r>
      <w:r w:rsidRPr="00F06421">
        <w:rPr>
          <w:rFonts w:ascii="Segoe UI" w:eastAsia="Calibri" w:hAnsi="Segoe UI" w:cs="Segoe UI"/>
          <w:color w:val="666666"/>
          <w:sz w:val="20"/>
          <w:szCs w:val="20"/>
        </w:rPr>
        <w:t>revenue</w:t>
      </w:r>
      <w:r>
        <w:rPr>
          <w:rFonts w:ascii="Segoe UI" w:eastAsia="Calibri" w:hAnsi="Segoe UI" w:cs="Segoe UI"/>
          <w:color w:val="666666"/>
          <w:sz w:val="20"/>
          <w:szCs w:val="20"/>
        </w:rPr>
        <w:t xml:space="preserve"> </w:t>
      </w:r>
      <w:r w:rsidRPr="00F06421">
        <w:rPr>
          <w:rFonts w:ascii="Segoe UI" w:eastAsia="Calibri" w:hAnsi="Segoe UI" w:cs="Segoe UI"/>
          <w:color w:val="666666"/>
          <w:sz w:val="20"/>
          <w:szCs w:val="20"/>
        </w:rPr>
        <w:t xml:space="preserve">included an unfavorable foreign currency impact of </w:t>
      </w:r>
      <w:r w:rsidRPr="007A3406">
        <w:rPr>
          <w:rFonts w:ascii="Segoe UI" w:eastAsia="Calibri" w:hAnsi="Segoe UI" w:cs="Segoe UI"/>
          <w:color w:val="666666"/>
          <w:sz w:val="20"/>
          <w:szCs w:val="20"/>
        </w:rPr>
        <w:t xml:space="preserve">approximately </w:t>
      </w:r>
      <w:r>
        <w:rPr>
          <w:rFonts w:ascii="Segoe UI" w:eastAsia="Calibri" w:hAnsi="Segoe UI" w:cs="Segoe UI"/>
          <w:color w:val="666666"/>
          <w:sz w:val="20"/>
          <w:szCs w:val="20"/>
        </w:rPr>
        <w:t>8</w:t>
      </w:r>
      <w:r w:rsidRPr="007A3406">
        <w:rPr>
          <w:rFonts w:ascii="Segoe UI" w:eastAsia="Calibri" w:hAnsi="Segoe UI" w:cs="Segoe UI"/>
          <w:color w:val="666666"/>
          <w:sz w:val="20"/>
          <w:szCs w:val="20"/>
        </w:rPr>
        <w:t>%</w:t>
      </w:r>
      <w:r>
        <w:rPr>
          <w:rFonts w:ascii="Segoe UI" w:eastAsia="Calibri" w:hAnsi="Segoe UI" w:cs="Segoe UI"/>
          <w:color w:val="666666"/>
          <w:sz w:val="20"/>
          <w:szCs w:val="20"/>
        </w:rPr>
        <w:t>.</w:t>
      </w:r>
    </w:p>
    <w:p w14:paraId="4D1F84A3" w14:textId="77777777" w:rsidR="0044077A" w:rsidRPr="00102025" w:rsidRDefault="0044077A" w:rsidP="0044077A">
      <w:pPr>
        <w:pStyle w:val="NormalWeb"/>
        <w:numPr>
          <w:ilvl w:val="0"/>
          <w:numId w:val="4"/>
        </w:numPr>
        <w:spacing w:before="160" w:beforeAutospacing="0" w:after="160" w:afterAutospacing="0"/>
        <w:rPr>
          <w:rFonts w:ascii="Segoe UI" w:eastAsia="Calibri" w:hAnsi="Segoe UI" w:cs="Segoe UI"/>
          <w:sz w:val="20"/>
          <w:szCs w:val="20"/>
        </w:rPr>
      </w:pPr>
      <w:r>
        <w:rPr>
          <w:rFonts w:ascii="Segoe UI" w:eastAsia="Calibri" w:hAnsi="Segoe UI" w:cs="Segoe UI"/>
          <w:color w:val="666666"/>
          <w:sz w:val="20"/>
          <w:szCs w:val="20"/>
        </w:rPr>
        <w:t>Including an unfavorable foreign currency impact of approximately 6%, Enterprise Services revenue declined 1%</w:t>
      </w:r>
      <w:r w:rsidRPr="001C7BBC">
        <w:rPr>
          <w:rFonts w:ascii="Segoe UI" w:eastAsia="Calibri" w:hAnsi="Segoe UI" w:cs="Segoe UI"/>
          <w:color w:val="666666"/>
          <w:sz w:val="20"/>
          <w:szCs w:val="20"/>
        </w:rPr>
        <w:t>.</w:t>
      </w:r>
    </w:p>
    <w:p w14:paraId="4D303F79" w14:textId="77777777" w:rsidR="0044077A" w:rsidRPr="003B669E" w:rsidRDefault="0044077A" w:rsidP="0044077A">
      <w:pPr>
        <w:pStyle w:val="NormalWeb"/>
        <w:keepNext/>
        <w:spacing w:before="160" w:beforeAutospacing="0" w:after="160" w:afterAutospacing="0"/>
        <w:rPr>
          <w:rFonts w:ascii="Segoe UI" w:hAnsi="Segoe UI" w:cs="Segoe UI"/>
          <w:b/>
          <w:bCs/>
          <w:color w:val="666666"/>
          <w:sz w:val="20"/>
          <w:szCs w:val="20"/>
        </w:rPr>
      </w:pPr>
      <w:r w:rsidRPr="003B669E">
        <w:rPr>
          <w:rFonts w:ascii="Segoe UI" w:hAnsi="Segoe UI" w:cs="Segoe UI"/>
          <w:b/>
          <w:bCs/>
          <w:color w:val="666666"/>
          <w:sz w:val="20"/>
          <w:szCs w:val="20"/>
        </w:rPr>
        <w:t>EXPENSES</w:t>
      </w:r>
    </w:p>
    <w:p w14:paraId="4EFFF221" w14:textId="77777777" w:rsidR="0044077A" w:rsidRDefault="0044077A" w:rsidP="0044077A">
      <w:pPr>
        <w:pStyle w:val="NormalWeb"/>
        <w:numPr>
          <w:ilvl w:val="0"/>
          <w:numId w:val="3"/>
        </w:numPr>
        <w:spacing w:before="160" w:beforeAutospacing="0" w:after="160" w:afterAutospacing="0" w:line="280" w:lineRule="exact"/>
        <w:rPr>
          <w:rFonts w:ascii="Segoe UI" w:eastAsia="Calibri" w:hAnsi="Segoe UI" w:cs="Segoe UI"/>
          <w:color w:val="666666"/>
          <w:sz w:val="20"/>
          <w:szCs w:val="20"/>
        </w:rPr>
      </w:pPr>
      <w:r w:rsidRPr="00CA404F">
        <w:rPr>
          <w:rFonts w:ascii="Segoe UI" w:hAnsi="Segoe UI" w:cs="Segoe UI"/>
          <w:color w:val="666666"/>
          <w:sz w:val="20"/>
          <w:szCs w:val="20"/>
        </w:rPr>
        <w:t xml:space="preserve">Cost of revenue </w:t>
      </w:r>
      <w:r>
        <w:rPr>
          <w:rFonts w:ascii="Segoe UI" w:hAnsi="Segoe UI" w:cs="Segoe UI"/>
          <w:color w:val="666666"/>
          <w:sz w:val="20"/>
          <w:szCs w:val="20"/>
        </w:rPr>
        <w:t>decreased $165 m</w:t>
      </w:r>
      <w:r w:rsidRPr="004A55C8">
        <w:rPr>
          <w:rFonts w:ascii="Segoe UI" w:hAnsi="Segoe UI" w:cs="Segoe UI"/>
          <w:color w:val="666666"/>
          <w:sz w:val="20"/>
          <w:szCs w:val="20"/>
        </w:rPr>
        <w:t>illion</w:t>
      </w:r>
      <w:r>
        <w:rPr>
          <w:rFonts w:ascii="Segoe UI" w:hAnsi="Segoe UI" w:cs="Segoe UI"/>
          <w:color w:val="666666"/>
          <w:sz w:val="20"/>
          <w:szCs w:val="20"/>
        </w:rPr>
        <w:t xml:space="preserve"> or 2</w:t>
      </w:r>
      <w:r w:rsidRPr="00DF655E">
        <w:rPr>
          <w:rFonts w:ascii="Segoe UI" w:hAnsi="Segoe UI" w:cs="Segoe UI"/>
          <w:color w:val="666666"/>
          <w:sz w:val="20"/>
          <w:szCs w:val="20"/>
        </w:rPr>
        <w:t>%</w:t>
      </w:r>
      <w:r>
        <w:rPr>
          <w:rFonts w:ascii="Segoe UI" w:hAnsi="Segoe UI" w:cs="Segoe UI"/>
          <w:color w:val="666666"/>
          <w:sz w:val="20"/>
          <w:szCs w:val="20"/>
        </w:rPr>
        <w:t xml:space="preserve">, mainly due to lower Phone Hardware costs, offset in part by higher costs associated with Commercial Cloud and Xbox. </w:t>
      </w:r>
      <w:r>
        <w:rPr>
          <w:rFonts w:ascii="Segoe UI" w:eastAsia="Calibri" w:hAnsi="Segoe UI" w:cs="Segoe UI"/>
          <w:color w:val="666666"/>
          <w:sz w:val="20"/>
          <w:szCs w:val="20"/>
        </w:rPr>
        <w:t>Cost of revenue included a favorable foreign currency impact of approximately 3%.</w:t>
      </w:r>
    </w:p>
    <w:p w14:paraId="4BF8A86A" w14:textId="77777777" w:rsidR="0044077A" w:rsidRPr="004A55C8" w:rsidRDefault="0044077A" w:rsidP="0044077A">
      <w:pPr>
        <w:pStyle w:val="NormalWeb"/>
        <w:numPr>
          <w:ilvl w:val="0"/>
          <w:numId w:val="3"/>
        </w:numPr>
        <w:spacing w:before="160" w:beforeAutospacing="0" w:after="160" w:afterAutospacing="0" w:line="280" w:lineRule="exact"/>
        <w:rPr>
          <w:rFonts w:ascii="Segoe UI" w:eastAsia="Calibri" w:hAnsi="Segoe UI" w:cs="Segoe UI"/>
          <w:color w:val="666666"/>
          <w:sz w:val="20"/>
          <w:szCs w:val="20"/>
        </w:rPr>
      </w:pPr>
      <w:r w:rsidRPr="007D4D5C">
        <w:rPr>
          <w:rFonts w:ascii="Segoe UI" w:eastAsia="Calibri" w:hAnsi="Segoe UI" w:cs="Segoe UI"/>
          <w:color w:val="666666"/>
          <w:sz w:val="20"/>
          <w:szCs w:val="20"/>
        </w:rPr>
        <w:t xml:space="preserve">Research and development expenses </w:t>
      </w:r>
      <w:r>
        <w:rPr>
          <w:rFonts w:ascii="Segoe UI" w:eastAsia="Calibri" w:hAnsi="Segoe UI" w:cs="Segoe UI"/>
          <w:color w:val="666666"/>
          <w:sz w:val="20"/>
          <w:szCs w:val="20"/>
        </w:rPr>
        <w:t>were comparable to the prior year.</w:t>
      </w:r>
    </w:p>
    <w:p w14:paraId="1D61CED7" w14:textId="77777777" w:rsidR="0044077A" w:rsidRDefault="0044077A" w:rsidP="0044077A">
      <w:pPr>
        <w:pStyle w:val="NormalWeb"/>
        <w:numPr>
          <w:ilvl w:val="0"/>
          <w:numId w:val="3"/>
        </w:numPr>
        <w:spacing w:before="160" w:beforeAutospacing="0" w:after="160" w:afterAutospacing="0" w:line="280" w:lineRule="exact"/>
        <w:rPr>
          <w:rFonts w:ascii="Segoe UI" w:eastAsia="Calibri" w:hAnsi="Segoe UI" w:cs="Segoe UI"/>
          <w:color w:val="666666"/>
          <w:sz w:val="20"/>
          <w:szCs w:val="20"/>
        </w:rPr>
      </w:pPr>
      <w:r w:rsidRPr="004A55C8">
        <w:rPr>
          <w:rFonts w:ascii="Segoe UI" w:eastAsia="Calibri" w:hAnsi="Segoe UI" w:cs="Segoe UI"/>
          <w:color w:val="666666"/>
          <w:sz w:val="20"/>
          <w:szCs w:val="20"/>
        </w:rPr>
        <w:t xml:space="preserve">Sales and marketing expenses </w:t>
      </w:r>
      <w:r>
        <w:rPr>
          <w:rFonts w:ascii="Segoe UI" w:eastAsia="Calibri" w:hAnsi="Segoe UI" w:cs="Segoe UI"/>
          <w:color w:val="666666"/>
          <w:sz w:val="20"/>
          <w:szCs w:val="20"/>
        </w:rPr>
        <w:t>de</w:t>
      </w:r>
      <w:r w:rsidRPr="004A55C8">
        <w:rPr>
          <w:rFonts w:ascii="Segoe UI" w:eastAsia="Calibri" w:hAnsi="Segoe UI" w:cs="Segoe UI"/>
          <w:color w:val="666666"/>
          <w:sz w:val="20"/>
          <w:szCs w:val="20"/>
        </w:rPr>
        <w:t xml:space="preserve">creased </w:t>
      </w:r>
      <w:r w:rsidRPr="00C03191">
        <w:rPr>
          <w:rFonts w:ascii="Segoe UI" w:eastAsia="Calibri" w:hAnsi="Segoe UI" w:cs="Segoe UI"/>
          <w:color w:val="666666"/>
          <w:sz w:val="20"/>
          <w:szCs w:val="20"/>
        </w:rPr>
        <w:t>$</w:t>
      </w:r>
      <w:r>
        <w:rPr>
          <w:rFonts w:ascii="Segoe UI" w:eastAsia="Calibri" w:hAnsi="Segoe UI" w:cs="Segoe UI"/>
          <w:color w:val="666666"/>
          <w:sz w:val="20"/>
          <w:szCs w:val="20"/>
        </w:rPr>
        <w:t>721</w:t>
      </w:r>
      <w:r w:rsidRPr="004A55C8">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15</w:t>
      </w:r>
      <w:r w:rsidRPr="00C03191">
        <w:rPr>
          <w:rFonts w:ascii="Segoe UI" w:eastAsia="Calibri" w:hAnsi="Segoe UI" w:cs="Segoe UI"/>
          <w:color w:val="666666"/>
          <w:sz w:val="20"/>
          <w:szCs w:val="20"/>
        </w:rPr>
        <w:t>%</w:t>
      </w:r>
      <w:r>
        <w:rPr>
          <w:rFonts w:ascii="Segoe UI" w:eastAsia="Calibri" w:hAnsi="Segoe UI" w:cs="Segoe UI"/>
          <w:color w:val="666666"/>
          <w:sz w:val="20"/>
          <w:szCs w:val="20"/>
        </w:rPr>
        <w:t xml:space="preserve">, primarily due to </w:t>
      </w:r>
      <w:r w:rsidRPr="00766A8B">
        <w:rPr>
          <w:rFonts w:ascii="Segoe UI" w:eastAsia="Calibri" w:hAnsi="Segoe UI" w:cs="Segoe UI"/>
          <w:color w:val="666666"/>
          <w:sz w:val="20"/>
          <w:szCs w:val="20"/>
        </w:rPr>
        <w:t>lower advertising</w:t>
      </w:r>
      <w:r>
        <w:rPr>
          <w:rFonts w:ascii="Segoe UI" w:eastAsia="Calibri" w:hAnsi="Segoe UI" w:cs="Segoe UI"/>
          <w:color w:val="666666"/>
          <w:sz w:val="20"/>
          <w:szCs w:val="20"/>
        </w:rPr>
        <w:t xml:space="preserve"> and marketing program costs,</w:t>
      </w:r>
      <w:r w:rsidRPr="00766A8B">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as well as a reduction in </w:t>
      </w:r>
      <w:r w:rsidRPr="00766A8B">
        <w:rPr>
          <w:rFonts w:ascii="Segoe UI" w:eastAsia="Calibri" w:hAnsi="Segoe UI" w:cs="Segoe UI"/>
          <w:color w:val="666666"/>
          <w:sz w:val="20"/>
          <w:szCs w:val="20"/>
        </w:rPr>
        <w:t>headcount-related expenses</w:t>
      </w:r>
      <w:r w:rsidRPr="00C03191">
        <w:rPr>
          <w:rFonts w:ascii="Segoe UI" w:eastAsia="Calibri" w:hAnsi="Segoe UI" w:cs="Segoe UI"/>
          <w:color w:val="666666"/>
          <w:sz w:val="20"/>
          <w:szCs w:val="20"/>
        </w:rPr>
        <w:t>.</w:t>
      </w:r>
      <w:r>
        <w:rPr>
          <w:rFonts w:ascii="Segoe UI" w:eastAsia="Calibri" w:hAnsi="Segoe UI" w:cs="Segoe UI"/>
          <w:color w:val="666666"/>
          <w:sz w:val="20"/>
          <w:szCs w:val="20"/>
        </w:rPr>
        <w:t xml:space="preserve"> Sales and marketing expenses included a favorable foreign currency impact of approximately 6%.</w:t>
      </w:r>
    </w:p>
    <w:p w14:paraId="4C48C9E6" w14:textId="77777777" w:rsidR="0044077A" w:rsidRDefault="0044077A" w:rsidP="0044077A">
      <w:pPr>
        <w:pStyle w:val="NormalWeb"/>
        <w:numPr>
          <w:ilvl w:val="0"/>
          <w:numId w:val="3"/>
        </w:numPr>
        <w:spacing w:before="160" w:beforeAutospacing="0" w:after="160" w:afterAutospacing="0" w:line="280" w:lineRule="exact"/>
        <w:rPr>
          <w:rFonts w:ascii="Segoe UI" w:eastAsia="Calibri" w:hAnsi="Segoe UI" w:cs="Segoe UI"/>
          <w:color w:val="666666"/>
          <w:sz w:val="20"/>
          <w:szCs w:val="20"/>
        </w:rPr>
      </w:pPr>
      <w:r>
        <w:rPr>
          <w:rFonts w:ascii="Segoe UI" w:eastAsia="Calibri" w:hAnsi="Segoe UI" w:cs="Segoe UI"/>
          <w:color w:val="666666"/>
          <w:sz w:val="20"/>
          <w:szCs w:val="20"/>
        </w:rPr>
        <w:t>General and administrative</w:t>
      </w:r>
      <w:r w:rsidRPr="007D4D5C">
        <w:rPr>
          <w:rFonts w:ascii="Segoe UI" w:eastAsia="Calibri" w:hAnsi="Segoe UI" w:cs="Segoe UI"/>
          <w:color w:val="666666"/>
          <w:sz w:val="20"/>
          <w:szCs w:val="20"/>
        </w:rPr>
        <w:t xml:space="preserve"> expenses </w:t>
      </w:r>
      <w:r>
        <w:rPr>
          <w:rFonts w:ascii="Segoe UI" w:eastAsia="Calibri" w:hAnsi="Segoe UI" w:cs="Segoe UI"/>
          <w:color w:val="666666"/>
          <w:sz w:val="20"/>
          <w:szCs w:val="20"/>
        </w:rPr>
        <w:t>decreased $63 million or 5%, primarily due to lower headcount-related expenses. General and administrative expenses included a favorable foreign currency impact of approximately 4%.</w:t>
      </w:r>
    </w:p>
    <w:p w14:paraId="1F765473" w14:textId="77777777" w:rsidR="0044077A" w:rsidRPr="006955B6" w:rsidRDefault="0044077A" w:rsidP="0044077A">
      <w:pPr>
        <w:pStyle w:val="NormalWeb"/>
        <w:numPr>
          <w:ilvl w:val="0"/>
          <w:numId w:val="3"/>
        </w:numPr>
        <w:spacing w:before="160" w:beforeAutospacing="0" w:after="160" w:afterAutospacing="0" w:line="280" w:lineRule="exact"/>
        <w:rPr>
          <w:rFonts w:ascii="Segoe UI" w:hAnsi="Segoe UI" w:cs="Segoe UI"/>
          <w:color w:val="666666"/>
          <w:sz w:val="20"/>
          <w:szCs w:val="20"/>
        </w:rPr>
      </w:pPr>
      <w:r>
        <w:rPr>
          <w:rFonts w:ascii="Segoe UI" w:eastAsia="Calibri" w:hAnsi="Segoe UI" w:cs="Segoe UI"/>
          <w:color w:val="666666"/>
          <w:sz w:val="20"/>
          <w:szCs w:val="20"/>
        </w:rPr>
        <w:t>Impairment, integration, and restructuring expenses were $8.4</w:t>
      </w:r>
      <w:r w:rsidRPr="007524C4">
        <w:rPr>
          <w:rFonts w:ascii="Segoe UI" w:eastAsia="Calibri" w:hAnsi="Segoe UI" w:cs="Segoe UI"/>
          <w:color w:val="666666"/>
          <w:sz w:val="20"/>
          <w:szCs w:val="20"/>
        </w:rPr>
        <w:t xml:space="preserve"> </w:t>
      </w:r>
      <w:r>
        <w:rPr>
          <w:rFonts w:ascii="Segoe UI" w:eastAsia="Calibri" w:hAnsi="Segoe UI" w:cs="Segoe UI"/>
          <w:color w:val="666666"/>
          <w:sz w:val="20"/>
          <w:szCs w:val="20"/>
        </w:rPr>
        <w:t>b</w:t>
      </w:r>
      <w:r w:rsidRPr="007524C4">
        <w:rPr>
          <w:rFonts w:ascii="Segoe UI" w:eastAsia="Calibri" w:hAnsi="Segoe UI" w:cs="Segoe UI"/>
          <w:color w:val="666666"/>
          <w:sz w:val="20"/>
          <w:szCs w:val="20"/>
        </w:rPr>
        <w:t>illion</w:t>
      </w:r>
      <w:r>
        <w:rPr>
          <w:rFonts w:ascii="Segoe UI" w:eastAsia="Calibri" w:hAnsi="Segoe UI" w:cs="Segoe UI"/>
          <w:color w:val="666666"/>
          <w:sz w:val="20"/>
          <w:szCs w:val="20"/>
        </w:rPr>
        <w:t xml:space="preserve">, compared with $127 million in the prior year.  During the fourth quarter of fiscal year 2015, we recorded $7.5 billion of goodwill </w:t>
      </w:r>
      <w:r w:rsidRPr="001B0980">
        <w:rPr>
          <w:rFonts w:ascii="Segoe UI" w:hAnsi="Segoe UI" w:cs="Segoe UI"/>
          <w:color w:val="666666"/>
          <w:sz w:val="20"/>
          <w:szCs w:val="20"/>
        </w:rPr>
        <w:t>and asset impairment charges related to Phone Hardware. Additionally</w:t>
      </w:r>
      <w:r>
        <w:rPr>
          <w:rFonts w:ascii="Segoe UI" w:hAnsi="Segoe UI" w:cs="Segoe UI"/>
          <w:color w:val="666666"/>
          <w:sz w:val="20"/>
          <w:szCs w:val="20"/>
        </w:rPr>
        <w:t xml:space="preserve">, we incurred </w:t>
      </w:r>
      <w:r w:rsidRPr="007A3406">
        <w:rPr>
          <w:rFonts w:ascii="Segoe UI" w:hAnsi="Segoe UI" w:cs="Segoe UI"/>
          <w:color w:val="666666"/>
          <w:sz w:val="20"/>
          <w:szCs w:val="20"/>
        </w:rPr>
        <w:t>$</w:t>
      </w:r>
      <w:r>
        <w:rPr>
          <w:rFonts w:ascii="Segoe UI" w:hAnsi="Segoe UI" w:cs="Segoe UI"/>
          <w:color w:val="666666"/>
          <w:sz w:val="20"/>
          <w:szCs w:val="20"/>
        </w:rPr>
        <w:t>780</w:t>
      </w:r>
      <w:r w:rsidRPr="007A3406">
        <w:rPr>
          <w:rFonts w:ascii="Segoe UI" w:hAnsi="Segoe UI" w:cs="Segoe UI"/>
          <w:color w:val="666666"/>
          <w:sz w:val="20"/>
          <w:szCs w:val="20"/>
        </w:rPr>
        <w:t xml:space="preserve"> million</w:t>
      </w:r>
      <w:r>
        <w:rPr>
          <w:rFonts w:ascii="Segoe UI" w:hAnsi="Segoe UI" w:cs="Segoe UI"/>
          <w:color w:val="666666"/>
          <w:sz w:val="20"/>
          <w:szCs w:val="20"/>
        </w:rPr>
        <w:t xml:space="preserve"> of restructuring expenses associated with the restructuring announced in July 2015, and $160 million of integration and restructuring expenses related to our previous restructuring plan. Prior year expenses reflect integration expenses associated with our acquisition of NDS.    </w:t>
      </w:r>
    </w:p>
    <w:p w14:paraId="199275BA" w14:textId="77777777" w:rsidR="0044077A" w:rsidRPr="005C70FF" w:rsidRDefault="0044077A" w:rsidP="0044077A">
      <w:pPr>
        <w:pStyle w:val="NormalWeb"/>
        <w:spacing w:before="160" w:beforeAutospacing="0" w:after="160" w:afterAutospacing="0" w:line="280" w:lineRule="exact"/>
        <w:ind w:left="720"/>
        <w:rPr>
          <w:rFonts w:ascii="Segoe UI" w:eastAsia="Calibri" w:hAnsi="Segoe UI" w:cs="Segoe UI"/>
          <w:color w:val="666666"/>
          <w:sz w:val="20"/>
          <w:szCs w:val="20"/>
        </w:rPr>
      </w:pPr>
      <w:r>
        <w:rPr>
          <w:rFonts w:ascii="Segoe UI" w:hAnsi="Segoe UI" w:cs="Segoe UI"/>
          <w:color w:val="666666"/>
          <w:sz w:val="20"/>
          <w:szCs w:val="20"/>
        </w:rPr>
        <w:t>I</w:t>
      </w:r>
      <w:r w:rsidRPr="001B0980">
        <w:rPr>
          <w:rFonts w:ascii="Segoe UI" w:hAnsi="Segoe UI" w:cs="Segoe UI"/>
          <w:color w:val="666666"/>
          <w:sz w:val="20"/>
          <w:szCs w:val="20"/>
        </w:rPr>
        <w:t>mpairment</w:t>
      </w:r>
      <w:r>
        <w:rPr>
          <w:rFonts w:ascii="Segoe UI" w:hAnsi="Segoe UI" w:cs="Segoe UI"/>
          <w:color w:val="666666"/>
          <w:sz w:val="20"/>
          <w:szCs w:val="20"/>
        </w:rPr>
        <w:t xml:space="preserve"> charges reduced certain assets reported on our consolidated balance sheet as of June 30, 2015, as follows</w:t>
      </w:r>
      <w:r>
        <w:rPr>
          <w:rFonts w:ascii="Segoe UI" w:eastAsia="Calibri" w:hAnsi="Segoe UI" w:cs="Segoe UI"/>
          <w:color w:val="666666"/>
          <w:sz w:val="20"/>
          <w:szCs w:val="20"/>
        </w:rPr>
        <w:t xml:space="preserve">: </w:t>
      </w:r>
    </w:p>
    <w:tbl>
      <w:tblPr>
        <w:tblW w:w="6480" w:type="dxa"/>
        <w:tblInd w:w="720" w:type="dxa"/>
        <w:tblLayout w:type="fixed"/>
        <w:tblCellMar>
          <w:left w:w="0" w:type="dxa"/>
          <w:right w:w="0" w:type="dxa"/>
        </w:tblCellMar>
        <w:tblLook w:val="0000" w:firstRow="0" w:lastRow="0" w:firstColumn="0" w:lastColumn="0" w:noHBand="0" w:noVBand="0"/>
      </w:tblPr>
      <w:tblGrid>
        <w:gridCol w:w="167"/>
        <w:gridCol w:w="4970"/>
        <w:gridCol w:w="270"/>
        <w:gridCol w:w="180"/>
        <w:gridCol w:w="721"/>
        <w:gridCol w:w="172"/>
      </w:tblGrid>
      <w:tr w:rsidR="0044077A" w:rsidRPr="005C70FF" w14:paraId="42F11B19" w14:textId="77777777" w:rsidTr="00A84DFC">
        <w:trPr>
          <w:tblHeader/>
        </w:trPr>
        <w:tc>
          <w:tcPr>
            <w:tcW w:w="3964" w:type="pct"/>
            <w:gridSpan w:val="2"/>
          </w:tcPr>
          <w:p w14:paraId="22BB3205" w14:textId="77777777" w:rsidR="0044077A" w:rsidRPr="005C70FF" w:rsidRDefault="0044077A" w:rsidP="00A84DFC">
            <w:pPr>
              <w:pStyle w:val="NormalWeb"/>
              <w:keepNext/>
              <w:spacing w:before="0" w:beforeAutospacing="0" w:after="0" w:afterAutospacing="0"/>
              <w:rPr>
                <w:rFonts w:ascii="Segoe UI" w:hAnsi="Segoe UI" w:cs="Segoe UI"/>
                <w:color w:val="666666"/>
                <w:sz w:val="18"/>
                <w:szCs w:val="18"/>
              </w:rPr>
            </w:pPr>
            <w:r w:rsidRPr="005C70FF">
              <w:rPr>
                <w:rFonts w:ascii="Segoe UI" w:hAnsi="Segoe UI" w:cs="Segoe UI"/>
                <w:b/>
                <w:bCs/>
                <w:color w:val="666666"/>
                <w:sz w:val="18"/>
                <w:szCs w:val="18"/>
              </w:rPr>
              <w:t>(In millions)</w:t>
            </w:r>
          </w:p>
        </w:tc>
        <w:tc>
          <w:tcPr>
            <w:tcW w:w="208" w:type="pct"/>
          </w:tcPr>
          <w:p w14:paraId="027AAE4E" w14:textId="77777777" w:rsidR="0044077A" w:rsidRPr="005C70FF" w:rsidRDefault="0044077A" w:rsidP="00A84DFC">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695" w:type="pct"/>
            <w:gridSpan w:val="2"/>
          </w:tcPr>
          <w:p w14:paraId="377D9A90" w14:textId="77777777" w:rsidR="0044077A" w:rsidRPr="005C70FF" w:rsidRDefault="0044077A" w:rsidP="00A84DFC">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133" w:type="pct"/>
          </w:tcPr>
          <w:p w14:paraId="689F50F1" w14:textId="77777777" w:rsidR="0044077A" w:rsidRPr="005C70FF" w:rsidRDefault="0044077A" w:rsidP="00A84DFC">
            <w:pPr>
              <w:spacing w:after="0"/>
              <w:rPr>
                <w:rFonts w:ascii="Segoe UI" w:hAnsi="Segoe UI" w:cs="Segoe UI"/>
                <w:color w:val="666666"/>
                <w:sz w:val="18"/>
                <w:szCs w:val="18"/>
              </w:rPr>
            </w:pPr>
            <w:r w:rsidRPr="005C70FF">
              <w:rPr>
                <w:rFonts w:ascii="Segoe UI" w:hAnsi="Segoe UI" w:cs="Segoe UI"/>
                <w:color w:val="666666"/>
                <w:sz w:val="18"/>
                <w:szCs w:val="18"/>
              </w:rPr>
              <w:t> </w:t>
            </w:r>
          </w:p>
        </w:tc>
      </w:tr>
      <w:tr w:rsidR="0044077A" w:rsidRPr="005C70FF" w14:paraId="197AF7A3" w14:textId="77777777" w:rsidTr="00A84DFC">
        <w:trPr>
          <w:gridAfter w:val="5"/>
          <w:wAfter w:w="4871" w:type="pct"/>
        </w:trPr>
        <w:tc>
          <w:tcPr>
            <w:tcW w:w="129" w:type="pct"/>
          </w:tcPr>
          <w:p w14:paraId="36A956FD" w14:textId="77777777" w:rsidR="0044077A" w:rsidRPr="005C70FF" w:rsidRDefault="0044077A" w:rsidP="00A84DFC">
            <w:pPr>
              <w:pStyle w:val="la2"/>
              <w:rPr>
                <w:rFonts w:ascii="Segoe UI" w:hAnsi="Segoe UI" w:cs="Segoe UI"/>
                <w:color w:val="666666"/>
                <w:sz w:val="20"/>
                <w:szCs w:val="20"/>
              </w:rPr>
            </w:pPr>
            <w:r w:rsidRPr="005C70FF">
              <w:rPr>
                <w:rFonts w:ascii="Segoe UI" w:hAnsi="Segoe UI" w:cs="Segoe UI"/>
                <w:color w:val="666666"/>
                <w:sz w:val="20"/>
                <w:szCs w:val="20"/>
              </w:rPr>
              <w:t> </w:t>
            </w:r>
          </w:p>
        </w:tc>
      </w:tr>
      <w:tr w:rsidR="0044077A" w:rsidRPr="005C70FF" w14:paraId="0C184B63" w14:textId="77777777" w:rsidTr="002577B7">
        <w:tc>
          <w:tcPr>
            <w:tcW w:w="3964" w:type="pct"/>
            <w:gridSpan w:val="2"/>
            <w:tcBorders>
              <w:top w:val="single" w:sz="4" w:space="0" w:color="595959" w:themeColor="text1" w:themeTint="A6"/>
            </w:tcBorders>
          </w:tcPr>
          <w:p w14:paraId="1D7AE5E2" w14:textId="77777777" w:rsidR="0044077A" w:rsidRPr="005C70FF" w:rsidRDefault="0044077A" w:rsidP="00A84DFC">
            <w:pPr>
              <w:pStyle w:val="NormalWeb"/>
              <w:keepNext/>
              <w:spacing w:before="0" w:beforeAutospacing="0" w:after="0" w:afterAutospacing="0"/>
              <w:rPr>
                <w:rFonts w:ascii="Segoe UI" w:hAnsi="Segoe UI" w:cs="Segoe UI"/>
                <w:color w:val="666666"/>
                <w:sz w:val="18"/>
                <w:szCs w:val="18"/>
              </w:rPr>
            </w:pPr>
            <w:r w:rsidRPr="005C70FF">
              <w:rPr>
                <w:rFonts w:ascii="Segoe UI" w:hAnsi="Segoe UI" w:cs="Segoe UI"/>
                <w:b/>
                <w:bCs/>
                <w:color w:val="666666"/>
                <w:sz w:val="18"/>
                <w:szCs w:val="18"/>
              </w:rPr>
              <w:t>June 30,</w:t>
            </w:r>
          </w:p>
        </w:tc>
        <w:tc>
          <w:tcPr>
            <w:tcW w:w="208" w:type="pct"/>
            <w:tcBorders>
              <w:top w:val="single" w:sz="4" w:space="0" w:color="595959" w:themeColor="text1" w:themeTint="A6"/>
            </w:tcBorders>
          </w:tcPr>
          <w:p w14:paraId="0ED1D563" w14:textId="77777777" w:rsidR="0044077A" w:rsidRPr="005C70FF" w:rsidRDefault="0044077A" w:rsidP="00A84DFC">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695" w:type="pct"/>
            <w:gridSpan w:val="2"/>
            <w:tcBorders>
              <w:top w:val="single" w:sz="4" w:space="0" w:color="595959" w:themeColor="text1" w:themeTint="A6"/>
            </w:tcBorders>
            <w:shd w:val="clear" w:color="auto" w:fill="auto"/>
            <w:tcMar>
              <w:top w:w="0" w:type="dxa"/>
              <w:left w:w="14" w:type="dxa"/>
              <w:bottom w:w="0" w:type="dxa"/>
              <w:right w:w="14" w:type="dxa"/>
            </w:tcMar>
          </w:tcPr>
          <w:p w14:paraId="22F3F8FB" w14:textId="77777777" w:rsidR="0044077A" w:rsidRPr="00353B43" w:rsidRDefault="0044077A" w:rsidP="00A84DFC">
            <w:pPr>
              <w:spacing w:after="0" w:line="240" w:lineRule="auto"/>
              <w:jc w:val="right"/>
              <w:rPr>
                <w:rFonts w:ascii="Segoe UI" w:hAnsi="Segoe UI" w:cs="Segoe UI"/>
                <w:b/>
                <w:color w:val="666666"/>
                <w:sz w:val="18"/>
                <w:szCs w:val="18"/>
              </w:rPr>
            </w:pPr>
            <w:r w:rsidRPr="00353B43">
              <w:rPr>
                <w:rFonts w:ascii="Segoe UI" w:hAnsi="Segoe UI" w:cs="Segoe UI"/>
                <w:b/>
                <w:color w:val="666666"/>
                <w:sz w:val="18"/>
                <w:szCs w:val="18"/>
              </w:rPr>
              <w:t>2015</w:t>
            </w:r>
          </w:p>
        </w:tc>
        <w:tc>
          <w:tcPr>
            <w:tcW w:w="133" w:type="pct"/>
            <w:tcBorders>
              <w:top w:val="single" w:sz="4" w:space="0" w:color="595959" w:themeColor="text1" w:themeTint="A6"/>
            </w:tcBorders>
          </w:tcPr>
          <w:p w14:paraId="04A369A3" w14:textId="77777777" w:rsidR="0044077A" w:rsidRPr="00353B43" w:rsidRDefault="0044077A" w:rsidP="00A84DFC">
            <w:pPr>
              <w:spacing w:after="0" w:line="240" w:lineRule="auto"/>
              <w:rPr>
                <w:rFonts w:ascii="Segoe UI" w:hAnsi="Segoe UI" w:cs="Segoe UI"/>
                <w:b/>
                <w:color w:val="666666"/>
                <w:sz w:val="18"/>
                <w:szCs w:val="18"/>
              </w:rPr>
            </w:pPr>
          </w:p>
        </w:tc>
      </w:tr>
      <w:tr w:rsidR="0044077A" w:rsidRPr="005C70FF" w14:paraId="5DEFB245" w14:textId="77777777" w:rsidTr="00A84DFC">
        <w:tc>
          <w:tcPr>
            <w:tcW w:w="3964" w:type="pct"/>
            <w:gridSpan w:val="2"/>
          </w:tcPr>
          <w:p w14:paraId="1B10DF25" w14:textId="77777777" w:rsidR="0044077A" w:rsidRPr="005C70FF" w:rsidRDefault="0044077A" w:rsidP="00A84DFC">
            <w:pPr>
              <w:pStyle w:val="NormalWeb"/>
              <w:spacing w:before="0" w:beforeAutospacing="0" w:after="0" w:afterAutospacing="0"/>
              <w:ind w:left="240" w:hanging="240"/>
              <w:rPr>
                <w:rFonts w:ascii="Segoe UI" w:hAnsi="Segoe UI" w:cs="Segoe UI"/>
                <w:color w:val="666666"/>
                <w:sz w:val="18"/>
                <w:szCs w:val="18"/>
              </w:rPr>
            </w:pPr>
          </w:p>
        </w:tc>
        <w:tc>
          <w:tcPr>
            <w:tcW w:w="208" w:type="pct"/>
          </w:tcPr>
          <w:p w14:paraId="714D6189" w14:textId="77777777" w:rsidR="0044077A" w:rsidRPr="005C70FF" w:rsidRDefault="0044077A" w:rsidP="00A84DFC">
            <w:pPr>
              <w:pStyle w:val="la2"/>
              <w:rPr>
                <w:rFonts w:ascii="Segoe UI" w:hAnsi="Segoe UI" w:cs="Segoe UI"/>
                <w:color w:val="666666"/>
                <w:sz w:val="18"/>
                <w:szCs w:val="18"/>
              </w:rPr>
            </w:pPr>
          </w:p>
        </w:tc>
        <w:tc>
          <w:tcPr>
            <w:tcW w:w="139" w:type="pct"/>
          </w:tcPr>
          <w:p w14:paraId="40A3AF78" w14:textId="77777777" w:rsidR="0044077A" w:rsidRPr="005C70FF" w:rsidRDefault="0044077A" w:rsidP="00A84DFC">
            <w:pPr>
              <w:spacing w:after="0" w:line="240" w:lineRule="auto"/>
              <w:jc w:val="right"/>
              <w:rPr>
                <w:rFonts w:ascii="Segoe UI" w:hAnsi="Segoe UI" w:cs="Segoe UI"/>
                <w:b/>
                <w:color w:val="666666"/>
                <w:sz w:val="18"/>
                <w:szCs w:val="18"/>
              </w:rPr>
            </w:pPr>
          </w:p>
        </w:tc>
        <w:tc>
          <w:tcPr>
            <w:tcW w:w="556" w:type="pct"/>
          </w:tcPr>
          <w:p w14:paraId="628F5B3E" w14:textId="77777777" w:rsidR="0044077A" w:rsidRPr="00353B43" w:rsidRDefault="0044077A" w:rsidP="00A84DFC">
            <w:pPr>
              <w:spacing w:after="0" w:line="240" w:lineRule="auto"/>
              <w:jc w:val="right"/>
              <w:rPr>
                <w:rFonts w:ascii="Segoe UI" w:hAnsi="Segoe UI" w:cs="Segoe UI"/>
                <w:b/>
                <w:color w:val="666666"/>
                <w:sz w:val="18"/>
                <w:szCs w:val="18"/>
              </w:rPr>
            </w:pPr>
          </w:p>
        </w:tc>
        <w:tc>
          <w:tcPr>
            <w:tcW w:w="133" w:type="pct"/>
            <w:noWrap/>
          </w:tcPr>
          <w:p w14:paraId="30AC52C2" w14:textId="77777777" w:rsidR="0044077A" w:rsidRPr="00353B43" w:rsidRDefault="0044077A" w:rsidP="00A84DFC">
            <w:pPr>
              <w:spacing w:after="0" w:line="240" w:lineRule="auto"/>
              <w:jc w:val="right"/>
              <w:rPr>
                <w:rFonts w:ascii="Segoe UI" w:hAnsi="Segoe UI" w:cs="Segoe UI"/>
                <w:b/>
                <w:color w:val="666666"/>
                <w:sz w:val="18"/>
                <w:szCs w:val="18"/>
              </w:rPr>
            </w:pPr>
          </w:p>
        </w:tc>
      </w:tr>
      <w:tr w:rsidR="0044077A" w:rsidRPr="005C70FF" w14:paraId="6A121DD0" w14:textId="77777777" w:rsidTr="00A84DFC">
        <w:tc>
          <w:tcPr>
            <w:tcW w:w="3964" w:type="pct"/>
            <w:gridSpan w:val="2"/>
          </w:tcPr>
          <w:p w14:paraId="4F96DA15" w14:textId="77777777" w:rsidR="0044077A" w:rsidRPr="005C70FF" w:rsidRDefault="0044077A" w:rsidP="00A84DFC">
            <w:pPr>
              <w:pStyle w:val="NormalWeb"/>
              <w:spacing w:before="0" w:beforeAutospacing="0" w:after="0" w:afterAutospacing="0"/>
              <w:ind w:left="240" w:hanging="240"/>
              <w:rPr>
                <w:rFonts w:ascii="Segoe UI" w:hAnsi="Segoe UI" w:cs="Segoe UI"/>
                <w:color w:val="666666"/>
                <w:sz w:val="18"/>
                <w:szCs w:val="18"/>
              </w:rPr>
            </w:pPr>
            <w:r>
              <w:rPr>
                <w:rFonts w:ascii="Segoe UI" w:hAnsi="Segoe UI" w:cs="Segoe UI"/>
                <w:color w:val="666666"/>
                <w:sz w:val="18"/>
                <w:szCs w:val="18"/>
              </w:rPr>
              <w:t>Goodwill</w:t>
            </w:r>
          </w:p>
        </w:tc>
        <w:tc>
          <w:tcPr>
            <w:tcW w:w="208" w:type="pct"/>
          </w:tcPr>
          <w:p w14:paraId="69392960" w14:textId="77777777" w:rsidR="0044077A" w:rsidRPr="005C70FF" w:rsidRDefault="0044077A" w:rsidP="00A84DFC">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139" w:type="pct"/>
          </w:tcPr>
          <w:p w14:paraId="50F5283B" w14:textId="77777777" w:rsidR="0044077A" w:rsidRPr="005C70FF" w:rsidRDefault="0044077A" w:rsidP="00A84DFC">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w:t>
            </w:r>
          </w:p>
        </w:tc>
        <w:tc>
          <w:tcPr>
            <w:tcW w:w="556" w:type="pct"/>
          </w:tcPr>
          <w:p w14:paraId="68154FE6" w14:textId="77777777" w:rsidR="0044077A" w:rsidRPr="00353B43" w:rsidRDefault="0044077A" w:rsidP="00A84DFC">
            <w:pPr>
              <w:spacing w:after="0" w:line="240" w:lineRule="auto"/>
              <w:jc w:val="right"/>
              <w:rPr>
                <w:rFonts w:ascii="Segoe UI" w:hAnsi="Segoe UI" w:cs="Segoe UI"/>
                <w:b/>
                <w:color w:val="666666"/>
                <w:sz w:val="18"/>
                <w:szCs w:val="18"/>
              </w:rPr>
            </w:pPr>
            <w:r>
              <w:rPr>
                <w:rFonts w:ascii="Segoe UI" w:hAnsi="Segoe UI" w:cs="Segoe UI"/>
                <w:b/>
                <w:color w:val="666666"/>
                <w:sz w:val="18"/>
                <w:szCs w:val="18"/>
              </w:rPr>
              <w:t>(5,144</w:t>
            </w:r>
          </w:p>
        </w:tc>
        <w:tc>
          <w:tcPr>
            <w:tcW w:w="133" w:type="pct"/>
            <w:noWrap/>
          </w:tcPr>
          <w:p w14:paraId="14A71D0C" w14:textId="77777777" w:rsidR="0044077A" w:rsidRPr="00353B43" w:rsidRDefault="0044077A" w:rsidP="00A84DFC">
            <w:pPr>
              <w:spacing w:after="0" w:line="240" w:lineRule="auto"/>
              <w:rPr>
                <w:rFonts w:ascii="Segoe UI" w:hAnsi="Segoe UI" w:cs="Segoe UI"/>
                <w:b/>
                <w:color w:val="666666"/>
                <w:sz w:val="18"/>
                <w:szCs w:val="18"/>
              </w:rPr>
            </w:pPr>
            <w:r>
              <w:rPr>
                <w:rFonts w:ascii="Segoe UI" w:hAnsi="Segoe UI" w:cs="Segoe UI"/>
                <w:b/>
                <w:color w:val="666666"/>
                <w:sz w:val="18"/>
                <w:szCs w:val="18"/>
              </w:rPr>
              <w:t>)</w:t>
            </w:r>
            <w:r w:rsidRPr="00353B43">
              <w:rPr>
                <w:rFonts w:ascii="Segoe UI" w:hAnsi="Segoe UI" w:cs="Segoe UI"/>
                <w:b/>
                <w:color w:val="666666"/>
                <w:sz w:val="18"/>
                <w:szCs w:val="18"/>
              </w:rPr>
              <w:t> </w:t>
            </w:r>
          </w:p>
        </w:tc>
      </w:tr>
      <w:tr w:rsidR="0044077A" w:rsidRPr="005C70FF" w14:paraId="6CA6D043" w14:textId="77777777" w:rsidTr="00A84DFC">
        <w:tc>
          <w:tcPr>
            <w:tcW w:w="3964" w:type="pct"/>
            <w:gridSpan w:val="2"/>
          </w:tcPr>
          <w:p w14:paraId="540EA734" w14:textId="77777777" w:rsidR="0044077A" w:rsidRPr="005C70FF" w:rsidRDefault="0044077A" w:rsidP="00A84DFC">
            <w:pPr>
              <w:pStyle w:val="NormalWeb"/>
              <w:spacing w:before="0" w:beforeAutospacing="0" w:after="0" w:afterAutospacing="0"/>
              <w:rPr>
                <w:rFonts w:ascii="Segoe UI" w:hAnsi="Segoe UI" w:cs="Segoe UI"/>
                <w:color w:val="666666"/>
                <w:sz w:val="18"/>
                <w:szCs w:val="18"/>
              </w:rPr>
            </w:pPr>
            <w:r>
              <w:rPr>
                <w:rFonts w:ascii="Segoe UI" w:hAnsi="Segoe UI" w:cs="Segoe UI"/>
                <w:color w:val="666666"/>
                <w:sz w:val="18"/>
                <w:szCs w:val="18"/>
              </w:rPr>
              <w:t>Intangible assets, net</w:t>
            </w:r>
          </w:p>
        </w:tc>
        <w:tc>
          <w:tcPr>
            <w:tcW w:w="208" w:type="pct"/>
          </w:tcPr>
          <w:p w14:paraId="51314C48" w14:textId="77777777" w:rsidR="0044077A" w:rsidRPr="005C70FF" w:rsidRDefault="0044077A" w:rsidP="00A84DFC">
            <w:pPr>
              <w:pStyle w:val="la2"/>
              <w:rPr>
                <w:rFonts w:ascii="Segoe UI" w:hAnsi="Segoe UI" w:cs="Segoe UI"/>
                <w:color w:val="666666"/>
                <w:sz w:val="18"/>
                <w:szCs w:val="18"/>
              </w:rPr>
            </w:pPr>
          </w:p>
        </w:tc>
        <w:tc>
          <w:tcPr>
            <w:tcW w:w="139" w:type="pct"/>
          </w:tcPr>
          <w:p w14:paraId="6B48508D" w14:textId="77777777" w:rsidR="0044077A" w:rsidRPr="005C70FF" w:rsidRDefault="0044077A" w:rsidP="00A84DFC">
            <w:pPr>
              <w:spacing w:after="0" w:line="240" w:lineRule="auto"/>
              <w:jc w:val="right"/>
              <w:rPr>
                <w:rFonts w:ascii="Segoe UI" w:hAnsi="Segoe UI" w:cs="Segoe UI"/>
                <w:b/>
                <w:color w:val="666666"/>
                <w:sz w:val="18"/>
                <w:szCs w:val="18"/>
              </w:rPr>
            </w:pPr>
          </w:p>
        </w:tc>
        <w:tc>
          <w:tcPr>
            <w:tcW w:w="556" w:type="pct"/>
          </w:tcPr>
          <w:p w14:paraId="50472EBA" w14:textId="77777777" w:rsidR="0044077A" w:rsidRPr="00353B43" w:rsidRDefault="0044077A" w:rsidP="00A84DFC">
            <w:pPr>
              <w:spacing w:after="0" w:line="240" w:lineRule="auto"/>
              <w:jc w:val="right"/>
              <w:rPr>
                <w:rFonts w:ascii="Segoe UI" w:hAnsi="Segoe UI" w:cs="Segoe UI"/>
                <w:b/>
                <w:color w:val="666666"/>
                <w:sz w:val="18"/>
                <w:szCs w:val="18"/>
              </w:rPr>
            </w:pPr>
            <w:r>
              <w:rPr>
                <w:rFonts w:ascii="Segoe UI" w:hAnsi="Segoe UI" w:cs="Segoe UI"/>
                <w:b/>
                <w:color w:val="666666"/>
                <w:sz w:val="18"/>
                <w:szCs w:val="18"/>
              </w:rPr>
              <w:t>(2,155</w:t>
            </w:r>
          </w:p>
        </w:tc>
        <w:tc>
          <w:tcPr>
            <w:tcW w:w="133" w:type="pct"/>
            <w:noWrap/>
          </w:tcPr>
          <w:p w14:paraId="55D87900" w14:textId="77777777" w:rsidR="0044077A" w:rsidRPr="00353B43" w:rsidRDefault="0044077A" w:rsidP="00A84DFC">
            <w:pPr>
              <w:spacing w:after="0" w:line="240" w:lineRule="auto"/>
              <w:rPr>
                <w:rFonts w:ascii="Segoe UI" w:hAnsi="Segoe UI" w:cs="Segoe UI"/>
                <w:b/>
                <w:color w:val="666666"/>
                <w:sz w:val="18"/>
                <w:szCs w:val="18"/>
              </w:rPr>
            </w:pPr>
            <w:r>
              <w:rPr>
                <w:rFonts w:ascii="Segoe UI" w:hAnsi="Segoe UI" w:cs="Segoe UI"/>
                <w:b/>
                <w:color w:val="666666"/>
                <w:sz w:val="18"/>
                <w:szCs w:val="18"/>
              </w:rPr>
              <w:t>)</w:t>
            </w:r>
          </w:p>
        </w:tc>
      </w:tr>
      <w:tr w:rsidR="0044077A" w:rsidRPr="005C70FF" w14:paraId="453134C4" w14:textId="77777777" w:rsidTr="00A84DFC">
        <w:tc>
          <w:tcPr>
            <w:tcW w:w="3964" w:type="pct"/>
            <w:gridSpan w:val="2"/>
          </w:tcPr>
          <w:p w14:paraId="56907D52" w14:textId="77777777" w:rsidR="0044077A" w:rsidRPr="005C70FF" w:rsidRDefault="0044077A" w:rsidP="00A84DFC">
            <w:pPr>
              <w:pStyle w:val="NormalWeb"/>
              <w:spacing w:before="0" w:beforeAutospacing="0" w:after="0" w:afterAutospacing="0"/>
              <w:ind w:left="240" w:hanging="240"/>
              <w:rPr>
                <w:rFonts w:ascii="Segoe UI" w:hAnsi="Segoe UI" w:cs="Segoe UI"/>
                <w:color w:val="666666"/>
                <w:sz w:val="18"/>
                <w:szCs w:val="18"/>
              </w:rPr>
            </w:pPr>
            <w:r>
              <w:rPr>
                <w:rFonts w:ascii="Segoe UI" w:hAnsi="Segoe UI" w:cs="Segoe UI"/>
                <w:color w:val="666666"/>
                <w:sz w:val="18"/>
                <w:szCs w:val="18"/>
              </w:rPr>
              <w:t>Property and equipment, net</w:t>
            </w:r>
          </w:p>
        </w:tc>
        <w:tc>
          <w:tcPr>
            <w:tcW w:w="208" w:type="pct"/>
          </w:tcPr>
          <w:p w14:paraId="00248AAF" w14:textId="77777777" w:rsidR="0044077A" w:rsidRPr="005C70FF" w:rsidRDefault="0044077A" w:rsidP="00A84DFC">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139" w:type="pct"/>
          </w:tcPr>
          <w:p w14:paraId="14E91187" w14:textId="77777777" w:rsidR="0044077A" w:rsidRPr="005C70FF" w:rsidRDefault="0044077A" w:rsidP="00A84DFC">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 </w:t>
            </w:r>
          </w:p>
        </w:tc>
        <w:tc>
          <w:tcPr>
            <w:tcW w:w="556" w:type="pct"/>
          </w:tcPr>
          <w:p w14:paraId="4C521321" w14:textId="77777777" w:rsidR="0044077A" w:rsidRPr="00353B43" w:rsidRDefault="0044077A" w:rsidP="00A84DFC">
            <w:pPr>
              <w:spacing w:after="0" w:line="240" w:lineRule="auto"/>
              <w:jc w:val="right"/>
              <w:rPr>
                <w:rFonts w:ascii="Segoe UI" w:hAnsi="Segoe UI" w:cs="Segoe UI"/>
                <w:b/>
                <w:color w:val="666666"/>
                <w:sz w:val="18"/>
                <w:szCs w:val="18"/>
              </w:rPr>
            </w:pPr>
            <w:r>
              <w:rPr>
                <w:rFonts w:ascii="Segoe UI" w:hAnsi="Segoe UI" w:cs="Segoe UI"/>
                <w:b/>
                <w:color w:val="666666"/>
                <w:sz w:val="18"/>
                <w:szCs w:val="18"/>
              </w:rPr>
              <w:t>(199</w:t>
            </w:r>
          </w:p>
        </w:tc>
        <w:tc>
          <w:tcPr>
            <w:tcW w:w="133" w:type="pct"/>
            <w:noWrap/>
          </w:tcPr>
          <w:p w14:paraId="03B4ABD8" w14:textId="77777777" w:rsidR="0044077A" w:rsidRPr="00353B43" w:rsidRDefault="0044077A" w:rsidP="00A84DFC">
            <w:pPr>
              <w:spacing w:after="0" w:line="240" w:lineRule="auto"/>
              <w:rPr>
                <w:rFonts w:ascii="Segoe UI" w:hAnsi="Segoe UI" w:cs="Segoe UI"/>
                <w:b/>
                <w:color w:val="666666"/>
                <w:sz w:val="18"/>
                <w:szCs w:val="18"/>
              </w:rPr>
            </w:pPr>
            <w:r>
              <w:rPr>
                <w:rFonts w:ascii="Segoe UI" w:hAnsi="Segoe UI" w:cs="Segoe UI"/>
                <w:b/>
                <w:color w:val="666666"/>
                <w:sz w:val="18"/>
                <w:szCs w:val="18"/>
              </w:rPr>
              <w:t>)</w:t>
            </w:r>
            <w:r w:rsidRPr="00353B43">
              <w:rPr>
                <w:rFonts w:ascii="Segoe UI" w:hAnsi="Segoe UI" w:cs="Segoe UI"/>
                <w:b/>
                <w:color w:val="666666"/>
                <w:sz w:val="18"/>
                <w:szCs w:val="18"/>
              </w:rPr>
              <w:t> </w:t>
            </w:r>
          </w:p>
        </w:tc>
      </w:tr>
      <w:tr w:rsidR="0044077A" w:rsidRPr="005C70FF" w14:paraId="760A3AAA" w14:textId="77777777" w:rsidTr="00A84DFC">
        <w:tc>
          <w:tcPr>
            <w:tcW w:w="4867" w:type="pct"/>
            <w:gridSpan w:val="5"/>
          </w:tcPr>
          <w:p w14:paraId="0BC21EFE" w14:textId="77777777" w:rsidR="0044077A" w:rsidRPr="00353B43" w:rsidRDefault="0044077A" w:rsidP="00A84DFC">
            <w:pPr>
              <w:pStyle w:val="rrdsinglerule"/>
              <w:spacing w:before="0"/>
              <w:rPr>
                <w:rFonts w:ascii="Segoe UI" w:hAnsi="Segoe UI" w:cs="Segoe UI"/>
                <w:color w:val="666666"/>
                <w:sz w:val="18"/>
                <w:szCs w:val="18"/>
              </w:rPr>
            </w:pPr>
            <w:r w:rsidRPr="00353B43">
              <w:rPr>
                <w:rFonts w:ascii="Segoe UI" w:hAnsi="Segoe UI" w:cs="Segoe UI"/>
                <w:color w:val="666666"/>
                <w:sz w:val="18"/>
                <w:szCs w:val="18"/>
              </w:rPr>
              <w:t> </w:t>
            </w:r>
          </w:p>
        </w:tc>
        <w:tc>
          <w:tcPr>
            <w:tcW w:w="133" w:type="pct"/>
          </w:tcPr>
          <w:p w14:paraId="312BBD4F" w14:textId="77777777" w:rsidR="0044077A" w:rsidRPr="00353B43" w:rsidRDefault="0044077A" w:rsidP="00A84DFC">
            <w:pPr>
              <w:pStyle w:val="rrdsinglerule"/>
              <w:spacing w:before="0"/>
              <w:jc w:val="left"/>
              <w:rPr>
                <w:rFonts w:ascii="Segoe UI" w:hAnsi="Segoe UI" w:cs="Segoe UI"/>
                <w:color w:val="666666"/>
                <w:sz w:val="18"/>
                <w:szCs w:val="18"/>
              </w:rPr>
            </w:pPr>
            <w:r w:rsidRPr="00353B43">
              <w:rPr>
                <w:rFonts w:ascii="Segoe UI" w:hAnsi="Segoe UI" w:cs="Segoe UI"/>
                <w:color w:val="666666"/>
                <w:sz w:val="18"/>
                <w:szCs w:val="18"/>
              </w:rPr>
              <w:t> </w:t>
            </w:r>
          </w:p>
        </w:tc>
      </w:tr>
      <w:tr w:rsidR="0044077A" w:rsidRPr="005C70FF" w14:paraId="2F5CD401" w14:textId="77777777" w:rsidTr="00A84DFC">
        <w:tc>
          <w:tcPr>
            <w:tcW w:w="3964" w:type="pct"/>
            <w:gridSpan w:val="2"/>
          </w:tcPr>
          <w:p w14:paraId="01798A17" w14:textId="77777777" w:rsidR="0044077A" w:rsidRPr="005C70FF" w:rsidRDefault="0044077A" w:rsidP="00A84DFC">
            <w:pPr>
              <w:pStyle w:val="NormalWeb"/>
              <w:spacing w:before="0" w:beforeAutospacing="0" w:after="0" w:afterAutospacing="0"/>
              <w:ind w:left="480" w:hanging="240"/>
              <w:rPr>
                <w:rFonts w:ascii="Segoe UI" w:hAnsi="Segoe UI" w:cs="Segoe UI"/>
                <w:color w:val="666666"/>
                <w:sz w:val="18"/>
                <w:szCs w:val="18"/>
              </w:rPr>
            </w:pPr>
            <w:r w:rsidRPr="005C70FF">
              <w:rPr>
                <w:rFonts w:ascii="Segoe UI" w:hAnsi="Segoe UI" w:cs="Segoe UI"/>
                <w:color w:val="666666"/>
                <w:sz w:val="18"/>
                <w:szCs w:val="18"/>
              </w:rPr>
              <w:t>Total</w:t>
            </w:r>
            <w:r>
              <w:rPr>
                <w:rFonts w:ascii="Segoe UI" w:hAnsi="Segoe UI" w:cs="Segoe UI"/>
                <w:color w:val="666666"/>
                <w:sz w:val="18"/>
                <w:szCs w:val="18"/>
              </w:rPr>
              <w:t xml:space="preserve"> </w:t>
            </w:r>
          </w:p>
        </w:tc>
        <w:tc>
          <w:tcPr>
            <w:tcW w:w="208" w:type="pct"/>
          </w:tcPr>
          <w:p w14:paraId="2EB3516C" w14:textId="77777777" w:rsidR="0044077A" w:rsidRPr="005C70FF" w:rsidRDefault="0044077A" w:rsidP="00A84DFC">
            <w:pPr>
              <w:pStyle w:val="la2"/>
              <w:rPr>
                <w:rFonts w:ascii="Segoe UI" w:hAnsi="Segoe UI" w:cs="Segoe UI"/>
                <w:color w:val="666666"/>
                <w:sz w:val="18"/>
                <w:szCs w:val="18"/>
              </w:rPr>
            </w:pPr>
            <w:r w:rsidRPr="005C70FF">
              <w:rPr>
                <w:rFonts w:ascii="Segoe UI" w:hAnsi="Segoe UI" w:cs="Segoe UI"/>
                <w:color w:val="666666"/>
                <w:sz w:val="18"/>
                <w:szCs w:val="18"/>
              </w:rPr>
              <w:t> </w:t>
            </w:r>
          </w:p>
        </w:tc>
        <w:tc>
          <w:tcPr>
            <w:tcW w:w="139" w:type="pct"/>
          </w:tcPr>
          <w:p w14:paraId="30477780" w14:textId="77777777" w:rsidR="0044077A" w:rsidRPr="005C70FF" w:rsidRDefault="0044077A" w:rsidP="00A84DFC">
            <w:pPr>
              <w:spacing w:after="0" w:line="240" w:lineRule="auto"/>
              <w:jc w:val="right"/>
              <w:rPr>
                <w:rFonts w:ascii="Segoe UI" w:hAnsi="Segoe UI" w:cs="Segoe UI"/>
                <w:b/>
                <w:color w:val="666666"/>
                <w:sz w:val="18"/>
                <w:szCs w:val="18"/>
              </w:rPr>
            </w:pPr>
            <w:r w:rsidRPr="005C70FF">
              <w:rPr>
                <w:rFonts w:ascii="Segoe UI" w:hAnsi="Segoe UI" w:cs="Segoe UI"/>
                <w:b/>
                <w:color w:val="666666"/>
                <w:sz w:val="18"/>
                <w:szCs w:val="18"/>
              </w:rPr>
              <w:t>$</w:t>
            </w:r>
          </w:p>
        </w:tc>
        <w:tc>
          <w:tcPr>
            <w:tcW w:w="556" w:type="pct"/>
          </w:tcPr>
          <w:p w14:paraId="40C0319E" w14:textId="77777777" w:rsidR="0044077A" w:rsidRPr="00353B43" w:rsidRDefault="0044077A" w:rsidP="00A84DFC">
            <w:pPr>
              <w:spacing w:after="0" w:line="240" w:lineRule="auto"/>
              <w:jc w:val="right"/>
              <w:rPr>
                <w:rFonts w:ascii="Segoe UI" w:hAnsi="Segoe UI" w:cs="Segoe UI"/>
                <w:b/>
                <w:color w:val="666666"/>
                <w:sz w:val="18"/>
                <w:szCs w:val="18"/>
              </w:rPr>
            </w:pPr>
            <w:r>
              <w:rPr>
                <w:rFonts w:ascii="Segoe UI" w:hAnsi="Segoe UI" w:cs="Segoe UI"/>
                <w:b/>
                <w:color w:val="666666"/>
                <w:sz w:val="18"/>
                <w:szCs w:val="18"/>
              </w:rPr>
              <w:t>(7,498</w:t>
            </w:r>
          </w:p>
        </w:tc>
        <w:tc>
          <w:tcPr>
            <w:tcW w:w="133" w:type="pct"/>
            <w:noWrap/>
          </w:tcPr>
          <w:p w14:paraId="283C60DD" w14:textId="77777777" w:rsidR="0044077A" w:rsidRPr="00353B43" w:rsidRDefault="0044077A" w:rsidP="00A84DFC">
            <w:pPr>
              <w:spacing w:after="0" w:line="240" w:lineRule="auto"/>
              <w:rPr>
                <w:rFonts w:ascii="Segoe UI" w:hAnsi="Segoe UI" w:cs="Segoe UI"/>
                <w:b/>
                <w:color w:val="666666"/>
                <w:sz w:val="18"/>
                <w:szCs w:val="18"/>
              </w:rPr>
            </w:pPr>
            <w:r>
              <w:rPr>
                <w:rFonts w:ascii="Segoe UI" w:hAnsi="Segoe UI" w:cs="Segoe UI"/>
                <w:b/>
                <w:color w:val="666666"/>
                <w:sz w:val="18"/>
                <w:szCs w:val="18"/>
              </w:rPr>
              <w:t>)</w:t>
            </w:r>
            <w:r w:rsidRPr="00353B43">
              <w:rPr>
                <w:rFonts w:ascii="Segoe UI" w:hAnsi="Segoe UI" w:cs="Segoe UI"/>
                <w:b/>
                <w:color w:val="666666"/>
                <w:sz w:val="18"/>
                <w:szCs w:val="18"/>
              </w:rPr>
              <w:t> </w:t>
            </w:r>
          </w:p>
        </w:tc>
      </w:tr>
    </w:tbl>
    <w:p w14:paraId="173DFC6A" w14:textId="38D9278A" w:rsidR="0044077A" w:rsidRPr="00DA2589" w:rsidRDefault="0044077A" w:rsidP="0044077A">
      <w:pPr>
        <w:pStyle w:val="NormalWeb"/>
        <w:spacing w:before="160" w:beforeAutospacing="0" w:after="160" w:afterAutospacing="0" w:line="280" w:lineRule="exact"/>
        <w:ind w:left="720"/>
        <w:rPr>
          <w:rFonts w:ascii="Segoe UI" w:eastAsia="Calibri" w:hAnsi="Segoe UI" w:cs="Segoe UI"/>
          <w:color w:val="666666"/>
          <w:sz w:val="20"/>
          <w:szCs w:val="20"/>
        </w:rPr>
      </w:pPr>
      <w:r>
        <w:rPr>
          <w:rFonts w:ascii="Segoe UI" w:hAnsi="Segoe UI" w:cs="Segoe UI"/>
          <w:color w:val="666666"/>
          <w:sz w:val="20"/>
          <w:szCs w:val="20"/>
        </w:rPr>
        <w:t xml:space="preserve">Restructuring expenses, net of cash paid and other settlements, are reflected in current liabilities on our consolidated balance sheet as of June 30, 2015. </w:t>
      </w:r>
    </w:p>
    <w:p w14:paraId="40091E03" w14:textId="77777777" w:rsidR="0044077A" w:rsidRPr="003B669E" w:rsidRDefault="0044077A" w:rsidP="0044077A">
      <w:pPr>
        <w:pStyle w:val="NormalWeb"/>
        <w:spacing w:before="160" w:beforeAutospacing="0" w:after="160" w:afterAutospacing="0" w:line="280" w:lineRule="exact"/>
        <w:rPr>
          <w:rFonts w:ascii="Segoe UI" w:hAnsi="Segoe UI" w:cs="Segoe UI"/>
          <w:b/>
          <w:bCs/>
          <w:color w:val="666666"/>
          <w:sz w:val="20"/>
          <w:szCs w:val="20"/>
        </w:rPr>
      </w:pPr>
      <w:r w:rsidRPr="003B669E">
        <w:rPr>
          <w:rFonts w:ascii="Segoe UI" w:hAnsi="Segoe UI" w:cs="Segoe UI"/>
          <w:b/>
          <w:bCs/>
          <w:color w:val="666666"/>
          <w:sz w:val="20"/>
          <w:szCs w:val="20"/>
        </w:rPr>
        <w:t>INCOME TAXES</w:t>
      </w:r>
    </w:p>
    <w:p w14:paraId="38D13913" w14:textId="77777777" w:rsidR="0044077A" w:rsidRDefault="0044077A" w:rsidP="0044077A">
      <w:pPr>
        <w:pStyle w:val="NormalWeb"/>
        <w:spacing w:before="160" w:beforeAutospacing="0" w:after="160" w:afterAutospacing="0" w:line="280" w:lineRule="exact"/>
        <w:rPr>
          <w:rFonts w:ascii="Segoe UI" w:eastAsia="Calibri" w:hAnsi="Segoe UI" w:cs="Segoe UI"/>
          <w:color w:val="666666"/>
          <w:sz w:val="20"/>
          <w:szCs w:val="20"/>
        </w:rPr>
      </w:pPr>
      <w:r>
        <w:rPr>
          <w:rFonts w:ascii="Segoe UI" w:eastAsia="Calibri" w:hAnsi="Segoe UI" w:cs="Segoe UI"/>
          <w:color w:val="666666"/>
          <w:sz w:val="20"/>
          <w:szCs w:val="20"/>
        </w:rPr>
        <w:t xml:space="preserve">The </w:t>
      </w:r>
      <w:r w:rsidRPr="00446399">
        <w:rPr>
          <w:rFonts w:ascii="Segoe UI" w:eastAsia="Calibri" w:hAnsi="Segoe UI" w:cs="Segoe UI"/>
          <w:color w:val="666666"/>
          <w:sz w:val="20"/>
          <w:szCs w:val="20"/>
        </w:rPr>
        <w:t xml:space="preserve">effective tax rate was </w:t>
      </w:r>
      <w:r>
        <w:rPr>
          <w:rFonts w:ascii="Segoe UI" w:eastAsia="Calibri" w:hAnsi="Segoe UI" w:cs="Segoe UI"/>
          <w:color w:val="666666"/>
          <w:sz w:val="20"/>
          <w:szCs w:val="20"/>
        </w:rPr>
        <w:t>(82)</w:t>
      </w:r>
      <w:r w:rsidRPr="002241FC">
        <w:rPr>
          <w:rFonts w:ascii="Segoe UI" w:eastAsia="Calibri" w:hAnsi="Segoe UI" w:cs="Segoe UI"/>
          <w:color w:val="666666"/>
          <w:sz w:val="20"/>
          <w:szCs w:val="20"/>
        </w:rPr>
        <w:t>%</w:t>
      </w:r>
      <w:r>
        <w:rPr>
          <w:rFonts w:ascii="Segoe UI" w:eastAsia="Calibri" w:hAnsi="Segoe UI" w:cs="Segoe UI"/>
          <w:color w:val="666666"/>
          <w:sz w:val="20"/>
          <w:szCs w:val="20"/>
        </w:rPr>
        <w:t xml:space="preserve"> for the quarter, </w:t>
      </w:r>
      <w:r w:rsidRPr="00446399">
        <w:rPr>
          <w:rFonts w:ascii="Segoe UI" w:eastAsia="Calibri" w:hAnsi="Segoe UI" w:cs="Segoe UI"/>
          <w:color w:val="666666"/>
          <w:sz w:val="20"/>
          <w:szCs w:val="20"/>
        </w:rPr>
        <w:t xml:space="preserve">compared to </w:t>
      </w:r>
      <w:r>
        <w:rPr>
          <w:rFonts w:ascii="Segoe UI" w:eastAsia="Calibri" w:hAnsi="Segoe UI" w:cs="Segoe UI"/>
          <w:color w:val="666666"/>
          <w:sz w:val="20"/>
          <w:szCs w:val="20"/>
        </w:rPr>
        <w:t>30</w:t>
      </w:r>
      <w:r w:rsidRPr="00446399">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in the prior year. </w:t>
      </w:r>
      <w:r w:rsidRPr="002241FC">
        <w:rPr>
          <w:rFonts w:ascii="Segoe UI" w:eastAsia="Calibri" w:hAnsi="Segoe UI" w:cs="Segoe UI"/>
          <w:color w:val="666666"/>
          <w:sz w:val="20"/>
          <w:szCs w:val="20"/>
        </w:rPr>
        <w:t xml:space="preserve">The </w:t>
      </w:r>
      <w:r>
        <w:rPr>
          <w:rFonts w:ascii="Segoe UI" w:eastAsia="Calibri" w:hAnsi="Segoe UI" w:cs="Segoe UI"/>
          <w:color w:val="666666"/>
          <w:sz w:val="20"/>
          <w:szCs w:val="20"/>
        </w:rPr>
        <w:t xml:space="preserve">change in the effective tax rate was </w:t>
      </w:r>
      <w:r w:rsidRPr="002241FC">
        <w:rPr>
          <w:rFonts w:ascii="Segoe UI" w:eastAsia="Calibri" w:hAnsi="Segoe UI" w:cs="Segoe UI"/>
          <w:color w:val="666666"/>
          <w:sz w:val="20"/>
          <w:szCs w:val="20"/>
        </w:rPr>
        <w:t xml:space="preserve">primarily </w:t>
      </w:r>
      <w:r>
        <w:rPr>
          <w:rFonts w:ascii="Segoe UI" w:eastAsia="Calibri" w:hAnsi="Segoe UI" w:cs="Segoe UI"/>
          <w:color w:val="666666"/>
          <w:sz w:val="20"/>
          <w:szCs w:val="20"/>
        </w:rPr>
        <w:t xml:space="preserve">due </w:t>
      </w:r>
      <w:r w:rsidRPr="002241FC">
        <w:rPr>
          <w:rFonts w:ascii="Segoe UI" w:eastAsia="Calibri" w:hAnsi="Segoe UI" w:cs="Segoe UI"/>
          <w:color w:val="666666"/>
          <w:sz w:val="20"/>
          <w:szCs w:val="20"/>
        </w:rPr>
        <w:t xml:space="preserve">to </w:t>
      </w:r>
      <w:r>
        <w:rPr>
          <w:rFonts w:ascii="Segoe UI" w:eastAsia="Calibri" w:hAnsi="Segoe UI" w:cs="Segoe UI"/>
          <w:color w:val="666666"/>
          <w:sz w:val="20"/>
          <w:szCs w:val="20"/>
        </w:rPr>
        <w:t xml:space="preserve">impairment charges in the current quarter that were not tax deductible. </w:t>
      </w:r>
      <w:r>
        <w:rPr>
          <w:rFonts w:ascii="Segoe UI" w:hAnsi="Segoe UI" w:cs="Segoe UI"/>
          <w:color w:val="666666"/>
          <w:sz w:val="20"/>
          <w:szCs w:val="20"/>
        </w:rPr>
        <w:t>Adjusting for these impairment charges, our Non-GAAP effective tax rate was 24</w:t>
      </w:r>
      <w:r w:rsidRPr="00B83B6A">
        <w:rPr>
          <w:rFonts w:ascii="Segoe UI" w:hAnsi="Segoe UI" w:cs="Segoe UI"/>
          <w:color w:val="666666"/>
          <w:sz w:val="20"/>
          <w:szCs w:val="20"/>
        </w:rPr>
        <w:t>%</w:t>
      </w:r>
      <w:r>
        <w:rPr>
          <w:rFonts w:ascii="Segoe UI" w:hAnsi="Segoe UI" w:cs="Segoe UI"/>
          <w:color w:val="666666"/>
          <w:sz w:val="20"/>
          <w:szCs w:val="20"/>
        </w:rPr>
        <w:t>.</w:t>
      </w:r>
    </w:p>
    <w:p w14:paraId="4D875B87" w14:textId="77777777" w:rsidR="0044077A" w:rsidRPr="003B669E" w:rsidRDefault="0044077A" w:rsidP="0044077A">
      <w:pPr>
        <w:pStyle w:val="NormalWeb"/>
        <w:spacing w:before="160" w:beforeAutospacing="0" w:after="160" w:afterAutospacing="0" w:line="280" w:lineRule="exact"/>
        <w:rPr>
          <w:rFonts w:ascii="Segoe UI" w:hAnsi="Segoe UI" w:cs="Segoe UI"/>
          <w:b/>
          <w:bCs/>
          <w:color w:val="666666"/>
          <w:sz w:val="20"/>
          <w:szCs w:val="20"/>
        </w:rPr>
      </w:pPr>
      <w:r>
        <w:rPr>
          <w:rFonts w:ascii="Segoe UI" w:hAnsi="Segoe UI" w:cs="Segoe UI"/>
          <w:b/>
          <w:bCs/>
          <w:color w:val="666666"/>
          <w:sz w:val="20"/>
          <w:szCs w:val="20"/>
        </w:rPr>
        <w:t>OTHER INCOME (EXPENSE), NET</w:t>
      </w:r>
    </w:p>
    <w:p w14:paraId="5CCF2AC6" w14:textId="77777777" w:rsidR="0044077A" w:rsidRDefault="0044077A" w:rsidP="0044077A">
      <w:pPr>
        <w:pStyle w:val="NormalWeb"/>
        <w:keepNext/>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Other income (expense), net, increased $202 million, primarily driven by net gains on foreign currency, offset in part by lower net gains recognized on sales of investments.</w:t>
      </w:r>
    </w:p>
    <w:p w14:paraId="338BBDE2" w14:textId="77777777" w:rsidR="000C2E7E" w:rsidRPr="00EA786C" w:rsidRDefault="000C2E7E" w:rsidP="00EA786C">
      <w:pPr>
        <w:pStyle w:val="NoSpacing"/>
        <w:spacing w:after="200" w:line="280" w:lineRule="exact"/>
        <w:rPr>
          <w:rFonts w:ascii="Segoe UI" w:hAnsi="Segoe UI" w:cs="Segoe UI"/>
          <w:color w:val="666666"/>
          <w:sz w:val="20"/>
          <w:szCs w:val="20"/>
        </w:rPr>
      </w:pPr>
    </w:p>
    <w:sectPr w:rsidR="000C2E7E" w:rsidRPr="00EA786C" w:rsidSect="00622A00">
      <w:pgSz w:w="12240" w:h="15840" w:code="1"/>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0A077" w14:textId="77777777" w:rsidR="00A22B8B" w:rsidRDefault="00A22B8B" w:rsidP="002C4383">
      <w:pPr>
        <w:spacing w:after="0" w:line="240" w:lineRule="auto"/>
      </w:pPr>
      <w:r>
        <w:separator/>
      </w:r>
    </w:p>
  </w:endnote>
  <w:endnote w:type="continuationSeparator" w:id="0">
    <w:p w14:paraId="154701E0" w14:textId="77777777" w:rsidR="00A22B8B" w:rsidRDefault="00A22B8B" w:rsidP="002C4383">
      <w:pPr>
        <w:spacing w:after="0" w:line="240" w:lineRule="auto"/>
      </w:pPr>
      <w:r>
        <w:continuationSeparator/>
      </w:r>
    </w:p>
  </w:endnote>
  <w:endnote w:type="continuationNotice" w:id="1">
    <w:p w14:paraId="3A17E848" w14:textId="77777777" w:rsidR="00A22B8B" w:rsidRDefault="00A22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49162" w14:textId="77777777" w:rsidR="00A22B8B" w:rsidRDefault="00A22B8B" w:rsidP="002C4383">
      <w:pPr>
        <w:spacing w:after="0" w:line="240" w:lineRule="auto"/>
      </w:pPr>
      <w:r>
        <w:separator/>
      </w:r>
    </w:p>
  </w:footnote>
  <w:footnote w:type="continuationSeparator" w:id="0">
    <w:p w14:paraId="7A3CFF41" w14:textId="77777777" w:rsidR="00A22B8B" w:rsidRDefault="00A22B8B" w:rsidP="002C4383">
      <w:pPr>
        <w:spacing w:after="0" w:line="240" w:lineRule="auto"/>
      </w:pPr>
      <w:r>
        <w:continuationSeparator/>
      </w:r>
    </w:p>
  </w:footnote>
  <w:footnote w:type="continuationNotice" w:id="1">
    <w:p w14:paraId="134B4A2B" w14:textId="77777777" w:rsidR="00A22B8B" w:rsidRDefault="00A22B8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E73BD"/>
    <w:multiLevelType w:val="hybridMultilevel"/>
    <w:tmpl w:val="9550CD18"/>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34B00"/>
    <w:multiLevelType w:val="hybridMultilevel"/>
    <w:tmpl w:val="8AB81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01221"/>
    <w:multiLevelType w:val="hybridMultilevel"/>
    <w:tmpl w:val="C4BC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413E1"/>
    <w:multiLevelType w:val="hybridMultilevel"/>
    <w:tmpl w:val="A254DD96"/>
    <w:lvl w:ilvl="0" w:tplc="5B0A203C">
      <w:start w:val="1"/>
      <w:numFmt w:val="bullet"/>
      <w:lvlText w:val="•"/>
      <w:lvlJc w:val="left"/>
      <w:pPr>
        <w:tabs>
          <w:tab w:val="num" w:pos="720"/>
        </w:tabs>
        <w:ind w:left="720" w:hanging="360"/>
      </w:pPr>
      <w:rPr>
        <w:rFonts w:ascii="Arial" w:hAnsi="Arial" w:hint="default"/>
      </w:rPr>
    </w:lvl>
    <w:lvl w:ilvl="1" w:tplc="E466E3B8">
      <w:start w:val="1"/>
      <w:numFmt w:val="bullet"/>
      <w:lvlText w:val="•"/>
      <w:lvlJc w:val="left"/>
      <w:pPr>
        <w:tabs>
          <w:tab w:val="num" w:pos="1440"/>
        </w:tabs>
        <w:ind w:left="1440" w:hanging="360"/>
      </w:pPr>
      <w:rPr>
        <w:rFonts w:ascii="Arial" w:hAnsi="Arial" w:hint="default"/>
      </w:rPr>
    </w:lvl>
    <w:lvl w:ilvl="2" w:tplc="9AC03ACE" w:tentative="1">
      <w:start w:val="1"/>
      <w:numFmt w:val="bullet"/>
      <w:lvlText w:val="•"/>
      <w:lvlJc w:val="left"/>
      <w:pPr>
        <w:tabs>
          <w:tab w:val="num" w:pos="2160"/>
        </w:tabs>
        <w:ind w:left="2160" w:hanging="360"/>
      </w:pPr>
      <w:rPr>
        <w:rFonts w:ascii="Arial" w:hAnsi="Arial" w:hint="default"/>
      </w:rPr>
    </w:lvl>
    <w:lvl w:ilvl="3" w:tplc="44BC6DC0" w:tentative="1">
      <w:start w:val="1"/>
      <w:numFmt w:val="bullet"/>
      <w:lvlText w:val="•"/>
      <w:lvlJc w:val="left"/>
      <w:pPr>
        <w:tabs>
          <w:tab w:val="num" w:pos="2880"/>
        </w:tabs>
        <w:ind w:left="2880" w:hanging="360"/>
      </w:pPr>
      <w:rPr>
        <w:rFonts w:ascii="Arial" w:hAnsi="Arial" w:hint="default"/>
      </w:rPr>
    </w:lvl>
    <w:lvl w:ilvl="4" w:tplc="C1160012" w:tentative="1">
      <w:start w:val="1"/>
      <w:numFmt w:val="bullet"/>
      <w:lvlText w:val="•"/>
      <w:lvlJc w:val="left"/>
      <w:pPr>
        <w:tabs>
          <w:tab w:val="num" w:pos="3600"/>
        </w:tabs>
        <w:ind w:left="3600" w:hanging="360"/>
      </w:pPr>
      <w:rPr>
        <w:rFonts w:ascii="Arial" w:hAnsi="Arial" w:hint="default"/>
      </w:rPr>
    </w:lvl>
    <w:lvl w:ilvl="5" w:tplc="0CC2DFAE" w:tentative="1">
      <w:start w:val="1"/>
      <w:numFmt w:val="bullet"/>
      <w:lvlText w:val="•"/>
      <w:lvlJc w:val="left"/>
      <w:pPr>
        <w:tabs>
          <w:tab w:val="num" w:pos="4320"/>
        </w:tabs>
        <w:ind w:left="4320" w:hanging="360"/>
      </w:pPr>
      <w:rPr>
        <w:rFonts w:ascii="Arial" w:hAnsi="Arial" w:hint="default"/>
      </w:rPr>
    </w:lvl>
    <w:lvl w:ilvl="6" w:tplc="B6521AB2" w:tentative="1">
      <w:start w:val="1"/>
      <w:numFmt w:val="bullet"/>
      <w:lvlText w:val="•"/>
      <w:lvlJc w:val="left"/>
      <w:pPr>
        <w:tabs>
          <w:tab w:val="num" w:pos="5040"/>
        </w:tabs>
        <w:ind w:left="5040" w:hanging="360"/>
      </w:pPr>
      <w:rPr>
        <w:rFonts w:ascii="Arial" w:hAnsi="Arial" w:hint="default"/>
      </w:rPr>
    </w:lvl>
    <w:lvl w:ilvl="7" w:tplc="976A33EC" w:tentative="1">
      <w:start w:val="1"/>
      <w:numFmt w:val="bullet"/>
      <w:lvlText w:val="•"/>
      <w:lvlJc w:val="left"/>
      <w:pPr>
        <w:tabs>
          <w:tab w:val="num" w:pos="5760"/>
        </w:tabs>
        <w:ind w:left="5760" w:hanging="360"/>
      </w:pPr>
      <w:rPr>
        <w:rFonts w:ascii="Arial" w:hAnsi="Arial" w:hint="default"/>
      </w:rPr>
    </w:lvl>
    <w:lvl w:ilvl="8" w:tplc="5A2003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87142"/>
    <w:multiLevelType w:val="hybridMultilevel"/>
    <w:tmpl w:val="9D58C290"/>
    <w:lvl w:ilvl="0" w:tplc="802818E4">
      <w:start w:val="1"/>
      <w:numFmt w:val="bullet"/>
      <w:lvlText w:val="•"/>
      <w:lvlJc w:val="left"/>
      <w:pPr>
        <w:tabs>
          <w:tab w:val="num" w:pos="720"/>
        </w:tabs>
        <w:ind w:left="720" w:hanging="360"/>
      </w:pPr>
      <w:rPr>
        <w:rFonts w:ascii="Arial" w:hAnsi="Arial" w:hint="default"/>
      </w:rPr>
    </w:lvl>
    <w:lvl w:ilvl="1" w:tplc="69320802" w:tentative="1">
      <w:start w:val="1"/>
      <w:numFmt w:val="bullet"/>
      <w:lvlText w:val="•"/>
      <w:lvlJc w:val="left"/>
      <w:pPr>
        <w:tabs>
          <w:tab w:val="num" w:pos="1440"/>
        </w:tabs>
        <w:ind w:left="1440" w:hanging="360"/>
      </w:pPr>
      <w:rPr>
        <w:rFonts w:ascii="Arial" w:hAnsi="Arial" w:hint="default"/>
      </w:rPr>
    </w:lvl>
    <w:lvl w:ilvl="2" w:tplc="A900DB18">
      <w:start w:val="1"/>
      <w:numFmt w:val="bullet"/>
      <w:lvlText w:val="•"/>
      <w:lvlJc w:val="left"/>
      <w:pPr>
        <w:tabs>
          <w:tab w:val="num" w:pos="2160"/>
        </w:tabs>
        <w:ind w:left="2160" w:hanging="360"/>
      </w:pPr>
      <w:rPr>
        <w:rFonts w:ascii="Arial" w:hAnsi="Arial" w:hint="default"/>
      </w:rPr>
    </w:lvl>
    <w:lvl w:ilvl="3" w:tplc="D6D666B8" w:tentative="1">
      <w:start w:val="1"/>
      <w:numFmt w:val="bullet"/>
      <w:lvlText w:val="•"/>
      <w:lvlJc w:val="left"/>
      <w:pPr>
        <w:tabs>
          <w:tab w:val="num" w:pos="2880"/>
        </w:tabs>
        <w:ind w:left="2880" w:hanging="360"/>
      </w:pPr>
      <w:rPr>
        <w:rFonts w:ascii="Arial" w:hAnsi="Arial" w:hint="default"/>
      </w:rPr>
    </w:lvl>
    <w:lvl w:ilvl="4" w:tplc="41B63590" w:tentative="1">
      <w:start w:val="1"/>
      <w:numFmt w:val="bullet"/>
      <w:lvlText w:val="•"/>
      <w:lvlJc w:val="left"/>
      <w:pPr>
        <w:tabs>
          <w:tab w:val="num" w:pos="3600"/>
        </w:tabs>
        <w:ind w:left="3600" w:hanging="360"/>
      </w:pPr>
      <w:rPr>
        <w:rFonts w:ascii="Arial" w:hAnsi="Arial" w:hint="default"/>
      </w:rPr>
    </w:lvl>
    <w:lvl w:ilvl="5" w:tplc="338E2534" w:tentative="1">
      <w:start w:val="1"/>
      <w:numFmt w:val="bullet"/>
      <w:lvlText w:val="•"/>
      <w:lvlJc w:val="left"/>
      <w:pPr>
        <w:tabs>
          <w:tab w:val="num" w:pos="4320"/>
        </w:tabs>
        <w:ind w:left="4320" w:hanging="360"/>
      </w:pPr>
      <w:rPr>
        <w:rFonts w:ascii="Arial" w:hAnsi="Arial" w:hint="default"/>
      </w:rPr>
    </w:lvl>
    <w:lvl w:ilvl="6" w:tplc="95DA2F74" w:tentative="1">
      <w:start w:val="1"/>
      <w:numFmt w:val="bullet"/>
      <w:lvlText w:val="•"/>
      <w:lvlJc w:val="left"/>
      <w:pPr>
        <w:tabs>
          <w:tab w:val="num" w:pos="5040"/>
        </w:tabs>
        <w:ind w:left="5040" w:hanging="360"/>
      </w:pPr>
      <w:rPr>
        <w:rFonts w:ascii="Arial" w:hAnsi="Arial" w:hint="default"/>
      </w:rPr>
    </w:lvl>
    <w:lvl w:ilvl="7" w:tplc="E6F6F908" w:tentative="1">
      <w:start w:val="1"/>
      <w:numFmt w:val="bullet"/>
      <w:lvlText w:val="•"/>
      <w:lvlJc w:val="left"/>
      <w:pPr>
        <w:tabs>
          <w:tab w:val="num" w:pos="5760"/>
        </w:tabs>
        <w:ind w:left="5760" w:hanging="360"/>
      </w:pPr>
      <w:rPr>
        <w:rFonts w:ascii="Arial" w:hAnsi="Arial" w:hint="default"/>
      </w:rPr>
    </w:lvl>
    <w:lvl w:ilvl="8" w:tplc="483E00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1648A8"/>
    <w:multiLevelType w:val="hybridMultilevel"/>
    <w:tmpl w:val="0AACAE0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84237"/>
    <w:multiLevelType w:val="hybridMultilevel"/>
    <w:tmpl w:val="CE8C5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52E2A"/>
    <w:multiLevelType w:val="hybridMultilevel"/>
    <w:tmpl w:val="9738DBD2"/>
    <w:lvl w:ilvl="0" w:tplc="88C43E7C">
      <w:start w:val="1"/>
      <w:numFmt w:val="bullet"/>
      <w:lvlText w:val="•"/>
      <w:lvlJc w:val="left"/>
      <w:pPr>
        <w:tabs>
          <w:tab w:val="num" w:pos="720"/>
        </w:tabs>
        <w:ind w:left="720" w:hanging="360"/>
      </w:pPr>
      <w:rPr>
        <w:rFonts w:ascii="Arial" w:hAnsi="Arial" w:hint="default"/>
      </w:rPr>
    </w:lvl>
    <w:lvl w:ilvl="1" w:tplc="63DECEC8" w:tentative="1">
      <w:start w:val="1"/>
      <w:numFmt w:val="bullet"/>
      <w:lvlText w:val="•"/>
      <w:lvlJc w:val="left"/>
      <w:pPr>
        <w:tabs>
          <w:tab w:val="num" w:pos="1440"/>
        </w:tabs>
        <w:ind w:left="1440" w:hanging="360"/>
      </w:pPr>
      <w:rPr>
        <w:rFonts w:ascii="Arial" w:hAnsi="Arial" w:hint="default"/>
      </w:rPr>
    </w:lvl>
    <w:lvl w:ilvl="2" w:tplc="841E103A">
      <w:start w:val="1"/>
      <w:numFmt w:val="bullet"/>
      <w:lvlText w:val="•"/>
      <w:lvlJc w:val="left"/>
      <w:pPr>
        <w:tabs>
          <w:tab w:val="num" w:pos="2160"/>
        </w:tabs>
        <w:ind w:left="2160" w:hanging="360"/>
      </w:pPr>
      <w:rPr>
        <w:rFonts w:ascii="Arial" w:hAnsi="Arial" w:hint="default"/>
      </w:rPr>
    </w:lvl>
    <w:lvl w:ilvl="3" w:tplc="DCC2B650" w:tentative="1">
      <w:start w:val="1"/>
      <w:numFmt w:val="bullet"/>
      <w:lvlText w:val="•"/>
      <w:lvlJc w:val="left"/>
      <w:pPr>
        <w:tabs>
          <w:tab w:val="num" w:pos="2880"/>
        </w:tabs>
        <w:ind w:left="2880" w:hanging="360"/>
      </w:pPr>
      <w:rPr>
        <w:rFonts w:ascii="Arial" w:hAnsi="Arial" w:hint="default"/>
      </w:rPr>
    </w:lvl>
    <w:lvl w:ilvl="4" w:tplc="A22AB48E" w:tentative="1">
      <w:start w:val="1"/>
      <w:numFmt w:val="bullet"/>
      <w:lvlText w:val="•"/>
      <w:lvlJc w:val="left"/>
      <w:pPr>
        <w:tabs>
          <w:tab w:val="num" w:pos="3600"/>
        </w:tabs>
        <w:ind w:left="3600" w:hanging="360"/>
      </w:pPr>
      <w:rPr>
        <w:rFonts w:ascii="Arial" w:hAnsi="Arial" w:hint="default"/>
      </w:rPr>
    </w:lvl>
    <w:lvl w:ilvl="5" w:tplc="4092B080" w:tentative="1">
      <w:start w:val="1"/>
      <w:numFmt w:val="bullet"/>
      <w:lvlText w:val="•"/>
      <w:lvlJc w:val="left"/>
      <w:pPr>
        <w:tabs>
          <w:tab w:val="num" w:pos="4320"/>
        </w:tabs>
        <w:ind w:left="4320" w:hanging="360"/>
      </w:pPr>
      <w:rPr>
        <w:rFonts w:ascii="Arial" w:hAnsi="Arial" w:hint="default"/>
      </w:rPr>
    </w:lvl>
    <w:lvl w:ilvl="6" w:tplc="98D6E124" w:tentative="1">
      <w:start w:val="1"/>
      <w:numFmt w:val="bullet"/>
      <w:lvlText w:val="•"/>
      <w:lvlJc w:val="left"/>
      <w:pPr>
        <w:tabs>
          <w:tab w:val="num" w:pos="5040"/>
        </w:tabs>
        <w:ind w:left="5040" w:hanging="360"/>
      </w:pPr>
      <w:rPr>
        <w:rFonts w:ascii="Arial" w:hAnsi="Arial" w:hint="default"/>
      </w:rPr>
    </w:lvl>
    <w:lvl w:ilvl="7" w:tplc="E4A2D9B2" w:tentative="1">
      <w:start w:val="1"/>
      <w:numFmt w:val="bullet"/>
      <w:lvlText w:val="•"/>
      <w:lvlJc w:val="left"/>
      <w:pPr>
        <w:tabs>
          <w:tab w:val="num" w:pos="5760"/>
        </w:tabs>
        <w:ind w:left="5760" w:hanging="360"/>
      </w:pPr>
      <w:rPr>
        <w:rFonts w:ascii="Arial" w:hAnsi="Arial" w:hint="default"/>
      </w:rPr>
    </w:lvl>
    <w:lvl w:ilvl="8" w:tplc="31FE27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8A1261"/>
    <w:multiLevelType w:val="hybridMultilevel"/>
    <w:tmpl w:val="97CE5FC6"/>
    <w:lvl w:ilvl="0" w:tplc="1ABAA840">
      <w:start w:val="1"/>
      <w:numFmt w:val="bullet"/>
      <w:lvlText w:val=""/>
      <w:lvlJc w:val="left"/>
      <w:pPr>
        <w:ind w:left="1080" w:hanging="360"/>
      </w:pPr>
      <w:rPr>
        <w:rFonts w:ascii="Symbol" w:hAnsi="Symbol" w:hint="default"/>
        <w:color w:val="7F7F7F" w:themeColor="text1" w:themeTint="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A27734"/>
    <w:multiLevelType w:val="hybridMultilevel"/>
    <w:tmpl w:val="D7AC780C"/>
    <w:lvl w:ilvl="0" w:tplc="13E81CF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050B4"/>
    <w:multiLevelType w:val="hybridMultilevel"/>
    <w:tmpl w:val="AA7A7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8"/>
  </w:num>
  <w:num w:numId="6">
    <w:abstractNumId w:val="3"/>
  </w:num>
  <w:num w:numId="7">
    <w:abstractNumId w:val="13"/>
  </w:num>
  <w:num w:numId="8">
    <w:abstractNumId w:val="12"/>
  </w:num>
  <w:num w:numId="9">
    <w:abstractNumId w:val="7"/>
  </w:num>
  <w:num w:numId="10">
    <w:abstractNumId w:val="1"/>
  </w:num>
  <w:num w:numId="11">
    <w:abstractNumId w:val="2"/>
  </w:num>
  <w:num w:numId="12">
    <w:abstractNumId w:val="9"/>
  </w:num>
  <w:num w:numId="13">
    <w:abstractNumId w:val="5"/>
  </w:num>
  <w:num w:numId="14">
    <w:abstractNumId w:val="4"/>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true"/>
    <w:docVar w:name="APWAFVersion" w:val="5.0"/>
  </w:docVars>
  <w:rsids>
    <w:rsidRoot w:val="00CA040B"/>
    <w:rsid w:val="00002339"/>
    <w:rsid w:val="0000280A"/>
    <w:rsid w:val="0001030A"/>
    <w:rsid w:val="00011A32"/>
    <w:rsid w:val="000122FE"/>
    <w:rsid w:val="000142D1"/>
    <w:rsid w:val="00016709"/>
    <w:rsid w:val="000202C4"/>
    <w:rsid w:val="00023361"/>
    <w:rsid w:val="00027614"/>
    <w:rsid w:val="0003142E"/>
    <w:rsid w:val="00031A74"/>
    <w:rsid w:val="00033AFB"/>
    <w:rsid w:val="00043643"/>
    <w:rsid w:val="0004507C"/>
    <w:rsid w:val="0004569F"/>
    <w:rsid w:val="000461BA"/>
    <w:rsid w:val="000462D2"/>
    <w:rsid w:val="000528E8"/>
    <w:rsid w:val="00052975"/>
    <w:rsid w:val="00055AF4"/>
    <w:rsid w:val="000640FB"/>
    <w:rsid w:val="000669DB"/>
    <w:rsid w:val="00066D3A"/>
    <w:rsid w:val="00070F34"/>
    <w:rsid w:val="0007135A"/>
    <w:rsid w:val="00072BFF"/>
    <w:rsid w:val="00073769"/>
    <w:rsid w:val="00080299"/>
    <w:rsid w:val="000810CB"/>
    <w:rsid w:val="00082EC7"/>
    <w:rsid w:val="000857FD"/>
    <w:rsid w:val="00085DAF"/>
    <w:rsid w:val="00086A7F"/>
    <w:rsid w:val="000904C7"/>
    <w:rsid w:val="00096EF3"/>
    <w:rsid w:val="00097DA7"/>
    <w:rsid w:val="000A2315"/>
    <w:rsid w:val="000A23AC"/>
    <w:rsid w:val="000A309E"/>
    <w:rsid w:val="000A3796"/>
    <w:rsid w:val="000A3F40"/>
    <w:rsid w:val="000A42D9"/>
    <w:rsid w:val="000A6DC7"/>
    <w:rsid w:val="000B0754"/>
    <w:rsid w:val="000B1110"/>
    <w:rsid w:val="000B56A4"/>
    <w:rsid w:val="000B7B26"/>
    <w:rsid w:val="000C2E7E"/>
    <w:rsid w:val="000C75E0"/>
    <w:rsid w:val="000D1A0D"/>
    <w:rsid w:val="000D33AA"/>
    <w:rsid w:val="000D5DA3"/>
    <w:rsid w:val="000D62AA"/>
    <w:rsid w:val="000E115B"/>
    <w:rsid w:val="000E2215"/>
    <w:rsid w:val="000E36BC"/>
    <w:rsid w:val="000E7D4E"/>
    <w:rsid w:val="000F3D76"/>
    <w:rsid w:val="000F3FA8"/>
    <w:rsid w:val="001009C3"/>
    <w:rsid w:val="00102AB1"/>
    <w:rsid w:val="001125B1"/>
    <w:rsid w:val="00113F25"/>
    <w:rsid w:val="00116FDE"/>
    <w:rsid w:val="00120414"/>
    <w:rsid w:val="0012255C"/>
    <w:rsid w:val="00141B46"/>
    <w:rsid w:val="00142700"/>
    <w:rsid w:val="00146582"/>
    <w:rsid w:val="00147A79"/>
    <w:rsid w:val="0015543C"/>
    <w:rsid w:val="00160BC7"/>
    <w:rsid w:val="00164784"/>
    <w:rsid w:val="0016479B"/>
    <w:rsid w:val="00166382"/>
    <w:rsid w:val="00166964"/>
    <w:rsid w:val="0017079A"/>
    <w:rsid w:val="00170A39"/>
    <w:rsid w:val="00171ECF"/>
    <w:rsid w:val="00173636"/>
    <w:rsid w:val="00174C7C"/>
    <w:rsid w:val="00180866"/>
    <w:rsid w:val="00185096"/>
    <w:rsid w:val="00195CE9"/>
    <w:rsid w:val="00196A2F"/>
    <w:rsid w:val="001A045F"/>
    <w:rsid w:val="001A1253"/>
    <w:rsid w:val="001A37CE"/>
    <w:rsid w:val="001A52FD"/>
    <w:rsid w:val="001B0462"/>
    <w:rsid w:val="001B5FD8"/>
    <w:rsid w:val="001B645F"/>
    <w:rsid w:val="001C15EF"/>
    <w:rsid w:val="001C435D"/>
    <w:rsid w:val="001D1102"/>
    <w:rsid w:val="001D2C0C"/>
    <w:rsid w:val="001D5067"/>
    <w:rsid w:val="001D69BC"/>
    <w:rsid w:val="001E3443"/>
    <w:rsid w:val="001E4322"/>
    <w:rsid w:val="001E466B"/>
    <w:rsid w:val="001E6963"/>
    <w:rsid w:val="001E7554"/>
    <w:rsid w:val="001F0EB6"/>
    <w:rsid w:val="001F2809"/>
    <w:rsid w:val="001F289F"/>
    <w:rsid w:val="00201B7B"/>
    <w:rsid w:val="00202880"/>
    <w:rsid w:val="0020307B"/>
    <w:rsid w:val="002069C6"/>
    <w:rsid w:val="00207F8F"/>
    <w:rsid w:val="00210F93"/>
    <w:rsid w:val="0021145F"/>
    <w:rsid w:val="00211DDD"/>
    <w:rsid w:val="00212617"/>
    <w:rsid w:val="002126CC"/>
    <w:rsid w:val="00213ED1"/>
    <w:rsid w:val="00215BE1"/>
    <w:rsid w:val="00223216"/>
    <w:rsid w:val="00224C3E"/>
    <w:rsid w:val="00224EDC"/>
    <w:rsid w:val="002372B7"/>
    <w:rsid w:val="00241390"/>
    <w:rsid w:val="002413CC"/>
    <w:rsid w:val="00245F37"/>
    <w:rsid w:val="00245F78"/>
    <w:rsid w:val="0025168C"/>
    <w:rsid w:val="00254F30"/>
    <w:rsid w:val="002577B7"/>
    <w:rsid w:val="002614CA"/>
    <w:rsid w:val="00263EA3"/>
    <w:rsid w:val="00275874"/>
    <w:rsid w:val="00276BD5"/>
    <w:rsid w:val="00277FE0"/>
    <w:rsid w:val="00282933"/>
    <w:rsid w:val="002865EB"/>
    <w:rsid w:val="002905F8"/>
    <w:rsid w:val="0029071D"/>
    <w:rsid w:val="00292B5D"/>
    <w:rsid w:val="002934B1"/>
    <w:rsid w:val="002A369E"/>
    <w:rsid w:val="002B05A1"/>
    <w:rsid w:val="002B0732"/>
    <w:rsid w:val="002B3F2B"/>
    <w:rsid w:val="002B5D5B"/>
    <w:rsid w:val="002B766F"/>
    <w:rsid w:val="002C06B2"/>
    <w:rsid w:val="002C40AF"/>
    <w:rsid w:val="002C4383"/>
    <w:rsid w:val="002D1127"/>
    <w:rsid w:val="002D14C0"/>
    <w:rsid w:val="002D2762"/>
    <w:rsid w:val="002D5198"/>
    <w:rsid w:val="002D551D"/>
    <w:rsid w:val="002D57BB"/>
    <w:rsid w:val="002D7988"/>
    <w:rsid w:val="002E0E8E"/>
    <w:rsid w:val="002E23B2"/>
    <w:rsid w:val="002E50BE"/>
    <w:rsid w:val="002E590E"/>
    <w:rsid w:val="002E65D2"/>
    <w:rsid w:val="002F14BD"/>
    <w:rsid w:val="002F2C98"/>
    <w:rsid w:val="002F30A5"/>
    <w:rsid w:val="003003B0"/>
    <w:rsid w:val="00302C39"/>
    <w:rsid w:val="003053B4"/>
    <w:rsid w:val="00305429"/>
    <w:rsid w:val="00305CCE"/>
    <w:rsid w:val="00306B54"/>
    <w:rsid w:val="00310399"/>
    <w:rsid w:val="00311C28"/>
    <w:rsid w:val="003123D8"/>
    <w:rsid w:val="00314B0A"/>
    <w:rsid w:val="00315281"/>
    <w:rsid w:val="0031761F"/>
    <w:rsid w:val="0032642E"/>
    <w:rsid w:val="0032783C"/>
    <w:rsid w:val="00331130"/>
    <w:rsid w:val="00331A9E"/>
    <w:rsid w:val="00343083"/>
    <w:rsid w:val="00344A6A"/>
    <w:rsid w:val="00345672"/>
    <w:rsid w:val="00345982"/>
    <w:rsid w:val="0034602F"/>
    <w:rsid w:val="00347856"/>
    <w:rsid w:val="00356B20"/>
    <w:rsid w:val="00360E3B"/>
    <w:rsid w:val="00361510"/>
    <w:rsid w:val="0036174F"/>
    <w:rsid w:val="00377A4A"/>
    <w:rsid w:val="0038552D"/>
    <w:rsid w:val="00387D7E"/>
    <w:rsid w:val="00391E57"/>
    <w:rsid w:val="0039408D"/>
    <w:rsid w:val="00394A8F"/>
    <w:rsid w:val="003954DA"/>
    <w:rsid w:val="00395E9B"/>
    <w:rsid w:val="00396CAD"/>
    <w:rsid w:val="003A19D2"/>
    <w:rsid w:val="003A6656"/>
    <w:rsid w:val="003B1A4E"/>
    <w:rsid w:val="003B7ABC"/>
    <w:rsid w:val="003C1FE6"/>
    <w:rsid w:val="003C3D23"/>
    <w:rsid w:val="003C69B0"/>
    <w:rsid w:val="003D38E4"/>
    <w:rsid w:val="003D3D46"/>
    <w:rsid w:val="003E04AE"/>
    <w:rsid w:val="003E2BC9"/>
    <w:rsid w:val="003E5B8D"/>
    <w:rsid w:val="003E5E83"/>
    <w:rsid w:val="003F54C5"/>
    <w:rsid w:val="003F5680"/>
    <w:rsid w:val="00400D5C"/>
    <w:rsid w:val="00404FAF"/>
    <w:rsid w:val="0041262B"/>
    <w:rsid w:val="00416671"/>
    <w:rsid w:val="00417094"/>
    <w:rsid w:val="00417C88"/>
    <w:rsid w:val="004237FD"/>
    <w:rsid w:val="00424E59"/>
    <w:rsid w:val="00425599"/>
    <w:rsid w:val="00431CDE"/>
    <w:rsid w:val="00432C51"/>
    <w:rsid w:val="0043539A"/>
    <w:rsid w:val="0043635C"/>
    <w:rsid w:val="00437F11"/>
    <w:rsid w:val="0044077A"/>
    <w:rsid w:val="0044117C"/>
    <w:rsid w:val="00441C6B"/>
    <w:rsid w:val="00443912"/>
    <w:rsid w:val="004464FA"/>
    <w:rsid w:val="0045158B"/>
    <w:rsid w:val="00452DB6"/>
    <w:rsid w:val="0045579B"/>
    <w:rsid w:val="00463416"/>
    <w:rsid w:val="0046515D"/>
    <w:rsid w:val="0046776D"/>
    <w:rsid w:val="00472129"/>
    <w:rsid w:val="00476A8A"/>
    <w:rsid w:val="0047750B"/>
    <w:rsid w:val="004875A2"/>
    <w:rsid w:val="00491429"/>
    <w:rsid w:val="00491556"/>
    <w:rsid w:val="00494E5A"/>
    <w:rsid w:val="0049770C"/>
    <w:rsid w:val="004A006F"/>
    <w:rsid w:val="004A2162"/>
    <w:rsid w:val="004A6C6C"/>
    <w:rsid w:val="004B1ACF"/>
    <w:rsid w:val="004B3E79"/>
    <w:rsid w:val="004B5D7E"/>
    <w:rsid w:val="004D1FFB"/>
    <w:rsid w:val="004D49E0"/>
    <w:rsid w:val="004E3A1F"/>
    <w:rsid w:val="004E4467"/>
    <w:rsid w:val="004E51A7"/>
    <w:rsid w:val="004F3A4C"/>
    <w:rsid w:val="004F610E"/>
    <w:rsid w:val="00500DB8"/>
    <w:rsid w:val="00505FBB"/>
    <w:rsid w:val="0050693E"/>
    <w:rsid w:val="00510B75"/>
    <w:rsid w:val="00514C86"/>
    <w:rsid w:val="00525063"/>
    <w:rsid w:val="0052771E"/>
    <w:rsid w:val="00532D90"/>
    <w:rsid w:val="00537CCB"/>
    <w:rsid w:val="00540544"/>
    <w:rsid w:val="00541021"/>
    <w:rsid w:val="0054286E"/>
    <w:rsid w:val="00550C41"/>
    <w:rsid w:val="00553B44"/>
    <w:rsid w:val="00553D8C"/>
    <w:rsid w:val="0055494E"/>
    <w:rsid w:val="00554E97"/>
    <w:rsid w:val="0056377D"/>
    <w:rsid w:val="00570236"/>
    <w:rsid w:val="005733E7"/>
    <w:rsid w:val="00574C86"/>
    <w:rsid w:val="005757DD"/>
    <w:rsid w:val="0057593F"/>
    <w:rsid w:val="005770A7"/>
    <w:rsid w:val="00584C00"/>
    <w:rsid w:val="005857A6"/>
    <w:rsid w:val="00585DB7"/>
    <w:rsid w:val="00592B56"/>
    <w:rsid w:val="0059564B"/>
    <w:rsid w:val="005969EE"/>
    <w:rsid w:val="005A14F8"/>
    <w:rsid w:val="005A3B2E"/>
    <w:rsid w:val="005A4E1F"/>
    <w:rsid w:val="005B14FA"/>
    <w:rsid w:val="005C002D"/>
    <w:rsid w:val="005C5DB9"/>
    <w:rsid w:val="005C6CF0"/>
    <w:rsid w:val="005C6E75"/>
    <w:rsid w:val="005C7017"/>
    <w:rsid w:val="005D3B41"/>
    <w:rsid w:val="005D54AB"/>
    <w:rsid w:val="005D7919"/>
    <w:rsid w:val="005E0131"/>
    <w:rsid w:val="005E59D2"/>
    <w:rsid w:val="005F0032"/>
    <w:rsid w:val="005F044B"/>
    <w:rsid w:val="005F3081"/>
    <w:rsid w:val="005F3FAF"/>
    <w:rsid w:val="005F61DA"/>
    <w:rsid w:val="00604BA7"/>
    <w:rsid w:val="00610D6A"/>
    <w:rsid w:val="00614463"/>
    <w:rsid w:val="00614B91"/>
    <w:rsid w:val="00617306"/>
    <w:rsid w:val="006200FB"/>
    <w:rsid w:val="00622361"/>
    <w:rsid w:val="006229F3"/>
    <w:rsid w:val="00622A00"/>
    <w:rsid w:val="006257FA"/>
    <w:rsid w:val="00636C5C"/>
    <w:rsid w:val="00637724"/>
    <w:rsid w:val="006404C6"/>
    <w:rsid w:val="00650D3E"/>
    <w:rsid w:val="00651549"/>
    <w:rsid w:val="0065200B"/>
    <w:rsid w:val="00657C2E"/>
    <w:rsid w:val="0067133E"/>
    <w:rsid w:val="0067224D"/>
    <w:rsid w:val="00673178"/>
    <w:rsid w:val="00674241"/>
    <w:rsid w:val="00675BC7"/>
    <w:rsid w:val="00683C5D"/>
    <w:rsid w:val="006908B3"/>
    <w:rsid w:val="00690F5C"/>
    <w:rsid w:val="006915A3"/>
    <w:rsid w:val="00692863"/>
    <w:rsid w:val="0069438A"/>
    <w:rsid w:val="00697CD0"/>
    <w:rsid w:val="006A04B9"/>
    <w:rsid w:val="006A0730"/>
    <w:rsid w:val="006A4B8E"/>
    <w:rsid w:val="006A4D40"/>
    <w:rsid w:val="006A5610"/>
    <w:rsid w:val="006B1D5D"/>
    <w:rsid w:val="006B333E"/>
    <w:rsid w:val="006B3A42"/>
    <w:rsid w:val="006C1C67"/>
    <w:rsid w:val="006C1F75"/>
    <w:rsid w:val="006C2AFC"/>
    <w:rsid w:val="006D3BB3"/>
    <w:rsid w:val="006D5396"/>
    <w:rsid w:val="006D7B25"/>
    <w:rsid w:val="006E0B89"/>
    <w:rsid w:val="006E4DDC"/>
    <w:rsid w:val="006E5B27"/>
    <w:rsid w:val="006E7CE6"/>
    <w:rsid w:val="006F2DF8"/>
    <w:rsid w:val="006F4566"/>
    <w:rsid w:val="006F49A6"/>
    <w:rsid w:val="00704D9A"/>
    <w:rsid w:val="00705424"/>
    <w:rsid w:val="00712453"/>
    <w:rsid w:val="00714AE8"/>
    <w:rsid w:val="00717CC5"/>
    <w:rsid w:val="00720B86"/>
    <w:rsid w:val="00721CF6"/>
    <w:rsid w:val="0072433A"/>
    <w:rsid w:val="00725F6B"/>
    <w:rsid w:val="00730920"/>
    <w:rsid w:val="00730F7B"/>
    <w:rsid w:val="007321F4"/>
    <w:rsid w:val="00733E03"/>
    <w:rsid w:val="0073645C"/>
    <w:rsid w:val="0074104E"/>
    <w:rsid w:val="00744CB2"/>
    <w:rsid w:val="00744F7E"/>
    <w:rsid w:val="007470C1"/>
    <w:rsid w:val="00751FFD"/>
    <w:rsid w:val="007524C4"/>
    <w:rsid w:val="00755213"/>
    <w:rsid w:val="00756669"/>
    <w:rsid w:val="0076015A"/>
    <w:rsid w:val="00762580"/>
    <w:rsid w:val="007654ED"/>
    <w:rsid w:val="00766303"/>
    <w:rsid w:val="00766CED"/>
    <w:rsid w:val="007747CE"/>
    <w:rsid w:val="00774BD4"/>
    <w:rsid w:val="00775452"/>
    <w:rsid w:val="00775C41"/>
    <w:rsid w:val="00777C23"/>
    <w:rsid w:val="007804B6"/>
    <w:rsid w:val="007818EB"/>
    <w:rsid w:val="00782939"/>
    <w:rsid w:val="00786C93"/>
    <w:rsid w:val="0079202C"/>
    <w:rsid w:val="007944BB"/>
    <w:rsid w:val="0079589F"/>
    <w:rsid w:val="007A2BCE"/>
    <w:rsid w:val="007A3D12"/>
    <w:rsid w:val="007A4F2A"/>
    <w:rsid w:val="007A65AE"/>
    <w:rsid w:val="007A77D8"/>
    <w:rsid w:val="007B1949"/>
    <w:rsid w:val="007B23B6"/>
    <w:rsid w:val="007C1D4D"/>
    <w:rsid w:val="007C211F"/>
    <w:rsid w:val="007D0AFA"/>
    <w:rsid w:val="007D12BE"/>
    <w:rsid w:val="007D6640"/>
    <w:rsid w:val="007E08C0"/>
    <w:rsid w:val="007E251B"/>
    <w:rsid w:val="007E6055"/>
    <w:rsid w:val="007F0E21"/>
    <w:rsid w:val="007F16DB"/>
    <w:rsid w:val="007F2779"/>
    <w:rsid w:val="007F41B0"/>
    <w:rsid w:val="007F43D7"/>
    <w:rsid w:val="007F621C"/>
    <w:rsid w:val="00802C0D"/>
    <w:rsid w:val="008056F3"/>
    <w:rsid w:val="00805B71"/>
    <w:rsid w:val="00806D61"/>
    <w:rsid w:val="008070E9"/>
    <w:rsid w:val="00815A8C"/>
    <w:rsid w:val="00816141"/>
    <w:rsid w:val="00816A7A"/>
    <w:rsid w:val="00816D85"/>
    <w:rsid w:val="0082315A"/>
    <w:rsid w:val="00826198"/>
    <w:rsid w:val="00826E35"/>
    <w:rsid w:val="00827BF7"/>
    <w:rsid w:val="00833200"/>
    <w:rsid w:val="0083396C"/>
    <w:rsid w:val="008409A4"/>
    <w:rsid w:val="00841463"/>
    <w:rsid w:val="00843751"/>
    <w:rsid w:val="00850E5B"/>
    <w:rsid w:val="00854E7A"/>
    <w:rsid w:val="00857A14"/>
    <w:rsid w:val="00865B34"/>
    <w:rsid w:val="0087215D"/>
    <w:rsid w:val="0087228C"/>
    <w:rsid w:val="00872D43"/>
    <w:rsid w:val="00880018"/>
    <w:rsid w:val="00881F21"/>
    <w:rsid w:val="00883657"/>
    <w:rsid w:val="008837DC"/>
    <w:rsid w:val="00884195"/>
    <w:rsid w:val="00887DEF"/>
    <w:rsid w:val="00892CCF"/>
    <w:rsid w:val="008946AC"/>
    <w:rsid w:val="00896002"/>
    <w:rsid w:val="008A7AB3"/>
    <w:rsid w:val="008B1083"/>
    <w:rsid w:val="008B2E06"/>
    <w:rsid w:val="008B426A"/>
    <w:rsid w:val="008B6A85"/>
    <w:rsid w:val="008B7AC6"/>
    <w:rsid w:val="008D0354"/>
    <w:rsid w:val="008D1254"/>
    <w:rsid w:val="008D321D"/>
    <w:rsid w:val="008D5103"/>
    <w:rsid w:val="008E124A"/>
    <w:rsid w:val="008E2558"/>
    <w:rsid w:val="008E2671"/>
    <w:rsid w:val="008E2D9B"/>
    <w:rsid w:val="008E320A"/>
    <w:rsid w:val="008E422B"/>
    <w:rsid w:val="008E6106"/>
    <w:rsid w:val="008F1150"/>
    <w:rsid w:val="008F3A37"/>
    <w:rsid w:val="008F41B4"/>
    <w:rsid w:val="008F4EAD"/>
    <w:rsid w:val="00906533"/>
    <w:rsid w:val="00907829"/>
    <w:rsid w:val="0091358F"/>
    <w:rsid w:val="0091490D"/>
    <w:rsid w:val="0092113F"/>
    <w:rsid w:val="009236DE"/>
    <w:rsid w:val="00926318"/>
    <w:rsid w:val="00926CEE"/>
    <w:rsid w:val="00927DD8"/>
    <w:rsid w:val="009318B9"/>
    <w:rsid w:val="00940887"/>
    <w:rsid w:val="009419AA"/>
    <w:rsid w:val="009419CD"/>
    <w:rsid w:val="00942EC7"/>
    <w:rsid w:val="00943299"/>
    <w:rsid w:val="00946953"/>
    <w:rsid w:val="00947A65"/>
    <w:rsid w:val="009546A6"/>
    <w:rsid w:val="00957AB8"/>
    <w:rsid w:val="00961E21"/>
    <w:rsid w:val="00962DF4"/>
    <w:rsid w:val="00965378"/>
    <w:rsid w:val="009674C9"/>
    <w:rsid w:val="0097627B"/>
    <w:rsid w:val="00976E1F"/>
    <w:rsid w:val="009854C5"/>
    <w:rsid w:val="009856E6"/>
    <w:rsid w:val="00990967"/>
    <w:rsid w:val="00994C75"/>
    <w:rsid w:val="00995C19"/>
    <w:rsid w:val="00996F61"/>
    <w:rsid w:val="009A04A0"/>
    <w:rsid w:val="009A0657"/>
    <w:rsid w:val="009A4FC5"/>
    <w:rsid w:val="009A52EF"/>
    <w:rsid w:val="009A7042"/>
    <w:rsid w:val="009C4F3F"/>
    <w:rsid w:val="009C5629"/>
    <w:rsid w:val="009C5B81"/>
    <w:rsid w:val="009E08A4"/>
    <w:rsid w:val="009E27BA"/>
    <w:rsid w:val="009E6DB9"/>
    <w:rsid w:val="009E74B2"/>
    <w:rsid w:val="009F006D"/>
    <w:rsid w:val="009F0C33"/>
    <w:rsid w:val="009F49F5"/>
    <w:rsid w:val="009F6692"/>
    <w:rsid w:val="00A00BEB"/>
    <w:rsid w:val="00A04032"/>
    <w:rsid w:val="00A061D5"/>
    <w:rsid w:val="00A06859"/>
    <w:rsid w:val="00A106E2"/>
    <w:rsid w:val="00A1121A"/>
    <w:rsid w:val="00A1568C"/>
    <w:rsid w:val="00A2016F"/>
    <w:rsid w:val="00A22B8B"/>
    <w:rsid w:val="00A26490"/>
    <w:rsid w:val="00A27EC6"/>
    <w:rsid w:val="00A30A28"/>
    <w:rsid w:val="00A33EF8"/>
    <w:rsid w:val="00A504C3"/>
    <w:rsid w:val="00A57215"/>
    <w:rsid w:val="00A60D91"/>
    <w:rsid w:val="00A61847"/>
    <w:rsid w:val="00A629D8"/>
    <w:rsid w:val="00A63B46"/>
    <w:rsid w:val="00A664DF"/>
    <w:rsid w:val="00A674E0"/>
    <w:rsid w:val="00A71D6C"/>
    <w:rsid w:val="00A7267D"/>
    <w:rsid w:val="00A72F4A"/>
    <w:rsid w:val="00A73016"/>
    <w:rsid w:val="00A833A9"/>
    <w:rsid w:val="00A84C10"/>
    <w:rsid w:val="00A85379"/>
    <w:rsid w:val="00A879FA"/>
    <w:rsid w:val="00A918F2"/>
    <w:rsid w:val="00A92D9F"/>
    <w:rsid w:val="00AA04B9"/>
    <w:rsid w:val="00AA1A48"/>
    <w:rsid w:val="00AA41FA"/>
    <w:rsid w:val="00AA7096"/>
    <w:rsid w:val="00AB4725"/>
    <w:rsid w:val="00AB7AFD"/>
    <w:rsid w:val="00AC4029"/>
    <w:rsid w:val="00AC673C"/>
    <w:rsid w:val="00AD24B0"/>
    <w:rsid w:val="00AD4D4A"/>
    <w:rsid w:val="00AE48CA"/>
    <w:rsid w:val="00AE7E9E"/>
    <w:rsid w:val="00AF1580"/>
    <w:rsid w:val="00AF3B78"/>
    <w:rsid w:val="00AF3FA1"/>
    <w:rsid w:val="00AF6543"/>
    <w:rsid w:val="00AF7E8A"/>
    <w:rsid w:val="00B006DE"/>
    <w:rsid w:val="00B012CE"/>
    <w:rsid w:val="00B0276F"/>
    <w:rsid w:val="00B02D26"/>
    <w:rsid w:val="00B12030"/>
    <w:rsid w:val="00B25AB2"/>
    <w:rsid w:val="00B31CF4"/>
    <w:rsid w:val="00B32DE8"/>
    <w:rsid w:val="00B33404"/>
    <w:rsid w:val="00B358B3"/>
    <w:rsid w:val="00B361CA"/>
    <w:rsid w:val="00B37B97"/>
    <w:rsid w:val="00B422BA"/>
    <w:rsid w:val="00B45F73"/>
    <w:rsid w:val="00B50445"/>
    <w:rsid w:val="00B57AAC"/>
    <w:rsid w:val="00B6572E"/>
    <w:rsid w:val="00B75914"/>
    <w:rsid w:val="00B75EF9"/>
    <w:rsid w:val="00B77785"/>
    <w:rsid w:val="00B82D06"/>
    <w:rsid w:val="00B85DCC"/>
    <w:rsid w:val="00B94F2D"/>
    <w:rsid w:val="00BA0381"/>
    <w:rsid w:val="00BA218B"/>
    <w:rsid w:val="00BA24CA"/>
    <w:rsid w:val="00BA49CF"/>
    <w:rsid w:val="00BA4F17"/>
    <w:rsid w:val="00BA62F5"/>
    <w:rsid w:val="00BB2071"/>
    <w:rsid w:val="00BB2633"/>
    <w:rsid w:val="00BC0560"/>
    <w:rsid w:val="00BC0765"/>
    <w:rsid w:val="00BC454F"/>
    <w:rsid w:val="00BC6205"/>
    <w:rsid w:val="00BC693F"/>
    <w:rsid w:val="00BC7FE7"/>
    <w:rsid w:val="00BD0004"/>
    <w:rsid w:val="00BD0D43"/>
    <w:rsid w:val="00BD479F"/>
    <w:rsid w:val="00BD5B4F"/>
    <w:rsid w:val="00BD6F0A"/>
    <w:rsid w:val="00BE0584"/>
    <w:rsid w:val="00BE794B"/>
    <w:rsid w:val="00BF0EC9"/>
    <w:rsid w:val="00BF62E8"/>
    <w:rsid w:val="00C00B35"/>
    <w:rsid w:val="00C00F42"/>
    <w:rsid w:val="00C01259"/>
    <w:rsid w:val="00C0268E"/>
    <w:rsid w:val="00C02A56"/>
    <w:rsid w:val="00C03545"/>
    <w:rsid w:val="00C05196"/>
    <w:rsid w:val="00C074FB"/>
    <w:rsid w:val="00C117B8"/>
    <w:rsid w:val="00C14ECE"/>
    <w:rsid w:val="00C16103"/>
    <w:rsid w:val="00C16676"/>
    <w:rsid w:val="00C24CB5"/>
    <w:rsid w:val="00C26817"/>
    <w:rsid w:val="00C26941"/>
    <w:rsid w:val="00C27914"/>
    <w:rsid w:val="00C3116B"/>
    <w:rsid w:val="00C316A5"/>
    <w:rsid w:val="00C34244"/>
    <w:rsid w:val="00C36D72"/>
    <w:rsid w:val="00C37394"/>
    <w:rsid w:val="00C37DCB"/>
    <w:rsid w:val="00C42907"/>
    <w:rsid w:val="00C43F81"/>
    <w:rsid w:val="00C45D32"/>
    <w:rsid w:val="00C478A3"/>
    <w:rsid w:val="00C50C92"/>
    <w:rsid w:val="00C54485"/>
    <w:rsid w:val="00C552BA"/>
    <w:rsid w:val="00C56947"/>
    <w:rsid w:val="00C5742C"/>
    <w:rsid w:val="00C704F1"/>
    <w:rsid w:val="00C73104"/>
    <w:rsid w:val="00C764F2"/>
    <w:rsid w:val="00C81582"/>
    <w:rsid w:val="00C839E0"/>
    <w:rsid w:val="00C85F74"/>
    <w:rsid w:val="00C87C94"/>
    <w:rsid w:val="00C9071C"/>
    <w:rsid w:val="00C95CE3"/>
    <w:rsid w:val="00CA040B"/>
    <w:rsid w:val="00CA0E7C"/>
    <w:rsid w:val="00CA4A55"/>
    <w:rsid w:val="00CA711A"/>
    <w:rsid w:val="00CB1FB6"/>
    <w:rsid w:val="00CB667E"/>
    <w:rsid w:val="00CB70CD"/>
    <w:rsid w:val="00CB7B66"/>
    <w:rsid w:val="00CC1955"/>
    <w:rsid w:val="00CC2865"/>
    <w:rsid w:val="00CC50CE"/>
    <w:rsid w:val="00CC5A1D"/>
    <w:rsid w:val="00CD0A7E"/>
    <w:rsid w:val="00CD2770"/>
    <w:rsid w:val="00CD3F86"/>
    <w:rsid w:val="00CD4851"/>
    <w:rsid w:val="00CD5489"/>
    <w:rsid w:val="00CD68B1"/>
    <w:rsid w:val="00CD7FF2"/>
    <w:rsid w:val="00CE1620"/>
    <w:rsid w:val="00CE40E5"/>
    <w:rsid w:val="00CE7632"/>
    <w:rsid w:val="00CE7ED2"/>
    <w:rsid w:val="00CF106E"/>
    <w:rsid w:val="00CF2FC7"/>
    <w:rsid w:val="00CF5800"/>
    <w:rsid w:val="00CF6711"/>
    <w:rsid w:val="00CF6740"/>
    <w:rsid w:val="00CF6CE0"/>
    <w:rsid w:val="00D001EB"/>
    <w:rsid w:val="00D00B4C"/>
    <w:rsid w:val="00D06C32"/>
    <w:rsid w:val="00D1193C"/>
    <w:rsid w:val="00D1410C"/>
    <w:rsid w:val="00D16C5E"/>
    <w:rsid w:val="00D16EE1"/>
    <w:rsid w:val="00D21861"/>
    <w:rsid w:val="00D222AE"/>
    <w:rsid w:val="00D24904"/>
    <w:rsid w:val="00D302DD"/>
    <w:rsid w:val="00D31CD8"/>
    <w:rsid w:val="00D443BB"/>
    <w:rsid w:val="00D44A22"/>
    <w:rsid w:val="00D45BD6"/>
    <w:rsid w:val="00D47DB9"/>
    <w:rsid w:val="00D51F33"/>
    <w:rsid w:val="00D55786"/>
    <w:rsid w:val="00D56718"/>
    <w:rsid w:val="00D6154E"/>
    <w:rsid w:val="00D635A4"/>
    <w:rsid w:val="00D657D1"/>
    <w:rsid w:val="00D66A56"/>
    <w:rsid w:val="00D70A9F"/>
    <w:rsid w:val="00D7188C"/>
    <w:rsid w:val="00D728F5"/>
    <w:rsid w:val="00D74FF1"/>
    <w:rsid w:val="00D77A03"/>
    <w:rsid w:val="00D77D30"/>
    <w:rsid w:val="00D80A41"/>
    <w:rsid w:val="00D82196"/>
    <w:rsid w:val="00D837D8"/>
    <w:rsid w:val="00D8510C"/>
    <w:rsid w:val="00D8728D"/>
    <w:rsid w:val="00D91CFA"/>
    <w:rsid w:val="00D929A9"/>
    <w:rsid w:val="00D935FF"/>
    <w:rsid w:val="00DA02ED"/>
    <w:rsid w:val="00DA042C"/>
    <w:rsid w:val="00DA1235"/>
    <w:rsid w:val="00DA6FF7"/>
    <w:rsid w:val="00DA7EC8"/>
    <w:rsid w:val="00DA7F21"/>
    <w:rsid w:val="00DB00D6"/>
    <w:rsid w:val="00DB4CB8"/>
    <w:rsid w:val="00DB7144"/>
    <w:rsid w:val="00DC07D1"/>
    <w:rsid w:val="00DC0D93"/>
    <w:rsid w:val="00DC2174"/>
    <w:rsid w:val="00DC5B29"/>
    <w:rsid w:val="00DC7B15"/>
    <w:rsid w:val="00DD2ECF"/>
    <w:rsid w:val="00DD620F"/>
    <w:rsid w:val="00DE3D3D"/>
    <w:rsid w:val="00DE4071"/>
    <w:rsid w:val="00DF047D"/>
    <w:rsid w:val="00DF2081"/>
    <w:rsid w:val="00DF229E"/>
    <w:rsid w:val="00DF2B96"/>
    <w:rsid w:val="00DF5741"/>
    <w:rsid w:val="00DF7D02"/>
    <w:rsid w:val="00E05173"/>
    <w:rsid w:val="00E05881"/>
    <w:rsid w:val="00E06C86"/>
    <w:rsid w:val="00E10773"/>
    <w:rsid w:val="00E10C68"/>
    <w:rsid w:val="00E12EC6"/>
    <w:rsid w:val="00E1692B"/>
    <w:rsid w:val="00E22A3D"/>
    <w:rsid w:val="00E2597D"/>
    <w:rsid w:val="00E27599"/>
    <w:rsid w:val="00E2793B"/>
    <w:rsid w:val="00E324D5"/>
    <w:rsid w:val="00E331AF"/>
    <w:rsid w:val="00E41DC0"/>
    <w:rsid w:val="00E44657"/>
    <w:rsid w:val="00E45232"/>
    <w:rsid w:val="00E46084"/>
    <w:rsid w:val="00E535EE"/>
    <w:rsid w:val="00E53DE9"/>
    <w:rsid w:val="00E55C16"/>
    <w:rsid w:val="00E566E7"/>
    <w:rsid w:val="00E60571"/>
    <w:rsid w:val="00E63904"/>
    <w:rsid w:val="00E735C9"/>
    <w:rsid w:val="00E82572"/>
    <w:rsid w:val="00E843BC"/>
    <w:rsid w:val="00E9099B"/>
    <w:rsid w:val="00E91555"/>
    <w:rsid w:val="00E927B0"/>
    <w:rsid w:val="00E93497"/>
    <w:rsid w:val="00E940C9"/>
    <w:rsid w:val="00E95291"/>
    <w:rsid w:val="00E96F59"/>
    <w:rsid w:val="00E97E9E"/>
    <w:rsid w:val="00EA084D"/>
    <w:rsid w:val="00EA77CA"/>
    <w:rsid w:val="00EA786C"/>
    <w:rsid w:val="00EB0363"/>
    <w:rsid w:val="00EB2BC6"/>
    <w:rsid w:val="00EB6DAE"/>
    <w:rsid w:val="00EC0DC7"/>
    <w:rsid w:val="00EC4E44"/>
    <w:rsid w:val="00EC6AFC"/>
    <w:rsid w:val="00EE3883"/>
    <w:rsid w:val="00EE6867"/>
    <w:rsid w:val="00EE69FB"/>
    <w:rsid w:val="00EF01EE"/>
    <w:rsid w:val="00EF1ECB"/>
    <w:rsid w:val="00EF2817"/>
    <w:rsid w:val="00EF611D"/>
    <w:rsid w:val="00F00EB9"/>
    <w:rsid w:val="00F01152"/>
    <w:rsid w:val="00F01633"/>
    <w:rsid w:val="00F105AF"/>
    <w:rsid w:val="00F12898"/>
    <w:rsid w:val="00F1510B"/>
    <w:rsid w:val="00F16371"/>
    <w:rsid w:val="00F16D32"/>
    <w:rsid w:val="00F21483"/>
    <w:rsid w:val="00F2172F"/>
    <w:rsid w:val="00F32F6B"/>
    <w:rsid w:val="00F40158"/>
    <w:rsid w:val="00F411C7"/>
    <w:rsid w:val="00F42848"/>
    <w:rsid w:val="00F45571"/>
    <w:rsid w:val="00F45B38"/>
    <w:rsid w:val="00F45E47"/>
    <w:rsid w:val="00F4718C"/>
    <w:rsid w:val="00F47876"/>
    <w:rsid w:val="00F479C3"/>
    <w:rsid w:val="00F5654D"/>
    <w:rsid w:val="00F56A23"/>
    <w:rsid w:val="00F6280E"/>
    <w:rsid w:val="00F63E36"/>
    <w:rsid w:val="00F67343"/>
    <w:rsid w:val="00F712E7"/>
    <w:rsid w:val="00F7397D"/>
    <w:rsid w:val="00F73DC0"/>
    <w:rsid w:val="00F75160"/>
    <w:rsid w:val="00F76753"/>
    <w:rsid w:val="00F768FB"/>
    <w:rsid w:val="00F77474"/>
    <w:rsid w:val="00F820BA"/>
    <w:rsid w:val="00F823CC"/>
    <w:rsid w:val="00F82431"/>
    <w:rsid w:val="00F82508"/>
    <w:rsid w:val="00F854A0"/>
    <w:rsid w:val="00F86705"/>
    <w:rsid w:val="00F91BCC"/>
    <w:rsid w:val="00F92211"/>
    <w:rsid w:val="00F92D5A"/>
    <w:rsid w:val="00F93E01"/>
    <w:rsid w:val="00FB0BED"/>
    <w:rsid w:val="00FB178C"/>
    <w:rsid w:val="00FB4AA3"/>
    <w:rsid w:val="00FC05F2"/>
    <w:rsid w:val="00FD2094"/>
    <w:rsid w:val="00FD35F9"/>
    <w:rsid w:val="00FD69BE"/>
    <w:rsid w:val="00FD7255"/>
    <w:rsid w:val="00FE4EB4"/>
    <w:rsid w:val="00FF6B58"/>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0D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0B"/>
    <w:pPr>
      <w:ind w:left="720"/>
      <w:contextualSpacing/>
    </w:pPr>
    <w:rPr>
      <w:rFonts w:ascii="Times New Roman" w:hAnsi="Times New Roman"/>
      <w:sz w:val="24"/>
    </w:rPr>
  </w:style>
  <w:style w:type="character" w:styleId="Hyperlink">
    <w:name w:val="Hyperlink"/>
    <w:uiPriority w:val="99"/>
    <w:unhideWhenUsed/>
    <w:rsid w:val="00CA040B"/>
    <w:rPr>
      <w:rFonts w:ascii="Segoe UI" w:hAnsi="Segoe UI"/>
      <w:color w:val="7FBA00"/>
      <w:sz w:val="20"/>
      <w:u w:val="none"/>
    </w:rPr>
  </w:style>
  <w:style w:type="paragraph" w:styleId="NoSpacing">
    <w:name w:val="No Spacing"/>
    <w:uiPriority w:val="1"/>
    <w:qFormat/>
    <w:rsid w:val="00CA040B"/>
    <w:pPr>
      <w:spacing w:after="0" w:line="240" w:lineRule="auto"/>
    </w:pPr>
    <w:rPr>
      <w:rFonts w:ascii="Calibri" w:eastAsia="Calibri" w:hAnsi="Calibri" w:cs="Times New Roman"/>
    </w:rPr>
  </w:style>
  <w:style w:type="paragraph" w:styleId="NormalWeb">
    <w:name w:val="Normal (Web)"/>
    <w:basedOn w:val="Normal"/>
    <w:link w:val="NormalWebChar"/>
    <w:uiPriority w:val="99"/>
    <w:rsid w:val="00CA040B"/>
    <w:pPr>
      <w:spacing w:before="100" w:beforeAutospacing="1" w:after="100" w:afterAutospacing="1" w:line="240" w:lineRule="auto"/>
      <w:jc w:val="both"/>
    </w:pPr>
    <w:rPr>
      <w:rFonts w:ascii="Arial" w:eastAsia="Times New Roman" w:hAnsi="Arial"/>
      <w:sz w:val="24"/>
      <w:szCs w:val="24"/>
    </w:rPr>
  </w:style>
  <w:style w:type="character" w:styleId="FollowedHyperlink">
    <w:name w:val="FollowedHyperlink"/>
    <w:uiPriority w:val="99"/>
    <w:unhideWhenUsed/>
    <w:rsid w:val="00CA040B"/>
    <w:rPr>
      <w:rFonts w:ascii="Segoe UI" w:hAnsi="Segoe UI"/>
      <w:color w:val="7FBA00"/>
      <w:sz w:val="20"/>
      <w:u w:val="none"/>
    </w:rPr>
  </w:style>
  <w:style w:type="character" w:styleId="CommentReference">
    <w:name w:val="annotation reference"/>
    <w:uiPriority w:val="99"/>
    <w:semiHidden/>
    <w:unhideWhenUsed/>
    <w:rsid w:val="00CA040B"/>
    <w:rPr>
      <w:sz w:val="16"/>
      <w:szCs w:val="16"/>
    </w:rPr>
  </w:style>
  <w:style w:type="paragraph" w:styleId="CommentText">
    <w:name w:val="annotation text"/>
    <w:basedOn w:val="Normal"/>
    <w:link w:val="CommentTextChar"/>
    <w:uiPriority w:val="99"/>
    <w:semiHidden/>
    <w:unhideWhenUsed/>
    <w:rsid w:val="00CA040B"/>
    <w:pPr>
      <w:spacing w:line="240" w:lineRule="auto"/>
    </w:pPr>
    <w:rPr>
      <w:sz w:val="20"/>
      <w:szCs w:val="20"/>
    </w:rPr>
  </w:style>
  <w:style w:type="character" w:customStyle="1" w:styleId="CommentTextChar">
    <w:name w:val="Comment Text Char"/>
    <w:basedOn w:val="DefaultParagraphFont"/>
    <w:link w:val="CommentText"/>
    <w:uiPriority w:val="99"/>
    <w:semiHidden/>
    <w:rsid w:val="00CA040B"/>
    <w:rPr>
      <w:rFonts w:ascii="Calibri" w:eastAsia="Calibri" w:hAnsi="Calibri" w:cs="Times New Roman"/>
      <w:sz w:val="20"/>
      <w:szCs w:val="20"/>
    </w:rPr>
  </w:style>
  <w:style w:type="character" w:customStyle="1" w:styleId="NormalWebChar">
    <w:name w:val="Normal (Web) Char"/>
    <w:link w:val="NormalWeb"/>
    <w:uiPriority w:val="99"/>
    <w:rsid w:val="00CA040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A0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0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D35F9"/>
    <w:rPr>
      <w:b/>
      <w:bCs/>
    </w:rPr>
  </w:style>
  <w:style w:type="character" w:customStyle="1" w:styleId="CommentSubjectChar">
    <w:name w:val="Comment Subject Char"/>
    <w:basedOn w:val="CommentTextChar"/>
    <w:link w:val="CommentSubject"/>
    <w:uiPriority w:val="99"/>
    <w:semiHidden/>
    <w:rsid w:val="00FD35F9"/>
    <w:rPr>
      <w:rFonts w:ascii="Calibri" w:eastAsia="Calibri" w:hAnsi="Calibri" w:cs="Times New Roman"/>
      <w:b/>
      <w:bCs/>
      <w:sz w:val="20"/>
      <w:szCs w:val="20"/>
    </w:rPr>
  </w:style>
  <w:style w:type="paragraph" w:styleId="Revision">
    <w:name w:val="Revision"/>
    <w:hidden/>
    <w:uiPriority w:val="99"/>
    <w:semiHidden/>
    <w:rsid w:val="00BA4F17"/>
    <w:pPr>
      <w:spacing w:after="0" w:line="240" w:lineRule="auto"/>
    </w:pPr>
    <w:rPr>
      <w:rFonts w:ascii="Calibri" w:eastAsia="Calibri" w:hAnsi="Calibri" w:cs="Times New Roman"/>
    </w:rPr>
  </w:style>
  <w:style w:type="paragraph" w:customStyle="1" w:styleId="rrdsinglerule">
    <w:name w:val="rrdsinglerule"/>
    <w:basedOn w:val="Normal"/>
    <w:next w:val="Normal"/>
    <w:rsid w:val="00A60D91"/>
    <w:pPr>
      <w:pBdr>
        <w:top w:val="single" w:sz="6" w:space="0" w:color="000000"/>
      </w:pBdr>
      <w:spacing w:before="20" w:after="0" w:line="20" w:lineRule="exact"/>
      <w:jc w:val="right"/>
    </w:pPr>
    <w:rPr>
      <w:rFonts w:ascii="Arial" w:eastAsia="Times New Roman" w:hAnsi="Arial"/>
      <w:sz w:val="8"/>
      <w:szCs w:val="8"/>
    </w:rPr>
  </w:style>
  <w:style w:type="paragraph" w:customStyle="1" w:styleId="la2">
    <w:name w:val="la2"/>
    <w:basedOn w:val="Normal"/>
    <w:next w:val="Normal"/>
    <w:rsid w:val="00A60D91"/>
    <w:pPr>
      <w:spacing w:after="0" w:line="40" w:lineRule="exact"/>
    </w:pPr>
    <w:rPr>
      <w:rFonts w:ascii="Times New Roman" w:eastAsia="Times New Roman" w:hAnsi="Times New Roman"/>
      <w:noProof/>
      <w:sz w:val="8"/>
      <w:szCs w:val="8"/>
    </w:rPr>
  </w:style>
  <w:style w:type="paragraph" w:styleId="Header">
    <w:name w:val="header"/>
    <w:basedOn w:val="Normal"/>
    <w:link w:val="HeaderChar"/>
    <w:uiPriority w:val="99"/>
    <w:unhideWhenUsed/>
    <w:rsid w:val="002C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83"/>
    <w:rPr>
      <w:rFonts w:ascii="Calibri" w:eastAsia="Calibri" w:hAnsi="Calibri" w:cs="Times New Roman"/>
    </w:rPr>
  </w:style>
  <w:style w:type="paragraph" w:styleId="Footer">
    <w:name w:val="footer"/>
    <w:basedOn w:val="Normal"/>
    <w:link w:val="FooterChar"/>
    <w:uiPriority w:val="99"/>
    <w:unhideWhenUsed/>
    <w:rsid w:val="002C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481">
      <w:bodyDiv w:val="1"/>
      <w:marLeft w:val="0"/>
      <w:marRight w:val="0"/>
      <w:marTop w:val="0"/>
      <w:marBottom w:val="0"/>
      <w:divBdr>
        <w:top w:val="none" w:sz="0" w:space="0" w:color="auto"/>
        <w:left w:val="none" w:sz="0" w:space="0" w:color="auto"/>
        <w:bottom w:val="none" w:sz="0" w:space="0" w:color="auto"/>
        <w:right w:val="none" w:sz="0" w:space="0" w:color="auto"/>
      </w:divBdr>
    </w:div>
    <w:div w:id="191040098">
      <w:bodyDiv w:val="1"/>
      <w:marLeft w:val="0"/>
      <w:marRight w:val="0"/>
      <w:marTop w:val="0"/>
      <w:marBottom w:val="0"/>
      <w:divBdr>
        <w:top w:val="none" w:sz="0" w:space="0" w:color="auto"/>
        <w:left w:val="none" w:sz="0" w:space="0" w:color="auto"/>
        <w:bottom w:val="none" w:sz="0" w:space="0" w:color="auto"/>
        <w:right w:val="none" w:sz="0" w:space="0" w:color="auto"/>
      </w:divBdr>
    </w:div>
    <w:div w:id="198860547">
      <w:bodyDiv w:val="1"/>
      <w:marLeft w:val="0"/>
      <w:marRight w:val="0"/>
      <w:marTop w:val="0"/>
      <w:marBottom w:val="0"/>
      <w:divBdr>
        <w:top w:val="none" w:sz="0" w:space="0" w:color="auto"/>
        <w:left w:val="none" w:sz="0" w:space="0" w:color="auto"/>
        <w:bottom w:val="none" w:sz="0" w:space="0" w:color="auto"/>
        <w:right w:val="none" w:sz="0" w:space="0" w:color="auto"/>
      </w:divBdr>
    </w:div>
    <w:div w:id="238176184">
      <w:bodyDiv w:val="1"/>
      <w:marLeft w:val="0"/>
      <w:marRight w:val="0"/>
      <w:marTop w:val="0"/>
      <w:marBottom w:val="0"/>
      <w:divBdr>
        <w:top w:val="none" w:sz="0" w:space="0" w:color="auto"/>
        <w:left w:val="none" w:sz="0" w:space="0" w:color="auto"/>
        <w:bottom w:val="none" w:sz="0" w:space="0" w:color="auto"/>
        <w:right w:val="none" w:sz="0" w:space="0" w:color="auto"/>
      </w:divBdr>
    </w:div>
    <w:div w:id="279844571">
      <w:bodyDiv w:val="1"/>
      <w:marLeft w:val="0"/>
      <w:marRight w:val="0"/>
      <w:marTop w:val="0"/>
      <w:marBottom w:val="0"/>
      <w:divBdr>
        <w:top w:val="none" w:sz="0" w:space="0" w:color="auto"/>
        <w:left w:val="none" w:sz="0" w:space="0" w:color="auto"/>
        <w:bottom w:val="none" w:sz="0" w:space="0" w:color="auto"/>
        <w:right w:val="none" w:sz="0" w:space="0" w:color="auto"/>
      </w:divBdr>
    </w:div>
    <w:div w:id="288976107">
      <w:bodyDiv w:val="1"/>
      <w:marLeft w:val="0"/>
      <w:marRight w:val="0"/>
      <w:marTop w:val="0"/>
      <w:marBottom w:val="0"/>
      <w:divBdr>
        <w:top w:val="none" w:sz="0" w:space="0" w:color="auto"/>
        <w:left w:val="none" w:sz="0" w:space="0" w:color="auto"/>
        <w:bottom w:val="none" w:sz="0" w:space="0" w:color="auto"/>
        <w:right w:val="none" w:sz="0" w:space="0" w:color="auto"/>
      </w:divBdr>
    </w:div>
    <w:div w:id="314140026">
      <w:bodyDiv w:val="1"/>
      <w:marLeft w:val="0"/>
      <w:marRight w:val="0"/>
      <w:marTop w:val="0"/>
      <w:marBottom w:val="0"/>
      <w:divBdr>
        <w:top w:val="none" w:sz="0" w:space="0" w:color="auto"/>
        <w:left w:val="none" w:sz="0" w:space="0" w:color="auto"/>
        <w:bottom w:val="none" w:sz="0" w:space="0" w:color="auto"/>
        <w:right w:val="none" w:sz="0" w:space="0" w:color="auto"/>
      </w:divBdr>
    </w:div>
    <w:div w:id="341127552">
      <w:bodyDiv w:val="1"/>
      <w:marLeft w:val="0"/>
      <w:marRight w:val="0"/>
      <w:marTop w:val="0"/>
      <w:marBottom w:val="0"/>
      <w:divBdr>
        <w:top w:val="none" w:sz="0" w:space="0" w:color="auto"/>
        <w:left w:val="none" w:sz="0" w:space="0" w:color="auto"/>
        <w:bottom w:val="none" w:sz="0" w:space="0" w:color="auto"/>
        <w:right w:val="none" w:sz="0" w:space="0" w:color="auto"/>
      </w:divBdr>
    </w:div>
    <w:div w:id="359167426">
      <w:bodyDiv w:val="1"/>
      <w:marLeft w:val="0"/>
      <w:marRight w:val="0"/>
      <w:marTop w:val="0"/>
      <w:marBottom w:val="0"/>
      <w:divBdr>
        <w:top w:val="none" w:sz="0" w:space="0" w:color="auto"/>
        <w:left w:val="none" w:sz="0" w:space="0" w:color="auto"/>
        <w:bottom w:val="none" w:sz="0" w:space="0" w:color="auto"/>
        <w:right w:val="none" w:sz="0" w:space="0" w:color="auto"/>
      </w:divBdr>
    </w:div>
    <w:div w:id="385757776">
      <w:bodyDiv w:val="1"/>
      <w:marLeft w:val="0"/>
      <w:marRight w:val="0"/>
      <w:marTop w:val="0"/>
      <w:marBottom w:val="0"/>
      <w:divBdr>
        <w:top w:val="none" w:sz="0" w:space="0" w:color="auto"/>
        <w:left w:val="none" w:sz="0" w:space="0" w:color="auto"/>
        <w:bottom w:val="none" w:sz="0" w:space="0" w:color="auto"/>
        <w:right w:val="none" w:sz="0" w:space="0" w:color="auto"/>
      </w:divBdr>
    </w:div>
    <w:div w:id="391856271">
      <w:bodyDiv w:val="1"/>
      <w:marLeft w:val="0"/>
      <w:marRight w:val="0"/>
      <w:marTop w:val="0"/>
      <w:marBottom w:val="0"/>
      <w:divBdr>
        <w:top w:val="none" w:sz="0" w:space="0" w:color="auto"/>
        <w:left w:val="none" w:sz="0" w:space="0" w:color="auto"/>
        <w:bottom w:val="none" w:sz="0" w:space="0" w:color="auto"/>
        <w:right w:val="none" w:sz="0" w:space="0" w:color="auto"/>
      </w:divBdr>
    </w:div>
    <w:div w:id="403646010">
      <w:bodyDiv w:val="1"/>
      <w:marLeft w:val="0"/>
      <w:marRight w:val="0"/>
      <w:marTop w:val="0"/>
      <w:marBottom w:val="0"/>
      <w:divBdr>
        <w:top w:val="none" w:sz="0" w:space="0" w:color="auto"/>
        <w:left w:val="none" w:sz="0" w:space="0" w:color="auto"/>
        <w:bottom w:val="none" w:sz="0" w:space="0" w:color="auto"/>
        <w:right w:val="none" w:sz="0" w:space="0" w:color="auto"/>
      </w:divBdr>
    </w:div>
    <w:div w:id="448397646">
      <w:bodyDiv w:val="1"/>
      <w:marLeft w:val="0"/>
      <w:marRight w:val="0"/>
      <w:marTop w:val="0"/>
      <w:marBottom w:val="0"/>
      <w:divBdr>
        <w:top w:val="none" w:sz="0" w:space="0" w:color="auto"/>
        <w:left w:val="none" w:sz="0" w:space="0" w:color="auto"/>
        <w:bottom w:val="none" w:sz="0" w:space="0" w:color="auto"/>
        <w:right w:val="none" w:sz="0" w:space="0" w:color="auto"/>
      </w:divBdr>
    </w:div>
    <w:div w:id="455374461">
      <w:bodyDiv w:val="1"/>
      <w:marLeft w:val="0"/>
      <w:marRight w:val="0"/>
      <w:marTop w:val="0"/>
      <w:marBottom w:val="0"/>
      <w:divBdr>
        <w:top w:val="none" w:sz="0" w:space="0" w:color="auto"/>
        <w:left w:val="none" w:sz="0" w:space="0" w:color="auto"/>
        <w:bottom w:val="none" w:sz="0" w:space="0" w:color="auto"/>
        <w:right w:val="none" w:sz="0" w:space="0" w:color="auto"/>
      </w:divBdr>
    </w:div>
    <w:div w:id="466944546">
      <w:bodyDiv w:val="1"/>
      <w:marLeft w:val="0"/>
      <w:marRight w:val="0"/>
      <w:marTop w:val="0"/>
      <w:marBottom w:val="0"/>
      <w:divBdr>
        <w:top w:val="none" w:sz="0" w:space="0" w:color="auto"/>
        <w:left w:val="none" w:sz="0" w:space="0" w:color="auto"/>
        <w:bottom w:val="none" w:sz="0" w:space="0" w:color="auto"/>
        <w:right w:val="none" w:sz="0" w:space="0" w:color="auto"/>
      </w:divBdr>
    </w:div>
    <w:div w:id="509367673">
      <w:bodyDiv w:val="1"/>
      <w:marLeft w:val="0"/>
      <w:marRight w:val="0"/>
      <w:marTop w:val="0"/>
      <w:marBottom w:val="0"/>
      <w:divBdr>
        <w:top w:val="none" w:sz="0" w:space="0" w:color="auto"/>
        <w:left w:val="none" w:sz="0" w:space="0" w:color="auto"/>
        <w:bottom w:val="none" w:sz="0" w:space="0" w:color="auto"/>
        <w:right w:val="none" w:sz="0" w:space="0" w:color="auto"/>
      </w:divBdr>
    </w:div>
    <w:div w:id="544564346">
      <w:bodyDiv w:val="1"/>
      <w:marLeft w:val="0"/>
      <w:marRight w:val="0"/>
      <w:marTop w:val="0"/>
      <w:marBottom w:val="0"/>
      <w:divBdr>
        <w:top w:val="none" w:sz="0" w:space="0" w:color="auto"/>
        <w:left w:val="none" w:sz="0" w:space="0" w:color="auto"/>
        <w:bottom w:val="none" w:sz="0" w:space="0" w:color="auto"/>
        <w:right w:val="none" w:sz="0" w:space="0" w:color="auto"/>
      </w:divBdr>
    </w:div>
    <w:div w:id="553583192">
      <w:bodyDiv w:val="1"/>
      <w:marLeft w:val="0"/>
      <w:marRight w:val="0"/>
      <w:marTop w:val="0"/>
      <w:marBottom w:val="0"/>
      <w:divBdr>
        <w:top w:val="none" w:sz="0" w:space="0" w:color="auto"/>
        <w:left w:val="none" w:sz="0" w:space="0" w:color="auto"/>
        <w:bottom w:val="none" w:sz="0" w:space="0" w:color="auto"/>
        <w:right w:val="none" w:sz="0" w:space="0" w:color="auto"/>
      </w:divBdr>
    </w:div>
    <w:div w:id="577792156">
      <w:bodyDiv w:val="1"/>
      <w:marLeft w:val="0"/>
      <w:marRight w:val="0"/>
      <w:marTop w:val="0"/>
      <w:marBottom w:val="0"/>
      <w:divBdr>
        <w:top w:val="none" w:sz="0" w:space="0" w:color="auto"/>
        <w:left w:val="none" w:sz="0" w:space="0" w:color="auto"/>
        <w:bottom w:val="none" w:sz="0" w:space="0" w:color="auto"/>
        <w:right w:val="none" w:sz="0" w:space="0" w:color="auto"/>
      </w:divBdr>
    </w:div>
    <w:div w:id="618873132">
      <w:bodyDiv w:val="1"/>
      <w:marLeft w:val="0"/>
      <w:marRight w:val="0"/>
      <w:marTop w:val="0"/>
      <w:marBottom w:val="0"/>
      <w:divBdr>
        <w:top w:val="none" w:sz="0" w:space="0" w:color="auto"/>
        <w:left w:val="none" w:sz="0" w:space="0" w:color="auto"/>
        <w:bottom w:val="none" w:sz="0" w:space="0" w:color="auto"/>
        <w:right w:val="none" w:sz="0" w:space="0" w:color="auto"/>
      </w:divBdr>
    </w:div>
    <w:div w:id="630474156">
      <w:bodyDiv w:val="1"/>
      <w:marLeft w:val="0"/>
      <w:marRight w:val="0"/>
      <w:marTop w:val="0"/>
      <w:marBottom w:val="0"/>
      <w:divBdr>
        <w:top w:val="none" w:sz="0" w:space="0" w:color="auto"/>
        <w:left w:val="none" w:sz="0" w:space="0" w:color="auto"/>
        <w:bottom w:val="none" w:sz="0" w:space="0" w:color="auto"/>
        <w:right w:val="none" w:sz="0" w:space="0" w:color="auto"/>
      </w:divBdr>
    </w:div>
    <w:div w:id="633609234">
      <w:bodyDiv w:val="1"/>
      <w:marLeft w:val="0"/>
      <w:marRight w:val="0"/>
      <w:marTop w:val="0"/>
      <w:marBottom w:val="0"/>
      <w:divBdr>
        <w:top w:val="none" w:sz="0" w:space="0" w:color="auto"/>
        <w:left w:val="none" w:sz="0" w:space="0" w:color="auto"/>
        <w:bottom w:val="none" w:sz="0" w:space="0" w:color="auto"/>
        <w:right w:val="none" w:sz="0" w:space="0" w:color="auto"/>
      </w:divBdr>
    </w:div>
    <w:div w:id="665983607">
      <w:bodyDiv w:val="1"/>
      <w:marLeft w:val="0"/>
      <w:marRight w:val="0"/>
      <w:marTop w:val="0"/>
      <w:marBottom w:val="0"/>
      <w:divBdr>
        <w:top w:val="none" w:sz="0" w:space="0" w:color="auto"/>
        <w:left w:val="none" w:sz="0" w:space="0" w:color="auto"/>
        <w:bottom w:val="none" w:sz="0" w:space="0" w:color="auto"/>
        <w:right w:val="none" w:sz="0" w:space="0" w:color="auto"/>
      </w:divBdr>
    </w:div>
    <w:div w:id="668367798">
      <w:bodyDiv w:val="1"/>
      <w:marLeft w:val="0"/>
      <w:marRight w:val="0"/>
      <w:marTop w:val="0"/>
      <w:marBottom w:val="0"/>
      <w:divBdr>
        <w:top w:val="none" w:sz="0" w:space="0" w:color="auto"/>
        <w:left w:val="none" w:sz="0" w:space="0" w:color="auto"/>
        <w:bottom w:val="none" w:sz="0" w:space="0" w:color="auto"/>
        <w:right w:val="none" w:sz="0" w:space="0" w:color="auto"/>
      </w:divBdr>
    </w:div>
    <w:div w:id="747652080">
      <w:bodyDiv w:val="1"/>
      <w:marLeft w:val="0"/>
      <w:marRight w:val="0"/>
      <w:marTop w:val="0"/>
      <w:marBottom w:val="0"/>
      <w:divBdr>
        <w:top w:val="none" w:sz="0" w:space="0" w:color="auto"/>
        <w:left w:val="none" w:sz="0" w:space="0" w:color="auto"/>
        <w:bottom w:val="none" w:sz="0" w:space="0" w:color="auto"/>
        <w:right w:val="none" w:sz="0" w:space="0" w:color="auto"/>
      </w:divBdr>
    </w:div>
    <w:div w:id="747653593">
      <w:bodyDiv w:val="1"/>
      <w:marLeft w:val="0"/>
      <w:marRight w:val="0"/>
      <w:marTop w:val="0"/>
      <w:marBottom w:val="0"/>
      <w:divBdr>
        <w:top w:val="none" w:sz="0" w:space="0" w:color="auto"/>
        <w:left w:val="none" w:sz="0" w:space="0" w:color="auto"/>
        <w:bottom w:val="none" w:sz="0" w:space="0" w:color="auto"/>
        <w:right w:val="none" w:sz="0" w:space="0" w:color="auto"/>
      </w:divBdr>
    </w:div>
    <w:div w:id="769544068">
      <w:bodyDiv w:val="1"/>
      <w:marLeft w:val="0"/>
      <w:marRight w:val="0"/>
      <w:marTop w:val="0"/>
      <w:marBottom w:val="0"/>
      <w:divBdr>
        <w:top w:val="none" w:sz="0" w:space="0" w:color="auto"/>
        <w:left w:val="none" w:sz="0" w:space="0" w:color="auto"/>
        <w:bottom w:val="none" w:sz="0" w:space="0" w:color="auto"/>
        <w:right w:val="none" w:sz="0" w:space="0" w:color="auto"/>
      </w:divBdr>
    </w:div>
    <w:div w:id="834304242">
      <w:bodyDiv w:val="1"/>
      <w:marLeft w:val="0"/>
      <w:marRight w:val="0"/>
      <w:marTop w:val="0"/>
      <w:marBottom w:val="0"/>
      <w:divBdr>
        <w:top w:val="none" w:sz="0" w:space="0" w:color="auto"/>
        <w:left w:val="none" w:sz="0" w:space="0" w:color="auto"/>
        <w:bottom w:val="none" w:sz="0" w:space="0" w:color="auto"/>
        <w:right w:val="none" w:sz="0" w:space="0" w:color="auto"/>
      </w:divBdr>
    </w:div>
    <w:div w:id="858544951">
      <w:bodyDiv w:val="1"/>
      <w:marLeft w:val="0"/>
      <w:marRight w:val="0"/>
      <w:marTop w:val="0"/>
      <w:marBottom w:val="0"/>
      <w:divBdr>
        <w:top w:val="none" w:sz="0" w:space="0" w:color="auto"/>
        <w:left w:val="none" w:sz="0" w:space="0" w:color="auto"/>
        <w:bottom w:val="none" w:sz="0" w:space="0" w:color="auto"/>
        <w:right w:val="none" w:sz="0" w:space="0" w:color="auto"/>
      </w:divBdr>
    </w:div>
    <w:div w:id="860095532">
      <w:bodyDiv w:val="1"/>
      <w:marLeft w:val="0"/>
      <w:marRight w:val="0"/>
      <w:marTop w:val="0"/>
      <w:marBottom w:val="0"/>
      <w:divBdr>
        <w:top w:val="none" w:sz="0" w:space="0" w:color="auto"/>
        <w:left w:val="none" w:sz="0" w:space="0" w:color="auto"/>
        <w:bottom w:val="none" w:sz="0" w:space="0" w:color="auto"/>
        <w:right w:val="none" w:sz="0" w:space="0" w:color="auto"/>
      </w:divBdr>
    </w:div>
    <w:div w:id="884559643">
      <w:bodyDiv w:val="1"/>
      <w:marLeft w:val="0"/>
      <w:marRight w:val="0"/>
      <w:marTop w:val="0"/>
      <w:marBottom w:val="0"/>
      <w:divBdr>
        <w:top w:val="none" w:sz="0" w:space="0" w:color="auto"/>
        <w:left w:val="none" w:sz="0" w:space="0" w:color="auto"/>
        <w:bottom w:val="none" w:sz="0" w:space="0" w:color="auto"/>
        <w:right w:val="none" w:sz="0" w:space="0" w:color="auto"/>
      </w:divBdr>
    </w:div>
    <w:div w:id="950471644">
      <w:bodyDiv w:val="1"/>
      <w:marLeft w:val="0"/>
      <w:marRight w:val="0"/>
      <w:marTop w:val="0"/>
      <w:marBottom w:val="0"/>
      <w:divBdr>
        <w:top w:val="none" w:sz="0" w:space="0" w:color="auto"/>
        <w:left w:val="none" w:sz="0" w:space="0" w:color="auto"/>
        <w:bottom w:val="none" w:sz="0" w:space="0" w:color="auto"/>
        <w:right w:val="none" w:sz="0" w:space="0" w:color="auto"/>
      </w:divBdr>
    </w:div>
    <w:div w:id="953095514">
      <w:bodyDiv w:val="1"/>
      <w:marLeft w:val="0"/>
      <w:marRight w:val="0"/>
      <w:marTop w:val="0"/>
      <w:marBottom w:val="0"/>
      <w:divBdr>
        <w:top w:val="none" w:sz="0" w:space="0" w:color="auto"/>
        <w:left w:val="none" w:sz="0" w:space="0" w:color="auto"/>
        <w:bottom w:val="none" w:sz="0" w:space="0" w:color="auto"/>
        <w:right w:val="none" w:sz="0" w:space="0" w:color="auto"/>
      </w:divBdr>
    </w:div>
    <w:div w:id="954294319">
      <w:bodyDiv w:val="1"/>
      <w:marLeft w:val="0"/>
      <w:marRight w:val="0"/>
      <w:marTop w:val="0"/>
      <w:marBottom w:val="0"/>
      <w:divBdr>
        <w:top w:val="none" w:sz="0" w:space="0" w:color="auto"/>
        <w:left w:val="none" w:sz="0" w:space="0" w:color="auto"/>
        <w:bottom w:val="none" w:sz="0" w:space="0" w:color="auto"/>
        <w:right w:val="none" w:sz="0" w:space="0" w:color="auto"/>
      </w:divBdr>
    </w:div>
    <w:div w:id="974486686">
      <w:bodyDiv w:val="1"/>
      <w:marLeft w:val="0"/>
      <w:marRight w:val="0"/>
      <w:marTop w:val="0"/>
      <w:marBottom w:val="0"/>
      <w:divBdr>
        <w:top w:val="none" w:sz="0" w:space="0" w:color="auto"/>
        <w:left w:val="none" w:sz="0" w:space="0" w:color="auto"/>
        <w:bottom w:val="none" w:sz="0" w:space="0" w:color="auto"/>
        <w:right w:val="none" w:sz="0" w:space="0" w:color="auto"/>
      </w:divBdr>
    </w:div>
    <w:div w:id="1009789587">
      <w:bodyDiv w:val="1"/>
      <w:marLeft w:val="0"/>
      <w:marRight w:val="0"/>
      <w:marTop w:val="0"/>
      <w:marBottom w:val="0"/>
      <w:divBdr>
        <w:top w:val="none" w:sz="0" w:space="0" w:color="auto"/>
        <w:left w:val="none" w:sz="0" w:space="0" w:color="auto"/>
        <w:bottom w:val="none" w:sz="0" w:space="0" w:color="auto"/>
        <w:right w:val="none" w:sz="0" w:space="0" w:color="auto"/>
      </w:divBdr>
    </w:div>
    <w:div w:id="1032608621">
      <w:bodyDiv w:val="1"/>
      <w:marLeft w:val="0"/>
      <w:marRight w:val="0"/>
      <w:marTop w:val="0"/>
      <w:marBottom w:val="0"/>
      <w:divBdr>
        <w:top w:val="none" w:sz="0" w:space="0" w:color="auto"/>
        <w:left w:val="none" w:sz="0" w:space="0" w:color="auto"/>
        <w:bottom w:val="none" w:sz="0" w:space="0" w:color="auto"/>
        <w:right w:val="none" w:sz="0" w:space="0" w:color="auto"/>
      </w:divBdr>
    </w:div>
    <w:div w:id="1096485952">
      <w:bodyDiv w:val="1"/>
      <w:marLeft w:val="0"/>
      <w:marRight w:val="0"/>
      <w:marTop w:val="0"/>
      <w:marBottom w:val="0"/>
      <w:divBdr>
        <w:top w:val="none" w:sz="0" w:space="0" w:color="auto"/>
        <w:left w:val="none" w:sz="0" w:space="0" w:color="auto"/>
        <w:bottom w:val="none" w:sz="0" w:space="0" w:color="auto"/>
        <w:right w:val="none" w:sz="0" w:space="0" w:color="auto"/>
      </w:divBdr>
    </w:div>
    <w:div w:id="1215116701">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4848782">
      <w:bodyDiv w:val="1"/>
      <w:marLeft w:val="0"/>
      <w:marRight w:val="0"/>
      <w:marTop w:val="0"/>
      <w:marBottom w:val="0"/>
      <w:divBdr>
        <w:top w:val="none" w:sz="0" w:space="0" w:color="auto"/>
        <w:left w:val="none" w:sz="0" w:space="0" w:color="auto"/>
        <w:bottom w:val="none" w:sz="0" w:space="0" w:color="auto"/>
        <w:right w:val="none" w:sz="0" w:space="0" w:color="auto"/>
      </w:divBdr>
    </w:div>
    <w:div w:id="1285189953">
      <w:bodyDiv w:val="1"/>
      <w:marLeft w:val="0"/>
      <w:marRight w:val="0"/>
      <w:marTop w:val="0"/>
      <w:marBottom w:val="0"/>
      <w:divBdr>
        <w:top w:val="none" w:sz="0" w:space="0" w:color="auto"/>
        <w:left w:val="none" w:sz="0" w:space="0" w:color="auto"/>
        <w:bottom w:val="none" w:sz="0" w:space="0" w:color="auto"/>
        <w:right w:val="none" w:sz="0" w:space="0" w:color="auto"/>
      </w:divBdr>
    </w:div>
    <w:div w:id="1296791843">
      <w:bodyDiv w:val="1"/>
      <w:marLeft w:val="0"/>
      <w:marRight w:val="0"/>
      <w:marTop w:val="0"/>
      <w:marBottom w:val="0"/>
      <w:divBdr>
        <w:top w:val="none" w:sz="0" w:space="0" w:color="auto"/>
        <w:left w:val="none" w:sz="0" w:space="0" w:color="auto"/>
        <w:bottom w:val="none" w:sz="0" w:space="0" w:color="auto"/>
        <w:right w:val="none" w:sz="0" w:space="0" w:color="auto"/>
      </w:divBdr>
    </w:div>
    <w:div w:id="1307903444">
      <w:bodyDiv w:val="1"/>
      <w:marLeft w:val="0"/>
      <w:marRight w:val="0"/>
      <w:marTop w:val="0"/>
      <w:marBottom w:val="0"/>
      <w:divBdr>
        <w:top w:val="none" w:sz="0" w:space="0" w:color="auto"/>
        <w:left w:val="none" w:sz="0" w:space="0" w:color="auto"/>
        <w:bottom w:val="none" w:sz="0" w:space="0" w:color="auto"/>
        <w:right w:val="none" w:sz="0" w:space="0" w:color="auto"/>
      </w:divBdr>
    </w:div>
    <w:div w:id="1350837275">
      <w:bodyDiv w:val="1"/>
      <w:marLeft w:val="0"/>
      <w:marRight w:val="0"/>
      <w:marTop w:val="0"/>
      <w:marBottom w:val="0"/>
      <w:divBdr>
        <w:top w:val="none" w:sz="0" w:space="0" w:color="auto"/>
        <w:left w:val="none" w:sz="0" w:space="0" w:color="auto"/>
        <w:bottom w:val="none" w:sz="0" w:space="0" w:color="auto"/>
        <w:right w:val="none" w:sz="0" w:space="0" w:color="auto"/>
      </w:divBdr>
    </w:div>
    <w:div w:id="1354333813">
      <w:bodyDiv w:val="1"/>
      <w:marLeft w:val="0"/>
      <w:marRight w:val="0"/>
      <w:marTop w:val="0"/>
      <w:marBottom w:val="0"/>
      <w:divBdr>
        <w:top w:val="none" w:sz="0" w:space="0" w:color="auto"/>
        <w:left w:val="none" w:sz="0" w:space="0" w:color="auto"/>
        <w:bottom w:val="none" w:sz="0" w:space="0" w:color="auto"/>
        <w:right w:val="none" w:sz="0" w:space="0" w:color="auto"/>
      </w:divBdr>
    </w:div>
    <w:div w:id="1380324753">
      <w:bodyDiv w:val="1"/>
      <w:marLeft w:val="0"/>
      <w:marRight w:val="0"/>
      <w:marTop w:val="0"/>
      <w:marBottom w:val="0"/>
      <w:divBdr>
        <w:top w:val="none" w:sz="0" w:space="0" w:color="auto"/>
        <w:left w:val="none" w:sz="0" w:space="0" w:color="auto"/>
        <w:bottom w:val="none" w:sz="0" w:space="0" w:color="auto"/>
        <w:right w:val="none" w:sz="0" w:space="0" w:color="auto"/>
      </w:divBdr>
    </w:div>
    <w:div w:id="1411461180">
      <w:bodyDiv w:val="1"/>
      <w:marLeft w:val="0"/>
      <w:marRight w:val="0"/>
      <w:marTop w:val="0"/>
      <w:marBottom w:val="0"/>
      <w:divBdr>
        <w:top w:val="none" w:sz="0" w:space="0" w:color="auto"/>
        <w:left w:val="none" w:sz="0" w:space="0" w:color="auto"/>
        <w:bottom w:val="none" w:sz="0" w:space="0" w:color="auto"/>
        <w:right w:val="none" w:sz="0" w:space="0" w:color="auto"/>
      </w:divBdr>
    </w:div>
    <w:div w:id="1415978771">
      <w:bodyDiv w:val="1"/>
      <w:marLeft w:val="0"/>
      <w:marRight w:val="0"/>
      <w:marTop w:val="0"/>
      <w:marBottom w:val="0"/>
      <w:divBdr>
        <w:top w:val="none" w:sz="0" w:space="0" w:color="auto"/>
        <w:left w:val="none" w:sz="0" w:space="0" w:color="auto"/>
        <w:bottom w:val="none" w:sz="0" w:space="0" w:color="auto"/>
        <w:right w:val="none" w:sz="0" w:space="0" w:color="auto"/>
      </w:divBdr>
    </w:div>
    <w:div w:id="1418866688">
      <w:bodyDiv w:val="1"/>
      <w:marLeft w:val="0"/>
      <w:marRight w:val="0"/>
      <w:marTop w:val="0"/>
      <w:marBottom w:val="0"/>
      <w:divBdr>
        <w:top w:val="none" w:sz="0" w:space="0" w:color="auto"/>
        <w:left w:val="none" w:sz="0" w:space="0" w:color="auto"/>
        <w:bottom w:val="none" w:sz="0" w:space="0" w:color="auto"/>
        <w:right w:val="none" w:sz="0" w:space="0" w:color="auto"/>
      </w:divBdr>
    </w:div>
    <w:div w:id="1441221848">
      <w:bodyDiv w:val="1"/>
      <w:marLeft w:val="0"/>
      <w:marRight w:val="0"/>
      <w:marTop w:val="0"/>
      <w:marBottom w:val="0"/>
      <w:divBdr>
        <w:top w:val="none" w:sz="0" w:space="0" w:color="auto"/>
        <w:left w:val="none" w:sz="0" w:space="0" w:color="auto"/>
        <w:bottom w:val="none" w:sz="0" w:space="0" w:color="auto"/>
        <w:right w:val="none" w:sz="0" w:space="0" w:color="auto"/>
      </w:divBdr>
    </w:div>
    <w:div w:id="1444154993">
      <w:bodyDiv w:val="1"/>
      <w:marLeft w:val="0"/>
      <w:marRight w:val="0"/>
      <w:marTop w:val="0"/>
      <w:marBottom w:val="0"/>
      <w:divBdr>
        <w:top w:val="none" w:sz="0" w:space="0" w:color="auto"/>
        <w:left w:val="none" w:sz="0" w:space="0" w:color="auto"/>
        <w:bottom w:val="none" w:sz="0" w:space="0" w:color="auto"/>
        <w:right w:val="none" w:sz="0" w:space="0" w:color="auto"/>
      </w:divBdr>
    </w:div>
    <w:div w:id="1468861072">
      <w:bodyDiv w:val="1"/>
      <w:marLeft w:val="0"/>
      <w:marRight w:val="0"/>
      <w:marTop w:val="0"/>
      <w:marBottom w:val="0"/>
      <w:divBdr>
        <w:top w:val="none" w:sz="0" w:space="0" w:color="auto"/>
        <w:left w:val="none" w:sz="0" w:space="0" w:color="auto"/>
        <w:bottom w:val="none" w:sz="0" w:space="0" w:color="auto"/>
        <w:right w:val="none" w:sz="0" w:space="0" w:color="auto"/>
      </w:divBdr>
    </w:div>
    <w:div w:id="1481381873">
      <w:bodyDiv w:val="1"/>
      <w:marLeft w:val="0"/>
      <w:marRight w:val="0"/>
      <w:marTop w:val="0"/>
      <w:marBottom w:val="0"/>
      <w:divBdr>
        <w:top w:val="none" w:sz="0" w:space="0" w:color="auto"/>
        <w:left w:val="none" w:sz="0" w:space="0" w:color="auto"/>
        <w:bottom w:val="none" w:sz="0" w:space="0" w:color="auto"/>
        <w:right w:val="none" w:sz="0" w:space="0" w:color="auto"/>
      </w:divBdr>
    </w:div>
    <w:div w:id="1503810574">
      <w:bodyDiv w:val="1"/>
      <w:marLeft w:val="0"/>
      <w:marRight w:val="0"/>
      <w:marTop w:val="0"/>
      <w:marBottom w:val="0"/>
      <w:divBdr>
        <w:top w:val="none" w:sz="0" w:space="0" w:color="auto"/>
        <w:left w:val="none" w:sz="0" w:space="0" w:color="auto"/>
        <w:bottom w:val="none" w:sz="0" w:space="0" w:color="auto"/>
        <w:right w:val="none" w:sz="0" w:space="0" w:color="auto"/>
      </w:divBdr>
    </w:div>
    <w:div w:id="1523325233">
      <w:bodyDiv w:val="1"/>
      <w:marLeft w:val="0"/>
      <w:marRight w:val="0"/>
      <w:marTop w:val="0"/>
      <w:marBottom w:val="0"/>
      <w:divBdr>
        <w:top w:val="none" w:sz="0" w:space="0" w:color="auto"/>
        <w:left w:val="none" w:sz="0" w:space="0" w:color="auto"/>
        <w:bottom w:val="none" w:sz="0" w:space="0" w:color="auto"/>
        <w:right w:val="none" w:sz="0" w:space="0" w:color="auto"/>
      </w:divBdr>
    </w:div>
    <w:div w:id="1532260039">
      <w:bodyDiv w:val="1"/>
      <w:marLeft w:val="0"/>
      <w:marRight w:val="0"/>
      <w:marTop w:val="0"/>
      <w:marBottom w:val="0"/>
      <w:divBdr>
        <w:top w:val="none" w:sz="0" w:space="0" w:color="auto"/>
        <w:left w:val="none" w:sz="0" w:space="0" w:color="auto"/>
        <w:bottom w:val="none" w:sz="0" w:space="0" w:color="auto"/>
        <w:right w:val="none" w:sz="0" w:space="0" w:color="auto"/>
      </w:divBdr>
    </w:div>
    <w:div w:id="1541942361">
      <w:bodyDiv w:val="1"/>
      <w:marLeft w:val="0"/>
      <w:marRight w:val="0"/>
      <w:marTop w:val="0"/>
      <w:marBottom w:val="0"/>
      <w:divBdr>
        <w:top w:val="none" w:sz="0" w:space="0" w:color="auto"/>
        <w:left w:val="none" w:sz="0" w:space="0" w:color="auto"/>
        <w:bottom w:val="none" w:sz="0" w:space="0" w:color="auto"/>
        <w:right w:val="none" w:sz="0" w:space="0" w:color="auto"/>
      </w:divBdr>
    </w:div>
    <w:div w:id="1576276344">
      <w:bodyDiv w:val="1"/>
      <w:marLeft w:val="0"/>
      <w:marRight w:val="0"/>
      <w:marTop w:val="0"/>
      <w:marBottom w:val="0"/>
      <w:divBdr>
        <w:top w:val="none" w:sz="0" w:space="0" w:color="auto"/>
        <w:left w:val="none" w:sz="0" w:space="0" w:color="auto"/>
        <w:bottom w:val="none" w:sz="0" w:space="0" w:color="auto"/>
        <w:right w:val="none" w:sz="0" w:space="0" w:color="auto"/>
      </w:divBdr>
      <w:divsChild>
        <w:div w:id="513807724">
          <w:marLeft w:val="274"/>
          <w:marRight w:val="0"/>
          <w:marTop w:val="120"/>
          <w:marBottom w:val="0"/>
          <w:divBdr>
            <w:top w:val="none" w:sz="0" w:space="0" w:color="auto"/>
            <w:left w:val="none" w:sz="0" w:space="0" w:color="auto"/>
            <w:bottom w:val="none" w:sz="0" w:space="0" w:color="auto"/>
            <w:right w:val="none" w:sz="0" w:space="0" w:color="auto"/>
          </w:divBdr>
        </w:div>
      </w:divsChild>
    </w:div>
    <w:div w:id="1584489216">
      <w:bodyDiv w:val="1"/>
      <w:marLeft w:val="0"/>
      <w:marRight w:val="0"/>
      <w:marTop w:val="0"/>
      <w:marBottom w:val="0"/>
      <w:divBdr>
        <w:top w:val="none" w:sz="0" w:space="0" w:color="auto"/>
        <w:left w:val="none" w:sz="0" w:space="0" w:color="auto"/>
        <w:bottom w:val="none" w:sz="0" w:space="0" w:color="auto"/>
        <w:right w:val="none" w:sz="0" w:space="0" w:color="auto"/>
      </w:divBdr>
    </w:div>
    <w:div w:id="1590382668">
      <w:bodyDiv w:val="1"/>
      <w:marLeft w:val="0"/>
      <w:marRight w:val="0"/>
      <w:marTop w:val="0"/>
      <w:marBottom w:val="0"/>
      <w:divBdr>
        <w:top w:val="none" w:sz="0" w:space="0" w:color="auto"/>
        <w:left w:val="none" w:sz="0" w:space="0" w:color="auto"/>
        <w:bottom w:val="none" w:sz="0" w:space="0" w:color="auto"/>
        <w:right w:val="none" w:sz="0" w:space="0" w:color="auto"/>
      </w:divBdr>
    </w:div>
    <w:div w:id="1619723420">
      <w:bodyDiv w:val="1"/>
      <w:marLeft w:val="0"/>
      <w:marRight w:val="0"/>
      <w:marTop w:val="0"/>
      <w:marBottom w:val="0"/>
      <w:divBdr>
        <w:top w:val="none" w:sz="0" w:space="0" w:color="auto"/>
        <w:left w:val="none" w:sz="0" w:space="0" w:color="auto"/>
        <w:bottom w:val="none" w:sz="0" w:space="0" w:color="auto"/>
        <w:right w:val="none" w:sz="0" w:space="0" w:color="auto"/>
      </w:divBdr>
    </w:div>
    <w:div w:id="1632468974">
      <w:bodyDiv w:val="1"/>
      <w:marLeft w:val="0"/>
      <w:marRight w:val="0"/>
      <w:marTop w:val="0"/>
      <w:marBottom w:val="0"/>
      <w:divBdr>
        <w:top w:val="none" w:sz="0" w:space="0" w:color="auto"/>
        <w:left w:val="none" w:sz="0" w:space="0" w:color="auto"/>
        <w:bottom w:val="none" w:sz="0" w:space="0" w:color="auto"/>
        <w:right w:val="none" w:sz="0" w:space="0" w:color="auto"/>
      </w:divBdr>
    </w:div>
    <w:div w:id="1636181400">
      <w:bodyDiv w:val="1"/>
      <w:marLeft w:val="0"/>
      <w:marRight w:val="0"/>
      <w:marTop w:val="0"/>
      <w:marBottom w:val="0"/>
      <w:divBdr>
        <w:top w:val="none" w:sz="0" w:space="0" w:color="auto"/>
        <w:left w:val="none" w:sz="0" w:space="0" w:color="auto"/>
        <w:bottom w:val="none" w:sz="0" w:space="0" w:color="auto"/>
        <w:right w:val="none" w:sz="0" w:space="0" w:color="auto"/>
      </w:divBdr>
    </w:div>
    <w:div w:id="1648315895">
      <w:bodyDiv w:val="1"/>
      <w:marLeft w:val="0"/>
      <w:marRight w:val="0"/>
      <w:marTop w:val="0"/>
      <w:marBottom w:val="0"/>
      <w:divBdr>
        <w:top w:val="none" w:sz="0" w:space="0" w:color="auto"/>
        <w:left w:val="none" w:sz="0" w:space="0" w:color="auto"/>
        <w:bottom w:val="none" w:sz="0" w:space="0" w:color="auto"/>
        <w:right w:val="none" w:sz="0" w:space="0" w:color="auto"/>
      </w:divBdr>
    </w:div>
    <w:div w:id="1708212299">
      <w:bodyDiv w:val="1"/>
      <w:marLeft w:val="0"/>
      <w:marRight w:val="0"/>
      <w:marTop w:val="0"/>
      <w:marBottom w:val="0"/>
      <w:divBdr>
        <w:top w:val="none" w:sz="0" w:space="0" w:color="auto"/>
        <w:left w:val="none" w:sz="0" w:space="0" w:color="auto"/>
        <w:bottom w:val="none" w:sz="0" w:space="0" w:color="auto"/>
        <w:right w:val="none" w:sz="0" w:space="0" w:color="auto"/>
      </w:divBdr>
    </w:div>
    <w:div w:id="1754929672">
      <w:bodyDiv w:val="1"/>
      <w:marLeft w:val="0"/>
      <w:marRight w:val="0"/>
      <w:marTop w:val="0"/>
      <w:marBottom w:val="0"/>
      <w:divBdr>
        <w:top w:val="none" w:sz="0" w:space="0" w:color="auto"/>
        <w:left w:val="none" w:sz="0" w:space="0" w:color="auto"/>
        <w:bottom w:val="none" w:sz="0" w:space="0" w:color="auto"/>
        <w:right w:val="none" w:sz="0" w:space="0" w:color="auto"/>
      </w:divBdr>
    </w:div>
    <w:div w:id="1763600044">
      <w:bodyDiv w:val="1"/>
      <w:marLeft w:val="0"/>
      <w:marRight w:val="0"/>
      <w:marTop w:val="0"/>
      <w:marBottom w:val="0"/>
      <w:divBdr>
        <w:top w:val="none" w:sz="0" w:space="0" w:color="auto"/>
        <w:left w:val="none" w:sz="0" w:space="0" w:color="auto"/>
        <w:bottom w:val="none" w:sz="0" w:space="0" w:color="auto"/>
        <w:right w:val="none" w:sz="0" w:space="0" w:color="auto"/>
      </w:divBdr>
    </w:div>
    <w:div w:id="1768308052">
      <w:bodyDiv w:val="1"/>
      <w:marLeft w:val="0"/>
      <w:marRight w:val="0"/>
      <w:marTop w:val="0"/>
      <w:marBottom w:val="0"/>
      <w:divBdr>
        <w:top w:val="none" w:sz="0" w:space="0" w:color="auto"/>
        <w:left w:val="none" w:sz="0" w:space="0" w:color="auto"/>
        <w:bottom w:val="none" w:sz="0" w:space="0" w:color="auto"/>
        <w:right w:val="none" w:sz="0" w:space="0" w:color="auto"/>
      </w:divBdr>
    </w:div>
    <w:div w:id="1781727480">
      <w:bodyDiv w:val="1"/>
      <w:marLeft w:val="0"/>
      <w:marRight w:val="0"/>
      <w:marTop w:val="0"/>
      <w:marBottom w:val="0"/>
      <w:divBdr>
        <w:top w:val="none" w:sz="0" w:space="0" w:color="auto"/>
        <w:left w:val="none" w:sz="0" w:space="0" w:color="auto"/>
        <w:bottom w:val="none" w:sz="0" w:space="0" w:color="auto"/>
        <w:right w:val="none" w:sz="0" w:space="0" w:color="auto"/>
      </w:divBdr>
    </w:div>
    <w:div w:id="1811550977">
      <w:bodyDiv w:val="1"/>
      <w:marLeft w:val="0"/>
      <w:marRight w:val="0"/>
      <w:marTop w:val="0"/>
      <w:marBottom w:val="0"/>
      <w:divBdr>
        <w:top w:val="none" w:sz="0" w:space="0" w:color="auto"/>
        <w:left w:val="none" w:sz="0" w:space="0" w:color="auto"/>
        <w:bottom w:val="none" w:sz="0" w:space="0" w:color="auto"/>
        <w:right w:val="none" w:sz="0" w:space="0" w:color="auto"/>
      </w:divBdr>
    </w:div>
    <w:div w:id="1838838432">
      <w:bodyDiv w:val="1"/>
      <w:marLeft w:val="0"/>
      <w:marRight w:val="0"/>
      <w:marTop w:val="0"/>
      <w:marBottom w:val="0"/>
      <w:divBdr>
        <w:top w:val="none" w:sz="0" w:space="0" w:color="auto"/>
        <w:left w:val="none" w:sz="0" w:space="0" w:color="auto"/>
        <w:bottom w:val="none" w:sz="0" w:space="0" w:color="auto"/>
        <w:right w:val="none" w:sz="0" w:space="0" w:color="auto"/>
      </w:divBdr>
    </w:div>
    <w:div w:id="1867450692">
      <w:bodyDiv w:val="1"/>
      <w:marLeft w:val="0"/>
      <w:marRight w:val="0"/>
      <w:marTop w:val="0"/>
      <w:marBottom w:val="0"/>
      <w:divBdr>
        <w:top w:val="none" w:sz="0" w:space="0" w:color="auto"/>
        <w:left w:val="none" w:sz="0" w:space="0" w:color="auto"/>
        <w:bottom w:val="none" w:sz="0" w:space="0" w:color="auto"/>
        <w:right w:val="none" w:sz="0" w:space="0" w:color="auto"/>
      </w:divBdr>
    </w:div>
    <w:div w:id="1970937947">
      <w:bodyDiv w:val="1"/>
      <w:marLeft w:val="0"/>
      <w:marRight w:val="0"/>
      <w:marTop w:val="0"/>
      <w:marBottom w:val="0"/>
      <w:divBdr>
        <w:top w:val="none" w:sz="0" w:space="0" w:color="auto"/>
        <w:left w:val="none" w:sz="0" w:space="0" w:color="auto"/>
        <w:bottom w:val="none" w:sz="0" w:space="0" w:color="auto"/>
        <w:right w:val="none" w:sz="0" w:space="0" w:color="auto"/>
      </w:divBdr>
      <w:divsChild>
        <w:div w:id="929855806">
          <w:marLeft w:val="274"/>
          <w:marRight w:val="0"/>
          <w:marTop w:val="120"/>
          <w:marBottom w:val="0"/>
          <w:divBdr>
            <w:top w:val="none" w:sz="0" w:space="0" w:color="auto"/>
            <w:left w:val="none" w:sz="0" w:space="0" w:color="auto"/>
            <w:bottom w:val="none" w:sz="0" w:space="0" w:color="auto"/>
            <w:right w:val="none" w:sz="0" w:space="0" w:color="auto"/>
          </w:divBdr>
        </w:div>
      </w:divsChild>
    </w:div>
    <w:div w:id="1990547407">
      <w:bodyDiv w:val="1"/>
      <w:marLeft w:val="0"/>
      <w:marRight w:val="0"/>
      <w:marTop w:val="0"/>
      <w:marBottom w:val="0"/>
      <w:divBdr>
        <w:top w:val="none" w:sz="0" w:space="0" w:color="auto"/>
        <w:left w:val="none" w:sz="0" w:space="0" w:color="auto"/>
        <w:bottom w:val="none" w:sz="0" w:space="0" w:color="auto"/>
        <w:right w:val="none" w:sz="0" w:space="0" w:color="auto"/>
      </w:divBdr>
    </w:div>
    <w:div w:id="2015764148">
      <w:bodyDiv w:val="1"/>
      <w:marLeft w:val="0"/>
      <w:marRight w:val="0"/>
      <w:marTop w:val="0"/>
      <w:marBottom w:val="0"/>
      <w:divBdr>
        <w:top w:val="none" w:sz="0" w:space="0" w:color="auto"/>
        <w:left w:val="none" w:sz="0" w:space="0" w:color="auto"/>
        <w:bottom w:val="none" w:sz="0" w:space="0" w:color="auto"/>
        <w:right w:val="none" w:sz="0" w:space="0" w:color="auto"/>
      </w:divBdr>
    </w:div>
    <w:div w:id="2033260274">
      <w:bodyDiv w:val="1"/>
      <w:marLeft w:val="0"/>
      <w:marRight w:val="0"/>
      <w:marTop w:val="0"/>
      <w:marBottom w:val="0"/>
      <w:divBdr>
        <w:top w:val="none" w:sz="0" w:space="0" w:color="auto"/>
        <w:left w:val="none" w:sz="0" w:space="0" w:color="auto"/>
        <w:bottom w:val="none" w:sz="0" w:space="0" w:color="auto"/>
        <w:right w:val="none" w:sz="0" w:space="0" w:color="auto"/>
      </w:divBdr>
    </w:div>
    <w:div w:id="2043091763">
      <w:bodyDiv w:val="1"/>
      <w:marLeft w:val="0"/>
      <w:marRight w:val="0"/>
      <w:marTop w:val="0"/>
      <w:marBottom w:val="0"/>
      <w:divBdr>
        <w:top w:val="none" w:sz="0" w:space="0" w:color="auto"/>
        <w:left w:val="none" w:sz="0" w:space="0" w:color="auto"/>
        <w:bottom w:val="none" w:sz="0" w:space="0" w:color="auto"/>
        <w:right w:val="none" w:sz="0" w:space="0" w:color="auto"/>
      </w:divBdr>
    </w:div>
    <w:div w:id="2054958481">
      <w:bodyDiv w:val="1"/>
      <w:marLeft w:val="0"/>
      <w:marRight w:val="0"/>
      <w:marTop w:val="0"/>
      <w:marBottom w:val="0"/>
      <w:divBdr>
        <w:top w:val="none" w:sz="0" w:space="0" w:color="auto"/>
        <w:left w:val="none" w:sz="0" w:space="0" w:color="auto"/>
        <w:bottom w:val="none" w:sz="0" w:space="0" w:color="auto"/>
        <w:right w:val="none" w:sz="0" w:space="0" w:color="auto"/>
      </w:divBdr>
    </w:div>
    <w:div w:id="2070686678">
      <w:bodyDiv w:val="1"/>
      <w:marLeft w:val="0"/>
      <w:marRight w:val="0"/>
      <w:marTop w:val="0"/>
      <w:marBottom w:val="0"/>
      <w:divBdr>
        <w:top w:val="none" w:sz="0" w:space="0" w:color="auto"/>
        <w:left w:val="none" w:sz="0" w:space="0" w:color="auto"/>
        <w:bottom w:val="none" w:sz="0" w:space="0" w:color="auto"/>
        <w:right w:val="none" w:sz="0" w:space="0" w:color="auto"/>
      </w:divBdr>
    </w:div>
    <w:div w:id="2099671187">
      <w:bodyDiv w:val="1"/>
      <w:marLeft w:val="0"/>
      <w:marRight w:val="0"/>
      <w:marTop w:val="0"/>
      <w:marBottom w:val="0"/>
      <w:divBdr>
        <w:top w:val="none" w:sz="0" w:space="0" w:color="auto"/>
        <w:left w:val="none" w:sz="0" w:space="0" w:color="auto"/>
        <w:bottom w:val="none" w:sz="0" w:space="0" w:color="auto"/>
        <w:right w:val="none" w:sz="0" w:space="0" w:color="auto"/>
      </w:divBdr>
    </w:div>
    <w:div w:id="2106922241">
      <w:bodyDiv w:val="1"/>
      <w:marLeft w:val="0"/>
      <w:marRight w:val="0"/>
      <w:marTop w:val="0"/>
      <w:marBottom w:val="0"/>
      <w:divBdr>
        <w:top w:val="none" w:sz="0" w:space="0" w:color="auto"/>
        <w:left w:val="none" w:sz="0" w:space="0" w:color="auto"/>
        <w:bottom w:val="none" w:sz="0" w:space="0" w:color="auto"/>
        <w:right w:val="none" w:sz="0" w:space="0" w:color="auto"/>
      </w:divBdr>
      <w:divsChild>
        <w:div w:id="408306516">
          <w:marLeft w:val="446"/>
          <w:marRight w:val="0"/>
          <w:marTop w:val="120"/>
          <w:marBottom w:val="0"/>
          <w:divBdr>
            <w:top w:val="none" w:sz="0" w:space="0" w:color="auto"/>
            <w:left w:val="none" w:sz="0" w:space="0" w:color="auto"/>
            <w:bottom w:val="none" w:sz="0" w:space="0" w:color="auto"/>
            <w:right w:val="none" w:sz="0" w:space="0" w:color="auto"/>
          </w:divBdr>
        </w:div>
        <w:div w:id="1946036310">
          <w:marLeft w:val="446"/>
          <w:marRight w:val="0"/>
          <w:marTop w:val="120"/>
          <w:marBottom w:val="0"/>
          <w:divBdr>
            <w:top w:val="none" w:sz="0" w:space="0" w:color="auto"/>
            <w:left w:val="none" w:sz="0" w:space="0" w:color="auto"/>
            <w:bottom w:val="none" w:sz="0" w:space="0" w:color="auto"/>
            <w:right w:val="none" w:sz="0" w:space="0" w:color="auto"/>
          </w:divBdr>
        </w:div>
      </w:divsChild>
    </w:div>
    <w:div w:id="2111781497">
      <w:bodyDiv w:val="1"/>
      <w:marLeft w:val="0"/>
      <w:marRight w:val="0"/>
      <w:marTop w:val="0"/>
      <w:marBottom w:val="0"/>
      <w:divBdr>
        <w:top w:val="none" w:sz="0" w:space="0" w:color="auto"/>
        <w:left w:val="none" w:sz="0" w:space="0" w:color="auto"/>
        <w:bottom w:val="none" w:sz="0" w:space="0" w:color="auto"/>
        <w:right w:val="none" w:sz="0" w:space="0" w:color="auto"/>
      </w:divBdr>
    </w:div>
    <w:div w:id="2116320647">
      <w:bodyDiv w:val="1"/>
      <w:marLeft w:val="0"/>
      <w:marRight w:val="0"/>
      <w:marTop w:val="0"/>
      <w:marBottom w:val="0"/>
      <w:divBdr>
        <w:top w:val="none" w:sz="0" w:space="0" w:color="auto"/>
        <w:left w:val="none" w:sz="0" w:space="0" w:color="auto"/>
        <w:bottom w:val="none" w:sz="0" w:space="0" w:color="auto"/>
        <w:right w:val="none" w:sz="0" w:space="0" w:color="auto"/>
      </w:divBdr>
    </w:div>
    <w:div w:id="21465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t@waggeneredstro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crosoft.com/inves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investor" TargetMode="External"/><Relationship Id="rId5" Type="http://schemas.openxmlformats.org/officeDocument/2006/relationships/numbering" Target="numbering.xml"/><Relationship Id="rId15" Type="http://schemas.openxmlformats.org/officeDocument/2006/relationships/hyperlink" Target="http://www.microsoft.com/investo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4.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BA989-65FB-476E-BB66-85BBF305F6B3}"/>
</file>

<file path=customXml/itemProps2.xml><?xml version="1.0" encoding="utf-8"?>
<ds:datastoreItem xmlns:ds="http://schemas.openxmlformats.org/officeDocument/2006/customXml" ds:itemID="{E573D823-B52A-4C74-9D77-A15BB684453E}"/>
</file>

<file path=customXml/itemProps3.xml><?xml version="1.0" encoding="utf-8"?>
<ds:datastoreItem xmlns:ds="http://schemas.openxmlformats.org/officeDocument/2006/customXml" ds:itemID="{3145BA06-23E8-4892-80CF-AD5C10EFD4B4}"/>
</file>

<file path=customXml/itemProps4.xml><?xml version="1.0" encoding="utf-8"?>
<ds:datastoreItem xmlns:ds="http://schemas.openxmlformats.org/officeDocument/2006/customXml" ds:itemID="{2A8CACD9-7515-41F5-ACCE-FC6CA9FFE327}"/>
</file>

<file path=docProps/app.xml><?xml version="1.0" encoding="utf-8"?>
<Properties xmlns="http://schemas.openxmlformats.org/officeDocument/2006/extended-properties" xmlns:vt="http://schemas.openxmlformats.org/officeDocument/2006/docPropsVTypes">
  <Template>Normal.dotm</Template>
  <TotalTime>0</TotalTime>
  <Pages>14</Pages>
  <Words>5060</Words>
  <Characters>28845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2015-07-21T03:07:00Z</dcterms:created>
  <dcterms:modified xsi:type="dcterms:W3CDTF">2015-07-21T03:07:00Z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-1148023779</vt:i4>
  </property>
  <property fmtid="{D5CDD505-2E9C-101B-9397-08002B2CF9AE}" pid="3" name="_dlc_DocIdItemGuid">
    <vt:lpwstr>efa59d86-4e65-4f43-982c-e027cd15472e</vt:lpwstr>
  </property>
  <property fmtid="{D5CDD505-2E9C-101B-9397-08002B2CF9AE}" pid="4" name="_dlc_policyId">
    <vt:lpwstr/>
  </property>
  <property fmtid="{D5CDD505-2E9C-101B-9397-08002B2CF9AE}" pid="5" name="Owner">
    <vt:lpwstr>141;#Debi Kampton</vt:lpwstr>
  </property>
  <property fmtid="{D5CDD505-2E9C-101B-9397-08002B2CF9AE}" pid="6" name="ContentTypeId">
    <vt:lpwstr>0x0101004EEB5A68CE6442648224A0682BF61800004B9775297EFBF642A4F1523B0C630918</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R Subject">
    <vt:lpwstr/>
  </property>
  <property fmtid="{D5CDD505-2E9C-101B-9397-08002B2CF9AE}" pid="9" name="Milestone">
    <vt:lpwstr/>
  </property>
  <property fmtid="{D5CDD505-2E9C-101B-9397-08002B2CF9AE}" pid="10" name="Deliverable Type">
    <vt:lpwstr/>
  </property>
</Properties>
</file>