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943F1" w14:textId="77777777" w:rsidR="00AB7B8D" w:rsidRDefault="00B328A3">
      <w:pPr>
        <w:jc w:val="center"/>
        <w:rPr>
          <w:sz w:val="20"/>
          <w:szCs w:val="20"/>
        </w:rPr>
      </w:pPr>
      <w:bookmarkStart w:id="0" w:name="page2"/>
      <w:bookmarkEnd w:id="0"/>
      <w:r>
        <w:rPr>
          <w:rFonts w:ascii="Arial" w:eastAsia="Arial" w:hAnsi="Arial" w:cs="Arial"/>
          <w:b/>
          <w:bCs/>
          <w:noProof/>
        </w:rPr>
        <w:drawing>
          <wp:anchor distT="0" distB="0" distL="114300" distR="114300" simplePos="0" relativeHeight="251663360" behindDoc="1" locked="0" layoutInCell="0" allowOverlap="1" wp14:anchorId="415F55EC" wp14:editId="0170271D">
            <wp:simplePos x="0" y="0"/>
            <wp:positionH relativeFrom="page">
              <wp:posOffset>208280</wp:posOffset>
            </wp:positionH>
            <wp:positionV relativeFrom="page">
              <wp:posOffset>88900</wp:posOffset>
            </wp:positionV>
            <wp:extent cx="7149465" cy="260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7149465" cy="26035"/>
                    </a:xfrm>
                    <a:prstGeom prst="rect">
                      <a:avLst/>
                    </a:prstGeom>
                    <a:noFill/>
                  </pic:spPr>
                </pic:pic>
              </a:graphicData>
            </a:graphic>
          </wp:anchor>
        </w:drawing>
      </w:r>
      <w:r>
        <w:rPr>
          <w:rFonts w:ascii="Arial" w:eastAsia="Arial" w:hAnsi="Arial" w:cs="Arial"/>
          <w:b/>
          <w:bCs/>
        </w:rPr>
        <w:t>MICROSOFT CORPORATION SUPPLEMENT TO THE PROXY STATEMENT FOR THE ANNUAL MEETING OF SHAREHOLDERS TO BE HELD DECEMBER 2, 2020</w:t>
      </w:r>
    </w:p>
    <w:p w14:paraId="52302C5F" w14:textId="77777777" w:rsidR="00AB7B8D" w:rsidRDefault="00AB7B8D">
      <w:pPr>
        <w:spacing w:line="211" w:lineRule="exact"/>
        <w:rPr>
          <w:sz w:val="20"/>
          <w:szCs w:val="20"/>
        </w:rPr>
      </w:pPr>
    </w:p>
    <w:p w14:paraId="1D231EB7" w14:textId="77777777" w:rsidR="00AB7B8D" w:rsidRDefault="00B328A3">
      <w:pPr>
        <w:spacing w:line="250" w:lineRule="auto"/>
        <w:ind w:right="120"/>
        <w:rPr>
          <w:sz w:val="20"/>
          <w:szCs w:val="20"/>
        </w:rPr>
      </w:pPr>
      <w:r>
        <w:rPr>
          <w:rFonts w:ascii="Arial" w:eastAsia="Arial" w:hAnsi="Arial" w:cs="Arial"/>
          <w:sz w:val="16"/>
          <w:szCs w:val="16"/>
        </w:rPr>
        <w:t>Microsoft’s definitive proxy statement for its 2020 Annual Shareholder Meeting, filed on October 19, 2020, discloses our fiscal year 2020 EBITDA (as defined below). For fiscal year 2020, we reported net income of $44,281 million in our consolidated financial statements prepared in accordance with accounting principles generally accepted in the United States (“GAAP”). The Table and Graph on page 37 of our proxy statement disclosed EBITDA of $65,259 million for the same period. The following table reconciles net income reported in accordance with GAAP to EBITDA for our fiscal year 2020.</w:t>
      </w:r>
    </w:p>
    <w:p w14:paraId="675E2307" w14:textId="77777777" w:rsidR="00AB7B8D" w:rsidRDefault="00AB7B8D">
      <w:pPr>
        <w:spacing w:line="21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5220"/>
        <w:gridCol w:w="4200"/>
      </w:tblGrid>
      <w:tr w:rsidR="00AB7B8D" w14:paraId="3443500F" w14:textId="77777777">
        <w:trPr>
          <w:trHeight w:val="189"/>
        </w:trPr>
        <w:tc>
          <w:tcPr>
            <w:tcW w:w="5220" w:type="dxa"/>
            <w:vAlign w:val="bottom"/>
          </w:tcPr>
          <w:p w14:paraId="2172A780" w14:textId="77777777" w:rsidR="00AB7B8D" w:rsidRDefault="00AB7B8D">
            <w:pPr>
              <w:rPr>
                <w:sz w:val="16"/>
                <w:szCs w:val="16"/>
              </w:rPr>
            </w:pPr>
          </w:p>
        </w:tc>
        <w:tc>
          <w:tcPr>
            <w:tcW w:w="4200" w:type="dxa"/>
            <w:vAlign w:val="bottom"/>
          </w:tcPr>
          <w:p w14:paraId="469098D0" w14:textId="77777777" w:rsidR="00AB7B8D" w:rsidRDefault="00B328A3">
            <w:pPr>
              <w:ind w:right="99"/>
              <w:jc w:val="right"/>
              <w:rPr>
                <w:sz w:val="20"/>
                <w:szCs w:val="20"/>
              </w:rPr>
            </w:pPr>
            <w:r>
              <w:rPr>
                <w:rFonts w:ascii="Arial" w:eastAsia="Arial" w:hAnsi="Arial" w:cs="Arial"/>
                <w:b/>
                <w:bCs/>
                <w:sz w:val="16"/>
                <w:szCs w:val="16"/>
              </w:rPr>
              <w:t>Fiscal year ended</w:t>
            </w:r>
          </w:p>
        </w:tc>
      </w:tr>
      <w:tr w:rsidR="00AB7B8D" w14:paraId="0894E91B" w14:textId="77777777">
        <w:trPr>
          <w:trHeight w:val="207"/>
        </w:trPr>
        <w:tc>
          <w:tcPr>
            <w:tcW w:w="5220" w:type="dxa"/>
            <w:tcBorders>
              <w:bottom w:val="single" w:sz="8" w:space="0" w:color="auto"/>
            </w:tcBorders>
            <w:vAlign w:val="bottom"/>
          </w:tcPr>
          <w:p w14:paraId="156329E4" w14:textId="77777777" w:rsidR="00AB7B8D" w:rsidRDefault="00B328A3">
            <w:pPr>
              <w:ind w:left="60"/>
              <w:rPr>
                <w:sz w:val="20"/>
                <w:szCs w:val="20"/>
              </w:rPr>
            </w:pPr>
            <w:r>
              <w:rPr>
                <w:rFonts w:ascii="Arial" w:eastAsia="Arial" w:hAnsi="Arial" w:cs="Arial"/>
                <w:b/>
                <w:bCs/>
                <w:sz w:val="16"/>
                <w:szCs w:val="16"/>
              </w:rPr>
              <w:t>($ in millions)</w:t>
            </w:r>
          </w:p>
        </w:tc>
        <w:tc>
          <w:tcPr>
            <w:tcW w:w="4200" w:type="dxa"/>
            <w:tcBorders>
              <w:bottom w:val="single" w:sz="8" w:space="0" w:color="auto"/>
            </w:tcBorders>
            <w:vAlign w:val="bottom"/>
          </w:tcPr>
          <w:p w14:paraId="184ACC86" w14:textId="77777777" w:rsidR="00AB7B8D" w:rsidRDefault="00B328A3">
            <w:pPr>
              <w:ind w:right="99"/>
              <w:jc w:val="right"/>
              <w:rPr>
                <w:sz w:val="20"/>
                <w:szCs w:val="20"/>
              </w:rPr>
            </w:pPr>
            <w:r>
              <w:rPr>
                <w:rFonts w:ascii="Arial" w:eastAsia="Arial" w:hAnsi="Arial" w:cs="Arial"/>
                <w:b/>
                <w:bCs/>
                <w:sz w:val="16"/>
                <w:szCs w:val="16"/>
              </w:rPr>
              <w:t>June 30, 2020</w:t>
            </w:r>
          </w:p>
        </w:tc>
      </w:tr>
      <w:tr w:rsidR="00AB7B8D" w14:paraId="19F99DC4" w14:textId="77777777">
        <w:trPr>
          <w:trHeight w:val="216"/>
        </w:trPr>
        <w:tc>
          <w:tcPr>
            <w:tcW w:w="5220" w:type="dxa"/>
            <w:tcBorders>
              <w:bottom w:val="single" w:sz="8" w:space="0" w:color="595959"/>
            </w:tcBorders>
            <w:vAlign w:val="bottom"/>
          </w:tcPr>
          <w:p w14:paraId="53BF5BAB" w14:textId="77777777" w:rsidR="00AB7B8D" w:rsidRDefault="00B328A3">
            <w:pPr>
              <w:ind w:left="80"/>
              <w:rPr>
                <w:sz w:val="20"/>
                <w:szCs w:val="20"/>
              </w:rPr>
            </w:pPr>
            <w:r>
              <w:rPr>
                <w:rFonts w:ascii="Arial" w:eastAsia="Arial" w:hAnsi="Arial" w:cs="Arial"/>
                <w:b/>
                <w:bCs/>
                <w:sz w:val="16"/>
                <w:szCs w:val="16"/>
              </w:rPr>
              <w:t>Net income, as reported (GAAP)</w:t>
            </w:r>
          </w:p>
        </w:tc>
        <w:tc>
          <w:tcPr>
            <w:tcW w:w="4200" w:type="dxa"/>
            <w:tcBorders>
              <w:bottom w:val="single" w:sz="8" w:space="0" w:color="595959"/>
            </w:tcBorders>
            <w:vAlign w:val="bottom"/>
          </w:tcPr>
          <w:p w14:paraId="6F2C8510" w14:textId="77777777" w:rsidR="00AB7B8D" w:rsidRDefault="00B328A3">
            <w:pPr>
              <w:ind w:right="99"/>
              <w:jc w:val="right"/>
              <w:rPr>
                <w:sz w:val="20"/>
                <w:szCs w:val="20"/>
              </w:rPr>
            </w:pPr>
            <w:r>
              <w:rPr>
                <w:rFonts w:ascii="Arial" w:eastAsia="Arial" w:hAnsi="Arial" w:cs="Arial"/>
                <w:b/>
                <w:bCs/>
                <w:sz w:val="16"/>
                <w:szCs w:val="16"/>
              </w:rPr>
              <w:t>$44,281</w:t>
            </w:r>
          </w:p>
        </w:tc>
      </w:tr>
      <w:tr w:rsidR="00AB7B8D" w14:paraId="7C6C2E20" w14:textId="77777777">
        <w:trPr>
          <w:trHeight w:val="223"/>
        </w:trPr>
        <w:tc>
          <w:tcPr>
            <w:tcW w:w="5220" w:type="dxa"/>
            <w:tcBorders>
              <w:bottom w:val="single" w:sz="8" w:space="0" w:color="0075C9"/>
            </w:tcBorders>
            <w:vAlign w:val="bottom"/>
          </w:tcPr>
          <w:p w14:paraId="182631DC" w14:textId="77777777" w:rsidR="00AB7B8D" w:rsidRDefault="00B328A3">
            <w:pPr>
              <w:ind w:left="380"/>
              <w:rPr>
                <w:sz w:val="20"/>
                <w:szCs w:val="20"/>
              </w:rPr>
            </w:pPr>
            <w:r>
              <w:rPr>
                <w:rFonts w:ascii="Arial" w:eastAsia="Arial" w:hAnsi="Arial" w:cs="Arial"/>
                <w:sz w:val="16"/>
                <w:szCs w:val="16"/>
              </w:rPr>
              <w:t>Provision for income taxes</w:t>
            </w:r>
          </w:p>
        </w:tc>
        <w:tc>
          <w:tcPr>
            <w:tcW w:w="4200" w:type="dxa"/>
            <w:tcBorders>
              <w:bottom w:val="single" w:sz="8" w:space="0" w:color="0075C9"/>
            </w:tcBorders>
            <w:vAlign w:val="bottom"/>
          </w:tcPr>
          <w:p w14:paraId="0C538D9B" w14:textId="77777777" w:rsidR="00AB7B8D" w:rsidRDefault="00B328A3">
            <w:pPr>
              <w:ind w:right="99"/>
              <w:jc w:val="right"/>
              <w:rPr>
                <w:sz w:val="20"/>
                <w:szCs w:val="20"/>
              </w:rPr>
            </w:pPr>
            <w:r>
              <w:rPr>
                <w:rFonts w:ascii="Arial" w:eastAsia="Arial" w:hAnsi="Arial" w:cs="Arial"/>
                <w:sz w:val="16"/>
                <w:szCs w:val="16"/>
              </w:rPr>
              <w:t>8,755</w:t>
            </w:r>
          </w:p>
        </w:tc>
      </w:tr>
      <w:tr w:rsidR="00AB7B8D" w14:paraId="6978B965" w14:textId="77777777">
        <w:trPr>
          <w:trHeight w:val="223"/>
        </w:trPr>
        <w:tc>
          <w:tcPr>
            <w:tcW w:w="5220" w:type="dxa"/>
            <w:tcBorders>
              <w:bottom w:val="single" w:sz="8" w:space="0" w:color="0075C9"/>
            </w:tcBorders>
            <w:vAlign w:val="bottom"/>
          </w:tcPr>
          <w:p w14:paraId="5D327204" w14:textId="77777777" w:rsidR="00AB7B8D" w:rsidRDefault="00B328A3">
            <w:pPr>
              <w:ind w:left="380"/>
              <w:rPr>
                <w:sz w:val="20"/>
                <w:szCs w:val="20"/>
              </w:rPr>
            </w:pPr>
            <w:r>
              <w:rPr>
                <w:rFonts w:ascii="Arial" w:eastAsia="Arial" w:hAnsi="Arial" w:cs="Arial"/>
                <w:sz w:val="16"/>
                <w:szCs w:val="16"/>
              </w:rPr>
              <w:t>Other income, net</w:t>
            </w:r>
          </w:p>
        </w:tc>
        <w:tc>
          <w:tcPr>
            <w:tcW w:w="4200" w:type="dxa"/>
            <w:tcBorders>
              <w:bottom w:val="single" w:sz="8" w:space="0" w:color="0075C9"/>
            </w:tcBorders>
            <w:vAlign w:val="bottom"/>
          </w:tcPr>
          <w:p w14:paraId="734CEEF9" w14:textId="77777777" w:rsidR="00AB7B8D" w:rsidRDefault="00B328A3">
            <w:pPr>
              <w:ind w:right="99"/>
              <w:jc w:val="right"/>
              <w:rPr>
                <w:sz w:val="20"/>
                <w:szCs w:val="20"/>
              </w:rPr>
            </w:pPr>
            <w:r>
              <w:rPr>
                <w:rFonts w:ascii="Arial" w:eastAsia="Arial" w:hAnsi="Arial" w:cs="Arial"/>
                <w:sz w:val="16"/>
                <w:szCs w:val="16"/>
              </w:rPr>
              <w:t>(77)</w:t>
            </w:r>
          </w:p>
        </w:tc>
      </w:tr>
      <w:tr w:rsidR="00AB7B8D" w14:paraId="7ED184CA" w14:textId="77777777">
        <w:trPr>
          <w:trHeight w:val="223"/>
        </w:trPr>
        <w:tc>
          <w:tcPr>
            <w:tcW w:w="5220" w:type="dxa"/>
            <w:tcBorders>
              <w:bottom w:val="single" w:sz="8" w:space="0" w:color="0075C9"/>
            </w:tcBorders>
            <w:vAlign w:val="bottom"/>
          </w:tcPr>
          <w:p w14:paraId="576D4A1B" w14:textId="77777777" w:rsidR="00AB7B8D" w:rsidRDefault="00B328A3">
            <w:pPr>
              <w:ind w:left="380"/>
              <w:rPr>
                <w:sz w:val="20"/>
                <w:szCs w:val="20"/>
              </w:rPr>
            </w:pPr>
            <w:r>
              <w:rPr>
                <w:rFonts w:ascii="Arial" w:eastAsia="Arial" w:hAnsi="Arial" w:cs="Arial"/>
                <w:sz w:val="16"/>
                <w:szCs w:val="16"/>
              </w:rPr>
              <w:t>Depreciation</w:t>
            </w:r>
          </w:p>
        </w:tc>
        <w:tc>
          <w:tcPr>
            <w:tcW w:w="4200" w:type="dxa"/>
            <w:tcBorders>
              <w:bottom w:val="single" w:sz="8" w:space="0" w:color="0075C9"/>
            </w:tcBorders>
            <w:vAlign w:val="bottom"/>
          </w:tcPr>
          <w:p w14:paraId="16C0D5A9" w14:textId="77777777" w:rsidR="00AB7B8D" w:rsidRDefault="00B328A3">
            <w:pPr>
              <w:ind w:right="99"/>
              <w:jc w:val="right"/>
              <w:rPr>
                <w:sz w:val="20"/>
                <w:szCs w:val="20"/>
              </w:rPr>
            </w:pPr>
            <w:r>
              <w:rPr>
                <w:rFonts w:ascii="Arial" w:eastAsia="Arial" w:hAnsi="Arial" w:cs="Arial"/>
                <w:sz w:val="16"/>
                <w:szCs w:val="16"/>
              </w:rPr>
              <w:t>10,700</w:t>
            </w:r>
          </w:p>
        </w:tc>
      </w:tr>
      <w:tr w:rsidR="00AB7B8D" w14:paraId="73486938" w14:textId="77777777">
        <w:trPr>
          <w:trHeight w:val="223"/>
        </w:trPr>
        <w:tc>
          <w:tcPr>
            <w:tcW w:w="5220" w:type="dxa"/>
            <w:tcBorders>
              <w:bottom w:val="single" w:sz="8" w:space="0" w:color="0075C9"/>
            </w:tcBorders>
            <w:vAlign w:val="bottom"/>
          </w:tcPr>
          <w:p w14:paraId="46E035C4" w14:textId="77777777" w:rsidR="00AB7B8D" w:rsidRDefault="00B328A3">
            <w:pPr>
              <w:ind w:left="380"/>
              <w:rPr>
                <w:sz w:val="20"/>
                <w:szCs w:val="20"/>
              </w:rPr>
            </w:pPr>
            <w:r>
              <w:rPr>
                <w:rFonts w:ascii="Arial" w:eastAsia="Arial" w:hAnsi="Arial" w:cs="Arial"/>
                <w:sz w:val="16"/>
                <w:szCs w:val="16"/>
              </w:rPr>
              <w:t>Amortization</w:t>
            </w:r>
          </w:p>
        </w:tc>
        <w:tc>
          <w:tcPr>
            <w:tcW w:w="4200" w:type="dxa"/>
            <w:tcBorders>
              <w:bottom w:val="single" w:sz="8" w:space="0" w:color="0075C9"/>
            </w:tcBorders>
            <w:vAlign w:val="bottom"/>
          </w:tcPr>
          <w:p w14:paraId="227B67C3" w14:textId="77777777" w:rsidR="00AB7B8D" w:rsidRDefault="00B328A3">
            <w:pPr>
              <w:ind w:right="99"/>
              <w:jc w:val="right"/>
              <w:rPr>
                <w:sz w:val="20"/>
                <w:szCs w:val="20"/>
              </w:rPr>
            </w:pPr>
            <w:r>
              <w:rPr>
                <w:rFonts w:ascii="Arial" w:eastAsia="Arial" w:hAnsi="Arial" w:cs="Arial"/>
                <w:sz w:val="16"/>
                <w:szCs w:val="16"/>
              </w:rPr>
              <w:t>1,600</w:t>
            </w:r>
          </w:p>
        </w:tc>
      </w:tr>
      <w:tr w:rsidR="00AB7B8D" w14:paraId="72D2F883" w14:textId="77777777">
        <w:trPr>
          <w:trHeight w:val="223"/>
        </w:trPr>
        <w:tc>
          <w:tcPr>
            <w:tcW w:w="5220" w:type="dxa"/>
            <w:tcBorders>
              <w:bottom w:val="single" w:sz="8" w:space="0" w:color="0075C9"/>
            </w:tcBorders>
            <w:vAlign w:val="bottom"/>
          </w:tcPr>
          <w:p w14:paraId="3BF99130" w14:textId="77777777" w:rsidR="00AB7B8D" w:rsidRDefault="00B328A3">
            <w:pPr>
              <w:ind w:left="80"/>
              <w:rPr>
                <w:sz w:val="20"/>
                <w:szCs w:val="20"/>
              </w:rPr>
            </w:pPr>
            <w:r>
              <w:rPr>
                <w:rFonts w:ascii="Arial" w:eastAsia="Arial" w:hAnsi="Arial" w:cs="Arial"/>
                <w:b/>
                <w:bCs/>
                <w:sz w:val="16"/>
                <w:szCs w:val="16"/>
              </w:rPr>
              <w:t>EBITDA (non-GAAP)</w:t>
            </w:r>
          </w:p>
        </w:tc>
        <w:tc>
          <w:tcPr>
            <w:tcW w:w="4200" w:type="dxa"/>
            <w:tcBorders>
              <w:bottom w:val="single" w:sz="8" w:space="0" w:color="0075C9"/>
            </w:tcBorders>
            <w:vAlign w:val="bottom"/>
          </w:tcPr>
          <w:p w14:paraId="7043C46A" w14:textId="77777777" w:rsidR="00AB7B8D" w:rsidRDefault="00B328A3">
            <w:pPr>
              <w:ind w:right="99"/>
              <w:jc w:val="right"/>
              <w:rPr>
                <w:sz w:val="20"/>
                <w:szCs w:val="20"/>
              </w:rPr>
            </w:pPr>
            <w:r>
              <w:rPr>
                <w:rFonts w:ascii="Arial" w:eastAsia="Arial" w:hAnsi="Arial" w:cs="Arial"/>
                <w:b/>
                <w:bCs/>
                <w:sz w:val="16"/>
                <w:szCs w:val="16"/>
              </w:rPr>
              <w:t>$65,259</w:t>
            </w:r>
          </w:p>
        </w:tc>
      </w:tr>
    </w:tbl>
    <w:p w14:paraId="2294A9E9" w14:textId="77777777" w:rsidR="00AB7B8D" w:rsidRDefault="00AB7B8D">
      <w:pPr>
        <w:spacing w:line="184" w:lineRule="exact"/>
        <w:rPr>
          <w:sz w:val="20"/>
          <w:szCs w:val="20"/>
        </w:rPr>
      </w:pPr>
    </w:p>
    <w:p w14:paraId="3C470DE9" w14:textId="77777777" w:rsidR="00AB7B8D" w:rsidRDefault="00B328A3">
      <w:pPr>
        <w:rPr>
          <w:sz w:val="20"/>
          <w:szCs w:val="20"/>
        </w:rPr>
      </w:pPr>
      <w:r>
        <w:rPr>
          <w:rFonts w:ascii="Arial" w:eastAsia="Arial" w:hAnsi="Arial" w:cs="Arial"/>
          <w:b/>
          <w:bCs/>
        </w:rPr>
        <w:t>Non-GAAP Definition</w:t>
      </w:r>
    </w:p>
    <w:p w14:paraId="0CED7B50" w14:textId="77777777" w:rsidR="00AB7B8D" w:rsidRDefault="00AB7B8D">
      <w:pPr>
        <w:spacing w:line="132" w:lineRule="exact"/>
        <w:rPr>
          <w:sz w:val="20"/>
          <w:szCs w:val="20"/>
        </w:rPr>
      </w:pPr>
    </w:p>
    <w:p w14:paraId="0DA07379" w14:textId="77777777" w:rsidR="00AB7B8D" w:rsidRDefault="00B328A3">
      <w:pPr>
        <w:spacing w:line="249" w:lineRule="auto"/>
        <w:ind w:right="20"/>
        <w:rPr>
          <w:sz w:val="20"/>
          <w:szCs w:val="20"/>
        </w:rPr>
      </w:pPr>
      <w:r>
        <w:rPr>
          <w:rFonts w:ascii="Arial" w:eastAsia="Arial" w:hAnsi="Arial" w:cs="Arial"/>
          <w:sz w:val="16"/>
          <w:szCs w:val="16"/>
        </w:rPr>
        <w:t>EBITDA, a non-GAAP financial measure, refers to earnings before interest, taxes, depreciation, and amortization. We provided our EBITDA, as well as 2020 EBITDA for a peer group of technology and general industry companies (calculated using the most comparable line items from their publicly reported financial statements), for fiscal year 2020 to provide investors with additional insight into how our Compensation Committee determined our peer group for assessing pay practices. Management does not utilize EBITDA in evaluating business performance. EBITDA should not be considered as a substitute for, or superior to, net income prepared in accordance with GAAP as a measure of financial performance.</w:t>
      </w:r>
    </w:p>
    <w:sectPr w:rsidR="00AB7B8D" w:rsidSect="001A45CF">
      <w:pgSz w:w="11900" w:h="16838"/>
      <w:pgMar w:top="1440" w:right="1440" w:bottom="1440" w:left="1440" w:header="0" w:footer="0" w:gutter="0"/>
      <w:cols w:space="720" w:equalWidth="0">
        <w:col w:w="923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9989B" w14:textId="77777777" w:rsidR="00B328A3" w:rsidRDefault="00B328A3" w:rsidP="00331D0F">
      <w:r>
        <w:separator/>
      </w:r>
    </w:p>
  </w:endnote>
  <w:endnote w:type="continuationSeparator" w:id="0">
    <w:p w14:paraId="092BF41A" w14:textId="77777777" w:rsidR="00B328A3" w:rsidRDefault="00B328A3" w:rsidP="0033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1E011" w14:textId="77777777" w:rsidR="00B328A3" w:rsidRDefault="00B328A3" w:rsidP="00331D0F">
      <w:r>
        <w:separator/>
      </w:r>
    </w:p>
  </w:footnote>
  <w:footnote w:type="continuationSeparator" w:id="0">
    <w:p w14:paraId="1551412A" w14:textId="77777777" w:rsidR="00B328A3" w:rsidRDefault="00B328A3" w:rsidP="00331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5CFF"/>
    <w:multiLevelType w:val="hybridMultilevel"/>
    <w:tmpl w:val="946423D4"/>
    <w:lvl w:ilvl="0" w:tplc="DCD2054A">
      <w:start w:val="1"/>
      <w:numFmt w:val="bullet"/>
      <w:lvlText w:val="☐"/>
      <w:lvlJc w:val="left"/>
    </w:lvl>
    <w:lvl w:ilvl="1" w:tplc="21426374">
      <w:numFmt w:val="decimal"/>
      <w:lvlText w:val=""/>
      <w:lvlJc w:val="left"/>
    </w:lvl>
    <w:lvl w:ilvl="2" w:tplc="B1F8F752">
      <w:numFmt w:val="decimal"/>
      <w:lvlText w:val=""/>
      <w:lvlJc w:val="left"/>
    </w:lvl>
    <w:lvl w:ilvl="3" w:tplc="893AEDEA">
      <w:numFmt w:val="decimal"/>
      <w:lvlText w:val=""/>
      <w:lvlJc w:val="left"/>
    </w:lvl>
    <w:lvl w:ilvl="4" w:tplc="CFA43E24">
      <w:numFmt w:val="decimal"/>
      <w:lvlText w:val=""/>
      <w:lvlJc w:val="left"/>
    </w:lvl>
    <w:lvl w:ilvl="5" w:tplc="44365E8A">
      <w:numFmt w:val="decimal"/>
      <w:lvlText w:val=""/>
      <w:lvlJc w:val="left"/>
    </w:lvl>
    <w:lvl w:ilvl="6" w:tplc="6CF209C8">
      <w:numFmt w:val="decimal"/>
      <w:lvlText w:val=""/>
      <w:lvlJc w:val="left"/>
    </w:lvl>
    <w:lvl w:ilvl="7" w:tplc="A5D20818">
      <w:numFmt w:val="decimal"/>
      <w:lvlText w:val=""/>
      <w:lvlJc w:val="left"/>
    </w:lvl>
    <w:lvl w:ilvl="8" w:tplc="ECDC5232">
      <w:numFmt w:val="decimal"/>
      <w:lvlText w:val=""/>
      <w:lvlJc w:val="left"/>
    </w:lvl>
  </w:abstractNum>
  <w:abstractNum w:abstractNumId="1" w15:restartNumberingAfterBreak="0">
    <w:nsid w:val="238E1F29"/>
    <w:multiLevelType w:val="hybridMultilevel"/>
    <w:tmpl w:val="C120A160"/>
    <w:lvl w:ilvl="0" w:tplc="8384DE3C">
      <w:start w:val="1"/>
      <w:numFmt w:val="bullet"/>
      <w:lvlText w:val="☒"/>
      <w:lvlJc w:val="left"/>
    </w:lvl>
    <w:lvl w:ilvl="1" w:tplc="4FC0F6D8">
      <w:numFmt w:val="decimal"/>
      <w:lvlText w:val=""/>
      <w:lvlJc w:val="left"/>
    </w:lvl>
    <w:lvl w:ilvl="2" w:tplc="80D04A78">
      <w:numFmt w:val="decimal"/>
      <w:lvlText w:val=""/>
      <w:lvlJc w:val="left"/>
    </w:lvl>
    <w:lvl w:ilvl="3" w:tplc="482C2C2E">
      <w:numFmt w:val="decimal"/>
      <w:lvlText w:val=""/>
      <w:lvlJc w:val="left"/>
    </w:lvl>
    <w:lvl w:ilvl="4" w:tplc="645239BE">
      <w:numFmt w:val="decimal"/>
      <w:lvlText w:val=""/>
      <w:lvlJc w:val="left"/>
    </w:lvl>
    <w:lvl w:ilvl="5" w:tplc="91EEC982">
      <w:numFmt w:val="decimal"/>
      <w:lvlText w:val=""/>
      <w:lvlJc w:val="left"/>
    </w:lvl>
    <w:lvl w:ilvl="6" w:tplc="201ADBDE">
      <w:numFmt w:val="decimal"/>
      <w:lvlText w:val=""/>
      <w:lvlJc w:val="left"/>
    </w:lvl>
    <w:lvl w:ilvl="7" w:tplc="573E62BC">
      <w:numFmt w:val="decimal"/>
      <w:lvlText w:val=""/>
      <w:lvlJc w:val="left"/>
    </w:lvl>
    <w:lvl w:ilvl="8" w:tplc="48706B4A">
      <w:numFmt w:val="decimal"/>
      <w:lvlText w:val=""/>
      <w:lvlJc w:val="left"/>
    </w:lvl>
  </w:abstractNum>
  <w:abstractNum w:abstractNumId="2" w15:restartNumberingAfterBreak="0">
    <w:nsid w:val="2AE8944A"/>
    <w:multiLevelType w:val="hybridMultilevel"/>
    <w:tmpl w:val="C5FA90A6"/>
    <w:lvl w:ilvl="0" w:tplc="A6E8A628">
      <w:start w:val="1"/>
      <w:numFmt w:val="bullet"/>
      <w:lvlText w:val="☒"/>
      <w:lvlJc w:val="left"/>
    </w:lvl>
    <w:lvl w:ilvl="1" w:tplc="F0CA15F8">
      <w:numFmt w:val="decimal"/>
      <w:lvlText w:val=""/>
      <w:lvlJc w:val="left"/>
    </w:lvl>
    <w:lvl w:ilvl="2" w:tplc="0F462EA2">
      <w:numFmt w:val="decimal"/>
      <w:lvlText w:val=""/>
      <w:lvlJc w:val="left"/>
    </w:lvl>
    <w:lvl w:ilvl="3" w:tplc="414C87E0">
      <w:numFmt w:val="decimal"/>
      <w:lvlText w:val=""/>
      <w:lvlJc w:val="left"/>
    </w:lvl>
    <w:lvl w:ilvl="4" w:tplc="013E0964">
      <w:numFmt w:val="decimal"/>
      <w:lvlText w:val=""/>
      <w:lvlJc w:val="left"/>
    </w:lvl>
    <w:lvl w:ilvl="5" w:tplc="9000DF08">
      <w:numFmt w:val="decimal"/>
      <w:lvlText w:val=""/>
      <w:lvlJc w:val="left"/>
    </w:lvl>
    <w:lvl w:ilvl="6" w:tplc="EABA9F1A">
      <w:numFmt w:val="decimal"/>
      <w:lvlText w:val=""/>
      <w:lvlJc w:val="left"/>
    </w:lvl>
    <w:lvl w:ilvl="7" w:tplc="387ECCC4">
      <w:numFmt w:val="decimal"/>
      <w:lvlText w:val=""/>
      <w:lvlJc w:val="left"/>
    </w:lvl>
    <w:lvl w:ilvl="8" w:tplc="1BDE96F2">
      <w:numFmt w:val="decimal"/>
      <w:lvlText w:val=""/>
      <w:lvlJc w:val="left"/>
    </w:lvl>
  </w:abstractNum>
  <w:abstractNum w:abstractNumId="3" w15:restartNumberingAfterBreak="0">
    <w:nsid w:val="46E87CCD"/>
    <w:multiLevelType w:val="hybridMultilevel"/>
    <w:tmpl w:val="58D2E5DA"/>
    <w:lvl w:ilvl="0" w:tplc="649E844A">
      <w:start w:val="1"/>
      <w:numFmt w:val="bullet"/>
      <w:lvlText w:val="☐"/>
      <w:lvlJc w:val="left"/>
    </w:lvl>
    <w:lvl w:ilvl="1" w:tplc="9CEA2BA4">
      <w:start w:val="1"/>
      <w:numFmt w:val="decimal"/>
      <w:lvlText w:val="(%2)"/>
      <w:lvlJc w:val="left"/>
    </w:lvl>
    <w:lvl w:ilvl="2" w:tplc="766EC9B4">
      <w:numFmt w:val="decimal"/>
      <w:lvlText w:val=""/>
      <w:lvlJc w:val="left"/>
    </w:lvl>
    <w:lvl w:ilvl="3" w:tplc="7C8EDDF0">
      <w:numFmt w:val="decimal"/>
      <w:lvlText w:val=""/>
      <w:lvlJc w:val="left"/>
    </w:lvl>
    <w:lvl w:ilvl="4" w:tplc="D714C76C">
      <w:numFmt w:val="decimal"/>
      <w:lvlText w:val=""/>
      <w:lvlJc w:val="left"/>
    </w:lvl>
    <w:lvl w:ilvl="5" w:tplc="1FDA5712">
      <w:numFmt w:val="decimal"/>
      <w:lvlText w:val=""/>
      <w:lvlJc w:val="left"/>
    </w:lvl>
    <w:lvl w:ilvl="6" w:tplc="D90E9CD8">
      <w:numFmt w:val="decimal"/>
      <w:lvlText w:val=""/>
      <w:lvlJc w:val="left"/>
    </w:lvl>
    <w:lvl w:ilvl="7" w:tplc="8126FF78">
      <w:numFmt w:val="decimal"/>
      <w:lvlText w:val=""/>
      <w:lvlJc w:val="left"/>
    </w:lvl>
    <w:lvl w:ilvl="8" w:tplc="322417A2">
      <w:numFmt w:val="decimal"/>
      <w:lvlText w:val=""/>
      <w:lvlJc w:val="left"/>
    </w:lvl>
  </w:abstractNum>
  <w:abstractNum w:abstractNumId="4" w15:restartNumberingAfterBreak="0">
    <w:nsid w:val="625558EC"/>
    <w:multiLevelType w:val="hybridMultilevel"/>
    <w:tmpl w:val="5BC278E6"/>
    <w:lvl w:ilvl="0" w:tplc="856877B0">
      <w:start w:val="1"/>
      <w:numFmt w:val="bullet"/>
      <w:lvlText w:val="☐"/>
      <w:lvlJc w:val="left"/>
    </w:lvl>
    <w:lvl w:ilvl="1" w:tplc="19CAD248">
      <w:numFmt w:val="decimal"/>
      <w:lvlText w:val=""/>
      <w:lvlJc w:val="left"/>
    </w:lvl>
    <w:lvl w:ilvl="2" w:tplc="9066FB72">
      <w:numFmt w:val="decimal"/>
      <w:lvlText w:val=""/>
      <w:lvlJc w:val="left"/>
    </w:lvl>
    <w:lvl w:ilvl="3" w:tplc="F7983F14">
      <w:numFmt w:val="decimal"/>
      <w:lvlText w:val=""/>
      <w:lvlJc w:val="left"/>
    </w:lvl>
    <w:lvl w:ilvl="4" w:tplc="7054D7FE">
      <w:numFmt w:val="decimal"/>
      <w:lvlText w:val=""/>
      <w:lvlJc w:val="left"/>
    </w:lvl>
    <w:lvl w:ilvl="5" w:tplc="C71889B2">
      <w:numFmt w:val="decimal"/>
      <w:lvlText w:val=""/>
      <w:lvlJc w:val="left"/>
    </w:lvl>
    <w:lvl w:ilvl="6" w:tplc="FF04DDBC">
      <w:numFmt w:val="decimal"/>
      <w:lvlText w:val=""/>
      <w:lvlJc w:val="left"/>
    </w:lvl>
    <w:lvl w:ilvl="7" w:tplc="F1481C0C">
      <w:numFmt w:val="decimal"/>
      <w:lvlText w:val=""/>
      <w:lvlJc w:val="left"/>
    </w:lvl>
    <w:lvl w:ilvl="8" w:tplc="5E3E0832">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8D"/>
    <w:rsid w:val="001A45CF"/>
    <w:rsid w:val="00331D0F"/>
    <w:rsid w:val="00AB7B8D"/>
    <w:rsid w:val="00B328A3"/>
    <w:rsid w:val="00D8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59E14"/>
  <w15:docId w15:val="{A70290FE-91BB-4503-9A2B-28A2236A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D0F"/>
    <w:pPr>
      <w:tabs>
        <w:tab w:val="center" w:pos="4680"/>
        <w:tab w:val="right" w:pos="9360"/>
      </w:tabs>
    </w:pPr>
  </w:style>
  <w:style w:type="character" w:customStyle="1" w:styleId="HeaderChar">
    <w:name w:val="Header Char"/>
    <w:basedOn w:val="DefaultParagraphFont"/>
    <w:link w:val="Header"/>
    <w:uiPriority w:val="99"/>
    <w:rsid w:val="00331D0F"/>
  </w:style>
  <w:style w:type="paragraph" w:styleId="Footer">
    <w:name w:val="footer"/>
    <w:basedOn w:val="Normal"/>
    <w:link w:val="FooterChar"/>
    <w:uiPriority w:val="99"/>
    <w:unhideWhenUsed/>
    <w:rsid w:val="00331D0F"/>
    <w:pPr>
      <w:tabs>
        <w:tab w:val="center" w:pos="4680"/>
        <w:tab w:val="right" w:pos="9360"/>
      </w:tabs>
    </w:pPr>
  </w:style>
  <w:style w:type="character" w:customStyle="1" w:styleId="FooterChar">
    <w:name w:val="Footer Char"/>
    <w:basedOn w:val="DefaultParagraphFont"/>
    <w:link w:val="Footer"/>
    <w:uiPriority w:val="99"/>
    <w:rsid w:val="0033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Dennie Kimbrough</cp:lastModifiedBy>
  <cp:revision>2</cp:revision>
  <dcterms:created xsi:type="dcterms:W3CDTF">2020-12-02T19:20:00Z</dcterms:created>
  <dcterms:modified xsi:type="dcterms:W3CDTF">2020-12-02T19:20:00Z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2020-12-02T19:15:16Z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33d4d0de-6212-448a-b098-6c6cdf212494</vt:lpwstr>
  </property>
  <property fmtid="{D5CDD505-2E9C-101B-9397-08002B2CF9AE}" pid="8" name="MSIP_Label_f42aa342-8706-4288-bd11-ebb85995028c_ContentBits">
    <vt:lpwstr>0</vt:lpwstr>
  </property>
</Properties>
</file>