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0E5D" w14:textId="53B46480" w:rsidR="005C6392" w:rsidRPr="00123413" w:rsidRDefault="005C6392" w:rsidP="00F57EFD">
      <w:pPr>
        <w:spacing w:after="0" w:line="320" w:lineRule="exact"/>
        <w:rPr>
          <w:rFonts w:ascii="Segoe UI" w:hAnsi="Segoe UI" w:cs="Segoe UI"/>
          <w:color w:val="333333"/>
          <w:sz w:val="26"/>
          <w:szCs w:val="26"/>
        </w:rPr>
      </w:pPr>
      <w:bookmarkStart w:id="0" w:name="_GoBack"/>
      <w:bookmarkEnd w:id="0"/>
      <w:r w:rsidRPr="00123413">
        <w:rPr>
          <w:rFonts w:ascii="Segoe UI" w:hAnsi="Segoe UI" w:cs="Segoe UI"/>
          <w:color w:val="333333"/>
          <w:sz w:val="26"/>
          <w:szCs w:val="26"/>
        </w:rPr>
        <w:t>Microsoft Reports</w:t>
      </w:r>
      <w:r w:rsidR="00E05A35">
        <w:rPr>
          <w:rFonts w:ascii="Segoe UI" w:hAnsi="Segoe UI" w:cs="Segoe UI"/>
          <w:color w:val="333333"/>
          <w:sz w:val="26"/>
          <w:szCs w:val="26"/>
        </w:rPr>
        <w:t xml:space="preserve"> </w:t>
      </w:r>
      <w:r w:rsidR="00F6284B">
        <w:rPr>
          <w:rFonts w:ascii="Segoe UI" w:hAnsi="Segoe UI" w:cs="Segoe UI"/>
          <w:color w:val="333333"/>
          <w:sz w:val="26"/>
          <w:szCs w:val="26"/>
        </w:rPr>
        <w:t>Fourth-Quarter and Full-Year</w:t>
      </w:r>
      <w:r w:rsidR="000C63D3">
        <w:rPr>
          <w:rFonts w:ascii="Segoe UI" w:hAnsi="Segoe UI" w:cs="Segoe UI"/>
          <w:color w:val="333333"/>
          <w:sz w:val="26"/>
          <w:szCs w:val="26"/>
        </w:rPr>
        <w:t xml:space="preserve"> Results</w:t>
      </w:r>
    </w:p>
    <w:p w14:paraId="415D7654" w14:textId="29F49A0A" w:rsidR="00EC669F" w:rsidRPr="00F57EFD" w:rsidRDefault="00CC4B46" w:rsidP="00F57EFD">
      <w:pPr>
        <w:spacing w:after="0" w:line="320" w:lineRule="exact"/>
        <w:rPr>
          <w:rFonts w:ascii="Segoe UI" w:hAnsi="Segoe UI" w:cs="Segoe UI"/>
          <w:i/>
          <w:color w:val="666666"/>
          <w:sz w:val="18"/>
          <w:szCs w:val="18"/>
        </w:rPr>
      </w:pPr>
      <w:r>
        <w:rPr>
          <w:rFonts w:ascii="Segoe UI" w:hAnsi="Segoe UI" w:cs="Segoe UI"/>
          <w:i/>
          <w:color w:val="666666"/>
          <w:sz w:val="18"/>
          <w:szCs w:val="18"/>
        </w:rPr>
        <w:t>R</w:t>
      </w:r>
      <w:r w:rsidR="00BB4172">
        <w:rPr>
          <w:rFonts w:ascii="Segoe UI" w:hAnsi="Segoe UI" w:cs="Segoe UI"/>
          <w:i/>
          <w:color w:val="666666"/>
          <w:sz w:val="18"/>
          <w:szCs w:val="18"/>
        </w:rPr>
        <w:t xml:space="preserve">esults reflect </w:t>
      </w:r>
      <w:r>
        <w:rPr>
          <w:rFonts w:ascii="Segoe UI" w:hAnsi="Segoe UI" w:cs="Segoe UI"/>
          <w:i/>
          <w:color w:val="666666"/>
          <w:sz w:val="18"/>
          <w:szCs w:val="18"/>
        </w:rPr>
        <w:t>ongoing strength in enterprise</w:t>
      </w:r>
      <w:r w:rsidR="00BB4172">
        <w:rPr>
          <w:rFonts w:ascii="Segoe UI" w:hAnsi="Segoe UI" w:cs="Segoe UI"/>
          <w:i/>
          <w:color w:val="666666"/>
          <w:sz w:val="18"/>
          <w:szCs w:val="18"/>
        </w:rPr>
        <w:t xml:space="preserve"> </w:t>
      </w:r>
      <w:r>
        <w:rPr>
          <w:rFonts w:ascii="Segoe UI" w:hAnsi="Segoe UI" w:cs="Segoe UI"/>
          <w:i/>
          <w:color w:val="666666"/>
          <w:sz w:val="18"/>
          <w:szCs w:val="18"/>
        </w:rPr>
        <w:t xml:space="preserve">offset by a challenging consumer </w:t>
      </w:r>
      <w:r w:rsidR="000F1C6F">
        <w:rPr>
          <w:rFonts w:ascii="Segoe UI" w:hAnsi="Segoe UI" w:cs="Segoe UI"/>
          <w:i/>
          <w:color w:val="666666"/>
          <w:sz w:val="18"/>
          <w:szCs w:val="18"/>
        </w:rPr>
        <w:t>PC</w:t>
      </w:r>
      <w:r>
        <w:rPr>
          <w:rFonts w:ascii="Segoe UI" w:hAnsi="Segoe UI" w:cs="Segoe UI"/>
          <w:i/>
          <w:color w:val="666666"/>
          <w:sz w:val="18"/>
          <w:szCs w:val="18"/>
        </w:rPr>
        <w:t xml:space="preserve"> market</w:t>
      </w:r>
      <w:r w:rsidR="00BB4172">
        <w:rPr>
          <w:rFonts w:ascii="Segoe UI" w:hAnsi="Segoe UI" w:cs="Segoe UI"/>
          <w:i/>
          <w:color w:val="666666"/>
          <w:sz w:val="18"/>
          <w:szCs w:val="18"/>
        </w:rPr>
        <w:t>.</w:t>
      </w:r>
    </w:p>
    <w:p w14:paraId="69D72B1A" w14:textId="77777777" w:rsidR="005C6392" w:rsidRPr="00123413" w:rsidRDefault="005C6392" w:rsidP="00F57EFD">
      <w:pPr>
        <w:spacing w:after="0" w:line="480" w:lineRule="auto"/>
        <w:ind w:firstLine="720"/>
        <w:rPr>
          <w:rFonts w:ascii="Segoe UI" w:hAnsi="Segoe UI" w:cs="Segoe UI"/>
          <w:b/>
          <w:color w:val="666666"/>
          <w:sz w:val="16"/>
          <w:szCs w:val="16"/>
        </w:rPr>
      </w:pPr>
    </w:p>
    <w:p w14:paraId="26059015" w14:textId="1C633A8E" w:rsidR="00172091" w:rsidRDefault="005C6392" w:rsidP="00172091">
      <w:pPr>
        <w:spacing w:line="280" w:lineRule="exact"/>
        <w:rPr>
          <w:rFonts w:ascii="Segoe UI" w:hAnsi="Segoe UI" w:cs="Segoe UI"/>
          <w:color w:val="666666"/>
          <w:sz w:val="20"/>
          <w:szCs w:val="20"/>
        </w:rPr>
      </w:pPr>
      <w:r w:rsidRPr="00123413">
        <w:rPr>
          <w:rFonts w:ascii="Segoe UI" w:hAnsi="Segoe UI" w:cs="Segoe UI"/>
          <w:b/>
          <w:color w:val="666666"/>
          <w:sz w:val="20"/>
          <w:szCs w:val="20"/>
        </w:rPr>
        <w:t xml:space="preserve">REDMOND, Wash. — </w:t>
      </w:r>
      <w:r w:rsidR="00574CA7">
        <w:rPr>
          <w:rFonts w:ascii="Segoe UI" w:hAnsi="Segoe UI" w:cs="Segoe UI"/>
          <w:b/>
          <w:color w:val="666666"/>
          <w:sz w:val="20"/>
          <w:szCs w:val="20"/>
        </w:rPr>
        <w:t>July</w:t>
      </w:r>
      <w:r w:rsidR="00F62B79">
        <w:rPr>
          <w:rFonts w:ascii="Segoe UI" w:hAnsi="Segoe UI" w:cs="Segoe UI"/>
          <w:b/>
          <w:color w:val="666666"/>
          <w:sz w:val="20"/>
          <w:szCs w:val="20"/>
        </w:rPr>
        <w:t xml:space="preserve"> </w:t>
      </w:r>
      <w:r w:rsidR="000C63D3">
        <w:rPr>
          <w:rFonts w:ascii="Segoe UI" w:hAnsi="Segoe UI" w:cs="Segoe UI"/>
          <w:b/>
          <w:color w:val="666666"/>
          <w:sz w:val="20"/>
          <w:szCs w:val="20"/>
        </w:rPr>
        <w:t>18</w:t>
      </w:r>
      <w:r w:rsidR="00F62B79">
        <w:rPr>
          <w:rFonts w:ascii="Segoe UI" w:hAnsi="Segoe UI" w:cs="Segoe UI"/>
          <w:b/>
          <w:color w:val="666666"/>
          <w:sz w:val="20"/>
          <w:szCs w:val="20"/>
        </w:rPr>
        <w:t>, 2013</w:t>
      </w:r>
      <w:r w:rsidRPr="00123413">
        <w:rPr>
          <w:rFonts w:ascii="Segoe UI" w:hAnsi="Segoe UI" w:cs="Segoe UI"/>
          <w:b/>
          <w:color w:val="666666"/>
          <w:sz w:val="20"/>
          <w:szCs w:val="20"/>
        </w:rPr>
        <w:t xml:space="preserve"> —</w:t>
      </w:r>
      <w:r w:rsidRPr="00123413">
        <w:rPr>
          <w:rFonts w:ascii="Segoe UI" w:hAnsi="Segoe UI" w:cs="Segoe UI"/>
          <w:color w:val="666666"/>
          <w:sz w:val="20"/>
          <w:szCs w:val="20"/>
        </w:rPr>
        <w:t xml:space="preserve"> Microsoft Corp. today announced </w:t>
      </w:r>
      <w:r w:rsidR="00B929B7">
        <w:rPr>
          <w:rFonts w:ascii="Segoe UI" w:hAnsi="Segoe UI" w:cs="Segoe UI"/>
          <w:color w:val="666666"/>
          <w:sz w:val="20"/>
          <w:szCs w:val="20"/>
        </w:rPr>
        <w:t>quarterly</w:t>
      </w:r>
      <w:r w:rsidRPr="00123413">
        <w:rPr>
          <w:rFonts w:ascii="Segoe UI" w:hAnsi="Segoe UI" w:cs="Segoe UI"/>
          <w:color w:val="666666"/>
          <w:sz w:val="20"/>
          <w:szCs w:val="20"/>
        </w:rPr>
        <w:t xml:space="preserve"> revenue of $</w:t>
      </w:r>
      <w:r w:rsidR="00574CA7">
        <w:rPr>
          <w:rFonts w:ascii="Segoe UI" w:hAnsi="Segoe UI" w:cs="Segoe UI"/>
          <w:color w:val="666666"/>
          <w:sz w:val="20"/>
          <w:szCs w:val="20"/>
        </w:rPr>
        <w:t>19</w:t>
      </w:r>
      <w:r w:rsidRPr="00123413">
        <w:rPr>
          <w:rFonts w:ascii="Segoe UI" w:hAnsi="Segoe UI" w:cs="Segoe UI"/>
          <w:color w:val="666666"/>
          <w:sz w:val="20"/>
          <w:szCs w:val="20"/>
        </w:rPr>
        <w:t>.</w:t>
      </w:r>
      <w:r w:rsidR="00574CA7">
        <w:rPr>
          <w:rFonts w:ascii="Segoe UI" w:hAnsi="Segoe UI" w:cs="Segoe UI"/>
          <w:color w:val="666666"/>
          <w:sz w:val="20"/>
          <w:szCs w:val="20"/>
        </w:rPr>
        <w:t>90</w:t>
      </w:r>
      <w:r w:rsidRPr="00123413">
        <w:rPr>
          <w:rFonts w:ascii="Segoe UI" w:hAnsi="Segoe UI" w:cs="Segoe UI"/>
          <w:color w:val="666666"/>
          <w:sz w:val="20"/>
          <w:szCs w:val="20"/>
        </w:rPr>
        <w:t xml:space="preserve"> billion for the quarter ended </w:t>
      </w:r>
      <w:r w:rsidR="00574CA7">
        <w:rPr>
          <w:rFonts w:ascii="Segoe UI" w:hAnsi="Segoe UI" w:cs="Segoe UI"/>
          <w:color w:val="666666"/>
          <w:sz w:val="20"/>
          <w:szCs w:val="20"/>
        </w:rPr>
        <w:t>June</w:t>
      </w:r>
      <w:r w:rsidRPr="00123413">
        <w:rPr>
          <w:rFonts w:ascii="Segoe UI" w:hAnsi="Segoe UI" w:cs="Segoe UI"/>
          <w:color w:val="666666"/>
          <w:sz w:val="20"/>
          <w:szCs w:val="20"/>
        </w:rPr>
        <w:t xml:space="preserve"> 3</w:t>
      </w:r>
      <w:r w:rsidR="00574CA7">
        <w:rPr>
          <w:rFonts w:ascii="Segoe UI" w:hAnsi="Segoe UI" w:cs="Segoe UI"/>
          <w:color w:val="666666"/>
          <w:sz w:val="20"/>
          <w:szCs w:val="20"/>
        </w:rPr>
        <w:t>0</w:t>
      </w:r>
      <w:r w:rsidRPr="00123413">
        <w:rPr>
          <w:rFonts w:ascii="Segoe UI" w:hAnsi="Segoe UI" w:cs="Segoe UI"/>
          <w:color w:val="666666"/>
          <w:sz w:val="20"/>
          <w:szCs w:val="20"/>
        </w:rPr>
        <w:t>, 201</w:t>
      </w:r>
      <w:r w:rsidR="001848A2">
        <w:rPr>
          <w:rFonts w:ascii="Segoe UI" w:hAnsi="Segoe UI" w:cs="Segoe UI"/>
          <w:color w:val="666666"/>
          <w:sz w:val="20"/>
          <w:szCs w:val="20"/>
        </w:rPr>
        <w:t>3</w:t>
      </w:r>
      <w:r w:rsidRPr="00123413">
        <w:rPr>
          <w:rFonts w:ascii="Segoe UI" w:hAnsi="Segoe UI" w:cs="Segoe UI"/>
          <w:color w:val="666666"/>
          <w:sz w:val="20"/>
          <w:szCs w:val="20"/>
        </w:rPr>
        <w:t>. Operating income, net income, and diluted earnings per share for the quarter were $</w:t>
      </w:r>
      <w:r w:rsidR="00574CA7">
        <w:rPr>
          <w:rFonts w:ascii="Segoe UI" w:hAnsi="Segoe UI" w:cs="Segoe UI"/>
          <w:color w:val="666666"/>
          <w:sz w:val="20"/>
          <w:szCs w:val="20"/>
        </w:rPr>
        <w:t>6</w:t>
      </w:r>
      <w:r w:rsidRPr="00123413">
        <w:rPr>
          <w:rFonts w:ascii="Segoe UI" w:hAnsi="Segoe UI" w:cs="Segoe UI"/>
          <w:color w:val="666666"/>
          <w:sz w:val="20"/>
          <w:szCs w:val="20"/>
        </w:rPr>
        <w:t>.</w:t>
      </w:r>
      <w:r w:rsidR="00EC6E95">
        <w:rPr>
          <w:rFonts w:ascii="Segoe UI" w:hAnsi="Segoe UI" w:cs="Segoe UI"/>
          <w:color w:val="666666"/>
          <w:sz w:val="20"/>
          <w:szCs w:val="20"/>
        </w:rPr>
        <w:t>0</w:t>
      </w:r>
      <w:r w:rsidR="00574CA7">
        <w:rPr>
          <w:rFonts w:ascii="Segoe UI" w:hAnsi="Segoe UI" w:cs="Segoe UI"/>
          <w:color w:val="666666"/>
          <w:sz w:val="20"/>
          <w:szCs w:val="20"/>
        </w:rPr>
        <w:t>7</w:t>
      </w:r>
      <w:r w:rsidRPr="00123413">
        <w:rPr>
          <w:rFonts w:ascii="Segoe UI" w:hAnsi="Segoe UI" w:cs="Segoe UI"/>
          <w:color w:val="666666"/>
          <w:sz w:val="20"/>
          <w:szCs w:val="20"/>
        </w:rPr>
        <w:t xml:space="preserve"> billion, $</w:t>
      </w:r>
      <w:r w:rsidR="00EC6E95">
        <w:rPr>
          <w:rFonts w:ascii="Segoe UI" w:hAnsi="Segoe UI" w:cs="Segoe UI"/>
          <w:color w:val="666666"/>
          <w:sz w:val="20"/>
          <w:szCs w:val="20"/>
        </w:rPr>
        <w:t>4</w:t>
      </w:r>
      <w:r w:rsidRPr="00123413">
        <w:rPr>
          <w:rFonts w:ascii="Segoe UI" w:hAnsi="Segoe UI" w:cs="Segoe UI"/>
          <w:color w:val="666666"/>
          <w:sz w:val="20"/>
          <w:szCs w:val="20"/>
        </w:rPr>
        <w:t>.</w:t>
      </w:r>
      <w:r w:rsidR="00EC6E95">
        <w:rPr>
          <w:rFonts w:ascii="Segoe UI" w:hAnsi="Segoe UI" w:cs="Segoe UI"/>
          <w:color w:val="666666"/>
          <w:sz w:val="20"/>
          <w:szCs w:val="20"/>
        </w:rPr>
        <w:t>97</w:t>
      </w:r>
      <w:r w:rsidRPr="00123413">
        <w:rPr>
          <w:rFonts w:ascii="Segoe UI" w:hAnsi="Segoe UI" w:cs="Segoe UI"/>
          <w:color w:val="666666"/>
          <w:sz w:val="20"/>
          <w:szCs w:val="20"/>
        </w:rPr>
        <w:t xml:space="preserve"> billion, and $0.</w:t>
      </w:r>
      <w:r w:rsidR="00EC6E95">
        <w:rPr>
          <w:rFonts w:ascii="Segoe UI" w:hAnsi="Segoe UI" w:cs="Segoe UI"/>
          <w:color w:val="666666"/>
          <w:sz w:val="20"/>
          <w:szCs w:val="20"/>
        </w:rPr>
        <w:t>59</w:t>
      </w:r>
      <w:r w:rsidRPr="00123413">
        <w:rPr>
          <w:rFonts w:ascii="Segoe UI" w:hAnsi="Segoe UI" w:cs="Segoe UI"/>
          <w:color w:val="666666"/>
          <w:sz w:val="20"/>
          <w:szCs w:val="20"/>
        </w:rPr>
        <w:t xml:space="preserve"> per share.</w:t>
      </w:r>
      <w:r w:rsidR="00172091">
        <w:rPr>
          <w:rFonts w:ascii="Segoe UI" w:hAnsi="Segoe UI" w:cs="Segoe UI"/>
          <w:color w:val="666666"/>
          <w:sz w:val="20"/>
          <w:szCs w:val="20"/>
        </w:rPr>
        <w:t xml:space="preserve"> </w:t>
      </w:r>
      <w:r w:rsidRPr="00123413">
        <w:rPr>
          <w:rFonts w:ascii="Segoe UI" w:hAnsi="Segoe UI" w:cs="Segoe UI"/>
          <w:color w:val="666666"/>
          <w:sz w:val="20"/>
          <w:szCs w:val="20"/>
        </w:rPr>
        <w:t>These financial resul</w:t>
      </w:r>
      <w:r w:rsidR="006A3A70">
        <w:rPr>
          <w:rFonts w:ascii="Segoe UI" w:hAnsi="Segoe UI" w:cs="Segoe UI"/>
          <w:color w:val="666666"/>
          <w:sz w:val="20"/>
          <w:szCs w:val="20"/>
        </w:rPr>
        <w:t>ts</w:t>
      </w:r>
      <w:r w:rsidR="00071493">
        <w:rPr>
          <w:rFonts w:ascii="Segoe UI" w:hAnsi="Segoe UI" w:cs="Segoe UI"/>
          <w:color w:val="666666"/>
          <w:sz w:val="20"/>
          <w:szCs w:val="20"/>
        </w:rPr>
        <w:t xml:space="preserve"> include </w:t>
      </w:r>
      <w:r w:rsidR="000850E7">
        <w:rPr>
          <w:rFonts w:ascii="Segoe UI" w:hAnsi="Segoe UI" w:cs="Segoe UI"/>
          <w:color w:val="666666"/>
          <w:sz w:val="20"/>
          <w:szCs w:val="20"/>
        </w:rPr>
        <w:t xml:space="preserve">a </w:t>
      </w:r>
      <w:r w:rsidR="00071493">
        <w:rPr>
          <w:rFonts w:ascii="Segoe UI" w:hAnsi="Segoe UI" w:cs="Segoe UI"/>
          <w:color w:val="666666"/>
          <w:sz w:val="20"/>
          <w:szCs w:val="20"/>
        </w:rPr>
        <w:t>$</w:t>
      </w:r>
      <w:r w:rsidR="0050159E">
        <w:rPr>
          <w:rFonts w:ascii="Segoe UI" w:hAnsi="Segoe UI" w:cs="Segoe UI"/>
          <w:color w:val="666666"/>
          <w:sz w:val="20"/>
          <w:szCs w:val="20"/>
        </w:rPr>
        <w:t>9</w:t>
      </w:r>
      <w:r w:rsidR="00071493">
        <w:rPr>
          <w:rFonts w:ascii="Segoe UI" w:hAnsi="Segoe UI" w:cs="Segoe UI"/>
          <w:color w:val="666666"/>
          <w:sz w:val="20"/>
          <w:szCs w:val="20"/>
        </w:rPr>
        <w:t>00 million</w:t>
      </w:r>
      <w:r w:rsidR="003221A2">
        <w:rPr>
          <w:rFonts w:ascii="Segoe UI" w:hAnsi="Segoe UI" w:cs="Segoe UI"/>
          <w:color w:val="666666"/>
          <w:sz w:val="20"/>
          <w:szCs w:val="20"/>
        </w:rPr>
        <w:t xml:space="preserve"> charge</w:t>
      </w:r>
      <w:r w:rsidR="000850E7">
        <w:rPr>
          <w:rFonts w:ascii="Segoe UI" w:hAnsi="Segoe UI" w:cs="Segoe UI"/>
          <w:color w:val="666666"/>
          <w:sz w:val="20"/>
          <w:szCs w:val="20"/>
        </w:rPr>
        <w:t xml:space="preserve">, or </w:t>
      </w:r>
      <w:r w:rsidR="00082804">
        <w:rPr>
          <w:rFonts w:ascii="Segoe UI" w:hAnsi="Segoe UI" w:cs="Segoe UI"/>
          <w:color w:val="666666"/>
          <w:sz w:val="20"/>
          <w:szCs w:val="20"/>
        </w:rPr>
        <w:t xml:space="preserve">a </w:t>
      </w:r>
      <w:r w:rsidR="000850E7">
        <w:rPr>
          <w:rFonts w:ascii="Segoe UI" w:hAnsi="Segoe UI" w:cs="Segoe UI"/>
          <w:color w:val="666666"/>
          <w:sz w:val="20"/>
          <w:szCs w:val="20"/>
        </w:rPr>
        <w:t>$0.0</w:t>
      </w:r>
      <w:r w:rsidR="00EC6E95">
        <w:rPr>
          <w:rFonts w:ascii="Segoe UI" w:hAnsi="Segoe UI" w:cs="Segoe UI"/>
          <w:color w:val="666666"/>
          <w:sz w:val="20"/>
          <w:szCs w:val="20"/>
        </w:rPr>
        <w:t>7</w:t>
      </w:r>
      <w:r w:rsidR="000850E7">
        <w:rPr>
          <w:rFonts w:ascii="Segoe UI" w:hAnsi="Segoe UI" w:cs="Segoe UI"/>
          <w:color w:val="666666"/>
          <w:sz w:val="20"/>
          <w:szCs w:val="20"/>
        </w:rPr>
        <w:t xml:space="preserve"> per share</w:t>
      </w:r>
      <w:r w:rsidR="003221A2">
        <w:rPr>
          <w:rFonts w:ascii="Segoe UI" w:hAnsi="Segoe UI" w:cs="Segoe UI"/>
          <w:color w:val="666666"/>
          <w:sz w:val="20"/>
          <w:szCs w:val="20"/>
        </w:rPr>
        <w:t xml:space="preserve"> impact</w:t>
      </w:r>
      <w:r w:rsidR="000850E7">
        <w:rPr>
          <w:rFonts w:ascii="Segoe UI" w:hAnsi="Segoe UI" w:cs="Segoe UI"/>
          <w:color w:val="666666"/>
          <w:sz w:val="20"/>
          <w:szCs w:val="20"/>
        </w:rPr>
        <w:t>,</w:t>
      </w:r>
      <w:r w:rsidR="00071493">
        <w:rPr>
          <w:rFonts w:ascii="Segoe UI" w:hAnsi="Segoe UI" w:cs="Segoe UI"/>
          <w:color w:val="666666"/>
          <w:sz w:val="20"/>
          <w:szCs w:val="20"/>
        </w:rPr>
        <w:t xml:space="preserve"> related to Surface</w:t>
      </w:r>
      <w:r w:rsidR="0050159E">
        <w:rPr>
          <w:rFonts w:ascii="Segoe UI" w:hAnsi="Segoe UI" w:cs="Segoe UI"/>
          <w:color w:val="666666"/>
          <w:sz w:val="20"/>
          <w:szCs w:val="20"/>
        </w:rPr>
        <w:t xml:space="preserve"> RT</w:t>
      </w:r>
      <w:r w:rsidR="00071493">
        <w:rPr>
          <w:rFonts w:ascii="Segoe UI" w:hAnsi="Segoe UI" w:cs="Segoe UI"/>
          <w:color w:val="666666"/>
          <w:sz w:val="20"/>
          <w:szCs w:val="20"/>
        </w:rPr>
        <w:t xml:space="preserve"> inventory adjustments.</w:t>
      </w:r>
    </w:p>
    <w:p w14:paraId="115ECDE8" w14:textId="17F7E978" w:rsidR="00C82433" w:rsidRDefault="00071493" w:rsidP="00C575AB">
      <w:pPr>
        <w:spacing w:after="270" w:line="280" w:lineRule="exact"/>
        <w:rPr>
          <w:rFonts w:ascii="Segoe UI" w:hAnsi="Segoe UI" w:cs="Segoe UI"/>
          <w:color w:val="666666"/>
          <w:sz w:val="20"/>
          <w:szCs w:val="20"/>
        </w:rPr>
      </w:pPr>
      <w:r>
        <w:rPr>
          <w:rFonts w:ascii="Segoe UI" w:hAnsi="Segoe UI" w:cs="Segoe UI"/>
          <w:color w:val="666666"/>
          <w:sz w:val="20"/>
          <w:szCs w:val="20"/>
        </w:rPr>
        <w:t xml:space="preserve">In addition, these financial results </w:t>
      </w:r>
      <w:r w:rsidR="00172091">
        <w:rPr>
          <w:rFonts w:ascii="Segoe UI" w:hAnsi="Segoe UI" w:cs="Segoe UI"/>
          <w:color w:val="666666"/>
          <w:sz w:val="20"/>
          <w:szCs w:val="20"/>
        </w:rPr>
        <w:t>reflect</w:t>
      </w:r>
      <w:r>
        <w:rPr>
          <w:rFonts w:ascii="Segoe UI" w:hAnsi="Segoe UI" w:cs="Segoe UI"/>
          <w:color w:val="666666"/>
          <w:sz w:val="20"/>
          <w:szCs w:val="20"/>
        </w:rPr>
        <w:t xml:space="preserve"> the</w:t>
      </w:r>
      <w:r w:rsidR="009B24F3">
        <w:rPr>
          <w:rFonts w:ascii="Segoe UI" w:hAnsi="Segoe UI" w:cs="Segoe UI"/>
          <w:color w:val="666666"/>
          <w:sz w:val="20"/>
          <w:szCs w:val="20"/>
        </w:rPr>
        <w:t xml:space="preserve"> </w:t>
      </w:r>
      <w:r w:rsidR="00F912F1">
        <w:rPr>
          <w:rFonts w:ascii="Segoe UI" w:hAnsi="Segoe UI" w:cs="Segoe UI"/>
          <w:color w:val="666666"/>
          <w:sz w:val="20"/>
          <w:szCs w:val="20"/>
        </w:rPr>
        <w:t xml:space="preserve">recognition of </w:t>
      </w:r>
      <w:r w:rsidR="00944918">
        <w:rPr>
          <w:rFonts w:ascii="Segoe UI" w:hAnsi="Segoe UI" w:cs="Segoe UI"/>
          <w:color w:val="666666"/>
          <w:sz w:val="20"/>
          <w:szCs w:val="20"/>
        </w:rPr>
        <w:t xml:space="preserve">$782 million of </w:t>
      </w:r>
      <w:r w:rsidR="003F188D">
        <w:rPr>
          <w:rFonts w:ascii="Segoe UI" w:hAnsi="Segoe UI" w:cs="Segoe UI"/>
          <w:color w:val="666666"/>
          <w:sz w:val="20"/>
          <w:szCs w:val="20"/>
        </w:rPr>
        <w:t xml:space="preserve">previously deferred </w:t>
      </w:r>
      <w:r w:rsidR="00F912F1">
        <w:rPr>
          <w:rFonts w:ascii="Segoe UI" w:hAnsi="Segoe UI" w:cs="Segoe UI"/>
          <w:color w:val="666666"/>
          <w:sz w:val="20"/>
          <w:szCs w:val="20"/>
        </w:rPr>
        <w:t>revenue related to the</w:t>
      </w:r>
      <w:r w:rsidR="001A12C1">
        <w:rPr>
          <w:rFonts w:ascii="Segoe UI" w:hAnsi="Segoe UI" w:cs="Segoe UI"/>
          <w:color w:val="666666"/>
          <w:sz w:val="20"/>
          <w:szCs w:val="20"/>
        </w:rPr>
        <w:t xml:space="preserve"> </w:t>
      </w:r>
      <w:r w:rsidR="006A3A70">
        <w:rPr>
          <w:rFonts w:ascii="Segoe UI" w:hAnsi="Segoe UI" w:cs="Segoe UI"/>
          <w:color w:val="666666"/>
          <w:sz w:val="20"/>
          <w:szCs w:val="20"/>
        </w:rPr>
        <w:t>Office U</w:t>
      </w:r>
      <w:r w:rsidR="00525520">
        <w:rPr>
          <w:rFonts w:ascii="Segoe UI" w:hAnsi="Segoe UI" w:cs="Segoe UI"/>
          <w:color w:val="666666"/>
          <w:sz w:val="20"/>
          <w:szCs w:val="20"/>
        </w:rPr>
        <w:t>pgrade Offer</w:t>
      </w:r>
      <w:r>
        <w:rPr>
          <w:rFonts w:ascii="Segoe UI" w:hAnsi="Segoe UI" w:cs="Segoe UI"/>
          <w:color w:val="666666"/>
          <w:sz w:val="20"/>
          <w:szCs w:val="20"/>
        </w:rPr>
        <w:t>.</w:t>
      </w:r>
      <w:r w:rsidR="003C4D5B">
        <w:rPr>
          <w:rFonts w:ascii="Segoe UI" w:hAnsi="Segoe UI" w:cs="Segoe UI"/>
          <w:color w:val="666666"/>
          <w:sz w:val="20"/>
          <w:szCs w:val="20"/>
        </w:rPr>
        <w:t xml:space="preserve"> </w:t>
      </w:r>
      <w:r w:rsidR="00C82433">
        <w:rPr>
          <w:rFonts w:ascii="Segoe UI" w:hAnsi="Segoe UI" w:cs="Segoe UI"/>
          <w:color w:val="666666"/>
          <w:sz w:val="20"/>
          <w:szCs w:val="20"/>
        </w:rPr>
        <w:t>All growth comparisons relate to the corresponding period in the last fiscal year.</w:t>
      </w:r>
    </w:p>
    <w:p w14:paraId="782B11B0" w14:textId="7D0DEB0F" w:rsidR="005C6392" w:rsidRDefault="00C000C1" w:rsidP="00C575AB">
      <w:pPr>
        <w:spacing w:after="270" w:line="280" w:lineRule="exact"/>
        <w:rPr>
          <w:rFonts w:ascii="Segoe UI" w:hAnsi="Segoe UI" w:cs="Segoe UI"/>
          <w:color w:val="666666"/>
          <w:sz w:val="20"/>
          <w:szCs w:val="20"/>
        </w:rPr>
      </w:pPr>
      <w:r>
        <w:rPr>
          <w:rFonts w:ascii="Segoe UI" w:hAnsi="Segoe UI" w:cs="Segoe UI"/>
          <w:color w:val="666666"/>
          <w:sz w:val="20"/>
          <w:szCs w:val="20"/>
        </w:rPr>
        <w:t>The following table reconciles the</w:t>
      </w:r>
      <w:r w:rsidR="000064C3">
        <w:rPr>
          <w:rFonts w:ascii="Segoe UI" w:hAnsi="Segoe UI" w:cs="Segoe UI"/>
          <w:color w:val="666666"/>
          <w:sz w:val="20"/>
          <w:szCs w:val="20"/>
        </w:rPr>
        <w:t>se</w:t>
      </w:r>
      <w:r>
        <w:rPr>
          <w:rFonts w:ascii="Segoe UI" w:hAnsi="Segoe UI" w:cs="Segoe UI"/>
          <w:color w:val="666666"/>
          <w:sz w:val="20"/>
          <w:szCs w:val="20"/>
        </w:rPr>
        <w:t xml:space="preserve"> </w:t>
      </w:r>
      <w:r w:rsidR="000D242C">
        <w:rPr>
          <w:rFonts w:ascii="Segoe UI" w:hAnsi="Segoe UI" w:cs="Segoe UI"/>
          <w:color w:val="666666"/>
          <w:sz w:val="20"/>
          <w:szCs w:val="20"/>
        </w:rPr>
        <w:t>financial results reported in accordance with generally accepted accounting principles (</w:t>
      </w:r>
      <w:r>
        <w:rPr>
          <w:rFonts w:ascii="Segoe UI" w:hAnsi="Segoe UI" w:cs="Segoe UI"/>
          <w:color w:val="666666"/>
          <w:sz w:val="20"/>
          <w:szCs w:val="20"/>
        </w:rPr>
        <w:t>GAAP</w:t>
      </w:r>
      <w:r w:rsidR="000D242C">
        <w:rPr>
          <w:rFonts w:ascii="Segoe UI" w:hAnsi="Segoe UI" w:cs="Segoe UI"/>
          <w:color w:val="666666"/>
          <w:sz w:val="20"/>
          <w:szCs w:val="20"/>
        </w:rPr>
        <w:t>)</w:t>
      </w:r>
      <w:r>
        <w:rPr>
          <w:rFonts w:ascii="Segoe UI" w:hAnsi="Segoe UI" w:cs="Segoe UI"/>
          <w:color w:val="666666"/>
          <w:sz w:val="20"/>
          <w:szCs w:val="20"/>
        </w:rPr>
        <w:t xml:space="preserve"> to non-GAAP financial results.</w:t>
      </w:r>
      <w:r w:rsidR="00116381">
        <w:rPr>
          <w:rFonts w:ascii="Segoe UI" w:hAnsi="Segoe UI" w:cs="Segoe UI"/>
          <w:color w:val="666666"/>
          <w:sz w:val="20"/>
          <w:szCs w:val="20"/>
        </w:rPr>
        <w:t xml:space="preserve"> W</w:t>
      </w:r>
      <w:r w:rsidR="00116381" w:rsidRPr="00123413">
        <w:rPr>
          <w:rFonts w:ascii="Segoe UI" w:hAnsi="Segoe UI" w:cs="Segoe UI"/>
          <w:color w:val="666666"/>
          <w:sz w:val="20"/>
          <w:szCs w:val="20"/>
        </w:rPr>
        <w:t xml:space="preserve">e have provided </w:t>
      </w:r>
      <w:r w:rsidR="00116381">
        <w:rPr>
          <w:rFonts w:ascii="Segoe UI" w:hAnsi="Segoe UI" w:cs="Segoe UI"/>
          <w:color w:val="666666"/>
          <w:sz w:val="20"/>
          <w:szCs w:val="20"/>
        </w:rPr>
        <w:t>this</w:t>
      </w:r>
      <w:r w:rsidR="00116381" w:rsidRPr="00123413">
        <w:rPr>
          <w:rFonts w:ascii="Segoe UI" w:hAnsi="Segoe UI" w:cs="Segoe UI"/>
          <w:color w:val="666666"/>
          <w:sz w:val="20"/>
          <w:szCs w:val="20"/>
        </w:rPr>
        <w:t xml:space="preserve"> non-GAAP financial information to aid investors in better understanding </w:t>
      </w:r>
      <w:r w:rsidR="00116381">
        <w:rPr>
          <w:rFonts w:ascii="Segoe UI" w:hAnsi="Segoe UI" w:cs="Segoe UI"/>
          <w:color w:val="666666"/>
          <w:sz w:val="20"/>
          <w:szCs w:val="20"/>
        </w:rPr>
        <w:t>the company’s performance.</w:t>
      </w:r>
    </w:p>
    <w:tbl>
      <w:tblPr>
        <w:tblW w:w="7655" w:type="dxa"/>
        <w:tblLayout w:type="fixed"/>
        <w:tblCellMar>
          <w:left w:w="0" w:type="dxa"/>
          <w:right w:w="0" w:type="dxa"/>
        </w:tblCellMar>
        <w:tblLook w:val="04A0" w:firstRow="1" w:lastRow="0" w:firstColumn="1" w:lastColumn="0" w:noHBand="0" w:noVBand="1"/>
      </w:tblPr>
      <w:tblGrid>
        <w:gridCol w:w="2435"/>
        <w:gridCol w:w="810"/>
        <w:gridCol w:w="900"/>
        <w:gridCol w:w="810"/>
        <w:gridCol w:w="900"/>
        <w:gridCol w:w="990"/>
        <w:gridCol w:w="810"/>
      </w:tblGrid>
      <w:tr w:rsidR="00CF6D7C" w:rsidRPr="00CF6D7C" w14:paraId="3AF5F886" w14:textId="77777777" w:rsidTr="00327954">
        <w:trPr>
          <w:trHeight w:val="302"/>
        </w:trPr>
        <w:tc>
          <w:tcPr>
            <w:tcW w:w="2435" w:type="dxa"/>
            <w:shd w:val="clear" w:color="auto" w:fill="auto"/>
            <w:tcMar>
              <w:left w:w="0" w:type="dxa"/>
              <w:right w:w="0" w:type="dxa"/>
            </w:tcMar>
          </w:tcPr>
          <w:p w14:paraId="43C62CE0" w14:textId="77777777" w:rsidR="00CF6D7C" w:rsidRPr="00CF6D7C" w:rsidRDefault="00CF6D7C" w:rsidP="00327954">
            <w:pPr>
              <w:spacing w:after="0" w:line="240" w:lineRule="auto"/>
              <w:rPr>
                <w:rFonts w:ascii="Segoe UI" w:hAnsi="Segoe UI" w:cs="Segoe UI"/>
                <w:b/>
                <w:color w:val="666666"/>
                <w:sz w:val="18"/>
                <w:szCs w:val="18"/>
              </w:rPr>
            </w:pPr>
          </w:p>
        </w:tc>
        <w:tc>
          <w:tcPr>
            <w:tcW w:w="2520" w:type="dxa"/>
            <w:gridSpan w:val="3"/>
            <w:shd w:val="clear" w:color="auto" w:fill="auto"/>
            <w:tcMar>
              <w:left w:w="0" w:type="dxa"/>
              <w:right w:w="0" w:type="dxa"/>
            </w:tcMar>
            <w:vAlign w:val="bottom"/>
          </w:tcPr>
          <w:p w14:paraId="24B4735B"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39BA25B4"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c>
          <w:tcPr>
            <w:tcW w:w="2700" w:type="dxa"/>
            <w:gridSpan w:val="3"/>
            <w:shd w:val="clear" w:color="auto" w:fill="auto"/>
            <w:tcMar>
              <w:left w:w="0" w:type="dxa"/>
              <w:right w:w="0" w:type="dxa"/>
            </w:tcMar>
            <w:vAlign w:val="bottom"/>
          </w:tcPr>
          <w:p w14:paraId="35453459"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Percentage Change</w:t>
            </w:r>
          </w:p>
        </w:tc>
      </w:tr>
      <w:tr w:rsidR="00CF6D7C" w:rsidRPr="00CF6D7C" w14:paraId="4B7DC297" w14:textId="77777777" w:rsidTr="00327954">
        <w:trPr>
          <w:trHeight w:val="647"/>
        </w:trPr>
        <w:tc>
          <w:tcPr>
            <w:tcW w:w="2435" w:type="dxa"/>
            <w:shd w:val="clear" w:color="auto" w:fill="auto"/>
            <w:tcMar>
              <w:left w:w="0" w:type="dxa"/>
              <w:right w:w="0" w:type="dxa"/>
            </w:tcMar>
            <w:vAlign w:val="bottom"/>
          </w:tcPr>
          <w:p w14:paraId="094BFD62"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 share amounts and percentages)</w:t>
            </w:r>
          </w:p>
        </w:tc>
        <w:tc>
          <w:tcPr>
            <w:tcW w:w="810" w:type="dxa"/>
            <w:shd w:val="clear" w:color="auto" w:fill="auto"/>
            <w:tcMar>
              <w:left w:w="0" w:type="dxa"/>
              <w:right w:w="0" w:type="dxa"/>
            </w:tcMar>
            <w:vAlign w:val="bottom"/>
          </w:tcPr>
          <w:p w14:paraId="43443DC4"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Revenue</w:t>
            </w:r>
          </w:p>
        </w:tc>
        <w:tc>
          <w:tcPr>
            <w:tcW w:w="900" w:type="dxa"/>
            <w:shd w:val="clear" w:color="auto" w:fill="auto"/>
            <w:tcMar>
              <w:left w:w="0" w:type="dxa"/>
              <w:right w:w="0" w:type="dxa"/>
            </w:tcMar>
            <w:vAlign w:val="bottom"/>
          </w:tcPr>
          <w:p w14:paraId="2C0265A4"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73020B75"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c>
          <w:tcPr>
            <w:tcW w:w="900" w:type="dxa"/>
            <w:shd w:val="clear" w:color="auto" w:fill="auto"/>
            <w:tcMar>
              <w:left w:w="0" w:type="dxa"/>
              <w:right w:w="0" w:type="dxa"/>
            </w:tcMar>
            <w:vAlign w:val="bottom"/>
          </w:tcPr>
          <w:p w14:paraId="307E8143"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Revenue</w:t>
            </w:r>
          </w:p>
        </w:tc>
        <w:tc>
          <w:tcPr>
            <w:tcW w:w="990" w:type="dxa"/>
            <w:shd w:val="clear" w:color="auto" w:fill="auto"/>
            <w:tcMar>
              <w:left w:w="0" w:type="dxa"/>
              <w:right w:w="0" w:type="dxa"/>
            </w:tcMar>
            <w:vAlign w:val="bottom"/>
          </w:tcPr>
          <w:p w14:paraId="0031C7A0"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10C40844"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r>
      <w:tr w:rsidR="00CF6D7C" w:rsidRPr="00CF6D7C" w14:paraId="5203772A" w14:textId="77777777" w:rsidTr="00327954">
        <w:trPr>
          <w:trHeight w:val="418"/>
        </w:trPr>
        <w:tc>
          <w:tcPr>
            <w:tcW w:w="2435" w:type="dxa"/>
            <w:shd w:val="clear" w:color="auto" w:fill="auto"/>
            <w:tcMar>
              <w:left w:w="0" w:type="dxa"/>
              <w:right w:w="0" w:type="dxa"/>
            </w:tcMar>
            <w:vAlign w:val="bottom"/>
          </w:tcPr>
          <w:p w14:paraId="329EF14E"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reported (GAAP)</w:t>
            </w:r>
          </w:p>
        </w:tc>
        <w:tc>
          <w:tcPr>
            <w:tcW w:w="810" w:type="dxa"/>
            <w:shd w:val="clear" w:color="auto" w:fill="auto"/>
            <w:tcMar>
              <w:left w:w="0" w:type="dxa"/>
              <w:right w:w="0" w:type="dxa"/>
            </w:tcMar>
            <w:vAlign w:val="bottom"/>
          </w:tcPr>
          <w:p w14:paraId="169C1036"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$18,059</w:t>
            </w:r>
          </w:p>
        </w:tc>
        <w:tc>
          <w:tcPr>
            <w:tcW w:w="900" w:type="dxa"/>
            <w:shd w:val="clear" w:color="auto" w:fill="auto"/>
            <w:tcMar>
              <w:left w:w="0" w:type="dxa"/>
              <w:right w:w="0" w:type="dxa"/>
            </w:tcMar>
            <w:vAlign w:val="bottom"/>
          </w:tcPr>
          <w:p w14:paraId="7C26970B"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$192</w:t>
            </w:r>
          </w:p>
        </w:tc>
        <w:tc>
          <w:tcPr>
            <w:tcW w:w="810" w:type="dxa"/>
            <w:shd w:val="clear" w:color="auto" w:fill="auto"/>
            <w:tcMar>
              <w:left w:w="0" w:type="dxa"/>
              <w:right w:w="0" w:type="dxa"/>
            </w:tcMar>
            <w:vAlign w:val="bottom"/>
          </w:tcPr>
          <w:p w14:paraId="6F7D805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($0.06)</w:t>
            </w:r>
          </w:p>
        </w:tc>
        <w:tc>
          <w:tcPr>
            <w:tcW w:w="900" w:type="dxa"/>
            <w:shd w:val="clear" w:color="auto" w:fill="auto"/>
            <w:tcMar>
              <w:left w:w="0" w:type="dxa"/>
              <w:right w:w="0" w:type="dxa"/>
            </w:tcMar>
            <w:vAlign w:val="bottom"/>
          </w:tcPr>
          <w:p w14:paraId="3CB2B49F"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2EC81832"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4D55073C"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787E498A" w14:textId="77777777" w:rsidTr="00327954">
        <w:trPr>
          <w:trHeight w:val="302"/>
        </w:trPr>
        <w:tc>
          <w:tcPr>
            <w:tcW w:w="2435" w:type="dxa"/>
            <w:shd w:val="clear" w:color="auto" w:fill="auto"/>
            <w:tcMar>
              <w:left w:w="288" w:type="dxa"/>
              <w:right w:w="0" w:type="dxa"/>
            </w:tcMar>
            <w:vAlign w:val="bottom"/>
          </w:tcPr>
          <w:p w14:paraId="69FF7573"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Goodwill impairment</w:t>
            </w:r>
          </w:p>
        </w:tc>
        <w:tc>
          <w:tcPr>
            <w:tcW w:w="810" w:type="dxa"/>
            <w:shd w:val="clear" w:color="auto" w:fill="auto"/>
            <w:tcMar>
              <w:left w:w="0" w:type="dxa"/>
              <w:right w:w="0" w:type="dxa"/>
            </w:tcMar>
            <w:vAlign w:val="bottom"/>
          </w:tcPr>
          <w:p w14:paraId="0849ABE6"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00" w:type="dxa"/>
            <w:shd w:val="clear" w:color="auto" w:fill="auto"/>
            <w:tcMar>
              <w:left w:w="0" w:type="dxa"/>
              <w:right w:w="0" w:type="dxa"/>
            </w:tcMar>
            <w:vAlign w:val="bottom"/>
          </w:tcPr>
          <w:p w14:paraId="0D54585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$6,193</w:t>
            </w:r>
          </w:p>
        </w:tc>
        <w:tc>
          <w:tcPr>
            <w:tcW w:w="810" w:type="dxa"/>
            <w:shd w:val="clear" w:color="auto" w:fill="auto"/>
            <w:tcMar>
              <w:left w:w="0" w:type="dxa"/>
              <w:right w:w="0" w:type="dxa"/>
            </w:tcMar>
            <w:vAlign w:val="bottom"/>
          </w:tcPr>
          <w:p w14:paraId="77CDEDE0"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$0.73</w:t>
            </w:r>
          </w:p>
        </w:tc>
        <w:tc>
          <w:tcPr>
            <w:tcW w:w="900" w:type="dxa"/>
            <w:shd w:val="clear" w:color="auto" w:fill="auto"/>
            <w:tcMar>
              <w:left w:w="0" w:type="dxa"/>
              <w:right w:w="0" w:type="dxa"/>
            </w:tcMar>
            <w:vAlign w:val="bottom"/>
          </w:tcPr>
          <w:p w14:paraId="322B9646"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4D30C47C"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62EEA6B5"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072561C4" w14:textId="77777777" w:rsidTr="00327954">
        <w:trPr>
          <w:trHeight w:val="302"/>
        </w:trPr>
        <w:tc>
          <w:tcPr>
            <w:tcW w:w="2435" w:type="dxa"/>
            <w:shd w:val="clear" w:color="auto" w:fill="auto"/>
            <w:tcMar>
              <w:left w:w="288" w:type="dxa"/>
              <w:right w:w="0" w:type="dxa"/>
            </w:tcMar>
            <w:vAlign w:val="bottom"/>
          </w:tcPr>
          <w:p w14:paraId="1FD82088"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Windows Upgrade Offer</w:t>
            </w:r>
          </w:p>
        </w:tc>
        <w:tc>
          <w:tcPr>
            <w:tcW w:w="810" w:type="dxa"/>
            <w:shd w:val="clear" w:color="auto" w:fill="auto"/>
            <w:tcMar>
              <w:left w:w="0" w:type="dxa"/>
              <w:right w:w="0" w:type="dxa"/>
            </w:tcMar>
            <w:vAlign w:val="bottom"/>
          </w:tcPr>
          <w:p w14:paraId="4164BC60"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$540</w:t>
            </w:r>
          </w:p>
        </w:tc>
        <w:tc>
          <w:tcPr>
            <w:tcW w:w="900" w:type="dxa"/>
            <w:shd w:val="clear" w:color="auto" w:fill="auto"/>
            <w:tcMar>
              <w:left w:w="0" w:type="dxa"/>
              <w:right w:w="0" w:type="dxa"/>
            </w:tcMar>
            <w:vAlign w:val="bottom"/>
          </w:tcPr>
          <w:p w14:paraId="509B86D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$540</w:t>
            </w:r>
          </w:p>
        </w:tc>
        <w:tc>
          <w:tcPr>
            <w:tcW w:w="810" w:type="dxa"/>
            <w:shd w:val="clear" w:color="auto" w:fill="auto"/>
            <w:tcMar>
              <w:left w:w="0" w:type="dxa"/>
              <w:right w:w="0" w:type="dxa"/>
            </w:tcMar>
            <w:vAlign w:val="bottom"/>
          </w:tcPr>
          <w:p w14:paraId="7990C962"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$0.06</w:t>
            </w:r>
          </w:p>
        </w:tc>
        <w:tc>
          <w:tcPr>
            <w:tcW w:w="900" w:type="dxa"/>
            <w:shd w:val="clear" w:color="auto" w:fill="auto"/>
            <w:tcMar>
              <w:left w:w="0" w:type="dxa"/>
              <w:right w:w="0" w:type="dxa"/>
            </w:tcMar>
            <w:vAlign w:val="bottom"/>
          </w:tcPr>
          <w:p w14:paraId="428AA84A"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5C670A1B"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77FB84DF"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3F674010" w14:textId="77777777" w:rsidTr="00327954">
        <w:trPr>
          <w:trHeight w:val="418"/>
        </w:trPr>
        <w:tc>
          <w:tcPr>
            <w:tcW w:w="2435" w:type="dxa"/>
            <w:shd w:val="clear" w:color="auto" w:fill="auto"/>
            <w:tcMar>
              <w:left w:w="0" w:type="dxa"/>
              <w:right w:w="0" w:type="dxa"/>
            </w:tcMar>
            <w:vAlign w:val="bottom"/>
          </w:tcPr>
          <w:p w14:paraId="40244E55"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adjusted (non-GAAP)</w:t>
            </w:r>
          </w:p>
        </w:tc>
        <w:tc>
          <w:tcPr>
            <w:tcW w:w="810" w:type="dxa"/>
            <w:shd w:val="clear" w:color="auto" w:fill="auto"/>
            <w:tcMar>
              <w:left w:w="0" w:type="dxa"/>
              <w:right w:w="0" w:type="dxa"/>
            </w:tcMar>
            <w:vAlign w:val="bottom"/>
          </w:tcPr>
          <w:p w14:paraId="4BDDDA36"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$18,599</w:t>
            </w:r>
          </w:p>
        </w:tc>
        <w:tc>
          <w:tcPr>
            <w:tcW w:w="900" w:type="dxa"/>
            <w:shd w:val="clear" w:color="auto" w:fill="auto"/>
            <w:tcMar>
              <w:left w:w="0" w:type="dxa"/>
              <w:right w:w="0" w:type="dxa"/>
            </w:tcMar>
            <w:vAlign w:val="bottom"/>
          </w:tcPr>
          <w:p w14:paraId="19092076"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$6,925</w:t>
            </w:r>
          </w:p>
        </w:tc>
        <w:tc>
          <w:tcPr>
            <w:tcW w:w="810" w:type="dxa"/>
            <w:shd w:val="clear" w:color="auto" w:fill="auto"/>
            <w:tcMar>
              <w:left w:w="0" w:type="dxa"/>
              <w:right w:w="0" w:type="dxa"/>
            </w:tcMar>
            <w:vAlign w:val="bottom"/>
          </w:tcPr>
          <w:p w14:paraId="0E2F165A"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$0.73</w:t>
            </w:r>
          </w:p>
        </w:tc>
        <w:tc>
          <w:tcPr>
            <w:tcW w:w="900" w:type="dxa"/>
            <w:shd w:val="clear" w:color="auto" w:fill="auto"/>
            <w:tcMar>
              <w:left w:w="0" w:type="dxa"/>
              <w:right w:w="0" w:type="dxa"/>
            </w:tcMar>
            <w:vAlign w:val="bottom"/>
          </w:tcPr>
          <w:p w14:paraId="3F79391C"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2890CCC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560CAD75"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371EBB67" w14:textId="77777777" w:rsidTr="00327954">
        <w:trPr>
          <w:trHeight w:val="418"/>
        </w:trPr>
        <w:tc>
          <w:tcPr>
            <w:tcW w:w="2435" w:type="dxa"/>
            <w:shd w:val="clear" w:color="auto" w:fill="auto"/>
            <w:tcMar>
              <w:left w:w="0" w:type="dxa"/>
              <w:right w:w="0" w:type="dxa"/>
            </w:tcMar>
            <w:vAlign w:val="bottom"/>
          </w:tcPr>
          <w:p w14:paraId="7711887D"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2013 As reported (GAAP)</w:t>
            </w:r>
          </w:p>
        </w:tc>
        <w:tc>
          <w:tcPr>
            <w:tcW w:w="810" w:type="dxa"/>
            <w:shd w:val="clear" w:color="auto" w:fill="auto"/>
            <w:tcMar>
              <w:left w:w="0" w:type="dxa"/>
              <w:right w:w="0" w:type="dxa"/>
            </w:tcMar>
            <w:vAlign w:val="bottom"/>
          </w:tcPr>
          <w:p w14:paraId="76AE2C14"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$19,896</w:t>
            </w:r>
          </w:p>
        </w:tc>
        <w:tc>
          <w:tcPr>
            <w:tcW w:w="900" w:type="dxa"/>
            <w:shd w:val="clear" w:color="auto" w:fill="auto"/>
            <w:tcMar>
              <w:left w:w="0" w:type="dxa"/>
              <w:right w:w="0" w:type="dxa"/>
            </w:tcMar>
            <w:vAlign w:val="bottom"/>
          </w:tcPr>
          <w:p w14:paraId="12DDE119" w14:textId="7D789126" w:rsidR="00CF6D7C" w:rsidRPr="00CF6D7C" w:rsidRDefault="00CF6D7C" w:rsidP="005337D6">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w:t>
            </w:r>
            <w:r w:rsidR="005337D6">
              <w:rPr>
                <w:rFonts w:ascii="Segoe UI" w:hAnsi="Segoe UI" w:cs="Segoe UI"/>
                <w:bCs/>
                <w:color w:val="666666"/>
                <w:sz w:val="18"/>
                <w:szCs w:val="18"/>
              </w:rPr>
              <w:t>0</w:t>
            </w:r>
            <w:r w:rsidRPr="00CF6D7C">
              <w:rPr>
                <w:rFonts w:ascii="Segoe UI" w:hAnsi="Segoe UI" w:cs="Segoe UI"/>
                <w:bCs/>
                <w:color w:val="666666"/>
                <w:sz w:val="18"/>
                <w:szCs w:val="18"/>
              </w:rPr>
              <w:t>73</w:t>
            </w:r>
          </w:p>
        </w:tc>
        <w:tc>
          <w:tcPr>
            <w:tcW w:w="810" w:type="dxa"/>
            <w:shd w:val="clear" w:color="auto" w:fill="auto"/>
            <w:tcMar>
              <w:left w:w="0" w:type="dxa"/>
              <w:right w:w="0" w:type="dxa"/>
            </w:tcMar>
            <w:vAlign w:val="bottom"/>
          </w:tcPr>
          <w:p w14:paraId="651129DC" w14:textId="74DAF437" w:rsidR="00CF6D7C" w:rsidRPr="00CF6D7C" w:rsidRDefault="00CF6D7C" w:rsidP="005337D6">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w:t>
            </w:r>
            <w:r w:rsidR="005337D6">
              <w:rPr>
                <w:rFonts w:ascii="Segoe UI" w:hAnsi="Segoe UI" w:cs="Segoe UI"/>
                <w:bCs/>
                <w:color w:val="666666"/>
                <w:sz w:val="18"/>
                <w:szCs w:val="18"/>
              </w:rPr>
              <w:t>59</w:t>
            </w:r>
          </w:p>
        </w:tc>
        <w:tc>
          <w:tcPr>
            <w:tcW w:w="900" w:type="dxa"/>
            <w:shd w:val="clear" w:color="auto" w:fill="auto"/>
            <w:tcMar>
              <w:left w:w="0" w:type="dxa"/>
              <w:right w:w="0" w:type="dxa"/>
            </w:tcMar>
            <w:vAlign w:val="bottom"/>
          </w:tcPr>
          <w:p w14:paraId="5E7FDC73"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10%</w:t>
            </w:r>
          </w:p>
        </w:tc>
        <w:tc>
          <w:tcPr>
            <w:tcW w:w="990" w:type="dxa"/>
            <w:shd w:val="clear" w:color="auto" w:fill="auto"/>
            <w:tcMar>
              <w:left w:w="0" w:type="dxa"/>
              <w:right w:w="0" w:type="dxa"/>
            </w:tcMar>
            <w:vAlign w:val="bottom"/>
          </w:tcPr>
          <w:p w14:paraId="6A390775"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p>
        </w:tc>
        <w:tc>
          <w:tcPr>
            <w:tcW w:w="810" w:type="dxa"/>
            <w:shd w:val="clear" w:color="auto" w:fill="auto"/>
            <w:tcMar>
              <w:left w:w="0" w:type="dxa"/>
              <w:right w:w="0" w:type="dxa"/>
            </w:tcMar>
            <w:vAlign w:val="bottom"/>
          </w:tcPr>
          <w:p w14:paraId="28E011FC"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p>
        </w:tc>
      </w:tr>
      <w:tr w:rsidR="00CF6D7C" w:rsidRPr="00CF6D7C" w14:paraId="64030D1E" w14:textId="77777777" w:rsidTr="00327954">
        <w:trPr>
          <w:trHeight w:val="302"/>
        </w:trPr>
        <w:tc>
          <w:tcPr>
            <w:tcW w:w="2435" w:type="dxa"/>
            <w:shd w:val="clear" w:color="auto" w:fill="auto"/>
            <w:tcMar>
              <w:left w:w="288" w:type="dxa"/>
              <w:right w:w="0" w:type="dxa"/>
            </w:tcMar>
            <w:vAlign w:val="bottom"/>
          </w:tcPr>
          <w:p w14:paraId="31082381"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Office Upgrade Offer</w:t>
            </w:r>
          </w:p>
        </w:tc>
        <w:tc>
          <w:tcPr>
            <w:tcW w:w="810" w:type="dxa"/>
            <w:shd w:val="clear" w:color="auto" w:fill="auto"/>
            <w:tcMar>
              <w:left w:w="0" w:type="dxa"/>
              <w:right w:w="0" w:type="dxa"/>
            </w:tcMar>
            <w:vAlign w:val="bottom"/>
          </w:tcPr>
          <w:p w14:paraId="2046D179"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($782)</w:t>
            </w:r>
          </w:p>
        </w:tc>
        <w:tc>
          <w:tcPr>
            <w:tcW w:w="900" w:type="dxa"/>
            <w:shd w:val="clear" w:color="auto" w:fill="auto"/>
            <w:tcMar>
              <w:left w:w="0" w:type="dxa"/>
              <w:right w:w="0" w:type="dxa"/>
            </w:tcMar>
            <w:vAlign w:val="bottom"/>
          </w:tcPr>
          <w:p w14:paraId="57DEDEFB"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($782)</w:t>
            </w:r>
          </w:p>
        </w:tc>
        <w:tc>
          <w:tcPr>
            <w:tcW w:w="810" w:type="dxa"/>
            <w:shd w:val="clear" w:color="auto" w:fill="auto"/>
            <w:tcMar>
              <w:left w:w="0" w:type="dxa"/>
              <w:right w:w="0" w:type="dxa"/>
            </w:tcMar>
            <w:vAlign w:val="bottom"/>
          </w:tcPr>
          <w:p w14:paraId="1C1D1CBA"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($0.07)</w:t>
            </w:r>
          </w:p>
        </w:tc>
        <w:tc>
          <w:tcPr>
            <w:tcW w:w="900" w:type="dxa"/>
            <w:shd w:val="clear" w:color="auto" w:fill="auto"/>
            <w:tcMar>
              <w:left w:w="0" w:type="dxa"/>
              <w:right w:w="0" w:type="dxa"/>
            </w:tcMar>
            <w:vAlign w:val="bottom"/>
          </w:tcPr>
          <w:p w14:paraId="23E3C15F"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737E1D05"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482C3BE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2C535B3F" w14:textId="77777777" w:rsidTr="00327954">
        <w:trPr>
          <w:trHeight w:val="367"/>
        </w:trPr>
        <w:tc>
          <w:tcPr>
            <w:tcW w:w="2435" w:type="dxa"/>
            <w:shd w:val="clear" w:color="auto" w:fill="auto"/>
            <w:tcMar>
              <w:left w:w="0" w:type="dxa"/>
              <w:right w:w="0" w:type="dxa"/>
            </w:tcMar>
            <w:vAlign w:val="bottom"/>
          </w:tcPr>
          <w:p w14:paraId="641B2FEF"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2013 As adjusted (non-GAAP)</w:t>
            </w:r>
          </w:p>
        </w:tc>
        <w:tc>
          <w:tcPr>
            <w:tcW w:w="810" w:type="dxa"/>
            <w:shd w:val="clear" w:color="auto" w:fill="auto"/>
            <w:tcMar>
              <w:left w:w="0" w:type="dxa"/>
              <w:right w:w="0" w:type="dxa"/>
            </w:tcMar>
            <w:vAlign w:val="bottom"/>
          </w:tcPr>
          <w:p w14:paraId="020ABD38"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$19,114</w:t>
            </w:r>
          </w:p>
        </w:tc>
        <w:tc>
          <w:tcPr>
            <w:tcW w:w="900" w:type="dxa"/>
            <w:shd w:val="clear" w:color="auto" w:fill="auto"/>
            <w:tcMar>
              <w:left w:w="0" w:type="dxa"/>
              <w:right w:w="0" w:type="dxa"/>
            </w:tcMar>
            <w:vAlign w:val="bottom"/>
          </w:tcPr>
          <w:p w14:paraId="7109B534" w14:textId="35E5A149" w:rsidR="00CF6D7C" w:rsidRPr="00CF6D7C" w:rsidRDefault="00CF6D7C" w:rsidP="005337D6">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$5,</w:t>
            </w:r>
            <w:r w:rsidR="005337D6">
              <w:rPr>
                <w:rFonts w:ascii="Segoe UI" w:hAnsi="Segoe UI" w:cs="Segoe UI"/>
                <w:bCs/>
                <w:color w:val="666666"/>
                <w:sz w:val="18"/>
                <w:szCs w:val="18"/>
              </w:rPr>
              <w:t>2</w:t>
            </w:r>
            <w:r w:rsidRPr="00CF6D7C">
              <w:rPr>
                <w:rFonts w:ascii="Segoe UI" w:hAnsi="Segoe UI" w:cs="Segoe UI"/>
                <w:bCs/>
                <w:color w:val="666666"/>
                <w:sz w:val="18"/>
                <w:szCs w:val="18"/>
              </w:rPr>
              <w:t>91</w:t>
            </w:r>
          </w:p>
        </w:tc>
        <w:tc>
          <w:tcPr>
            <w:tcW w:w="810" w:type="dxa"/>
            <w:shd w:val="clear" w:color="auto" w:fill="auto"/>
            <w:tcMar>
              <w:left w:w="0" w:type="dxa"/>
              <w:right w:w="0" w:type="dxa"/>
            </w:tcMar>
            <w:vAlign w:val="bottom"/>
          </w:tcPr>
          <w:p w14:paraId="1C797E03" w14:textId="73873EB8" w:rsidR="00CF6D7C" w:rsidRPr="00CF6D7C" w:rsidRDefault="00CF6D7C" w:rsidP="005337D6">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$0.5</w:t>
            </w:r>
            <w:r w:rsidR="005337D6">
              <w:rPr>
                <w:rFonts w:ascii="Segoe UI" w:hAnsi="Segoe UI" w:cs="Segoe UI"/>
                <w:bCs/>
                <w:color w:val="666666"/>
                <w:sz w:val="18"/>
                <w:szCs w:val="18"/>
              </w:rPr>
              <w:t>2</w:t>
            </w:r>
          </w:p>
        </w:tc>
        <w:tc>
          <w:tcPr>
            <w:tcW w:w="900" w:type="dxa"/>
            <w:shd w:val="clear" w:color="auto" w:fill="auto"/>
            <w:tcMar>
              <w:left w:w="0" w:type="dxa"/>
              <w:right w:w="0" w:type="dxa"/>
            </w:tcMar>
            <w:vAlign w:val="bottom"/>
          </w:tcPr>
          <w:p w14:paraId="7BE3F5B4"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3%</w:t>
            </w:r>
          </w:p>
        </w:tc>
        <w:tc>
          <w:tcPr>
            <w:tcW w:w="990" w:type="dxa"/>
            <w:shd w:val="clear" w:color="auto" w:fill="auto"/>
            <w:tcMar>
              <w:left w:w="0" w:type="dxa"/>
              <w:right w:w="0" w:type="dxa"/>
            </w:tcMar>
            <w:vAlign w:val="bottom"/>
          </w:tcPr>
          <w:p w14:paraId="7355F891" w14:textId="48144EA0" w:rsidR="00CF6D7C" w:rsidRPr="00CF6D7C" w:rsidRDefault="00CF6D7C" w:rsidP="005337D6">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r w:rsidR="005337D6">
              <w:rPr>
                <w:rFonts w:ascii="Segoe UI" w:hAnsi="Segoe UI" w:cs="Segoe UI"/>
                <w:bCs/>
                <w:color w:val="666666"/>
                <w:sz w:val="18"/>
                <w:szCs w:val="18"/>
              </w:rPr>
              <w:t>4</w:t>
            </w:r>
            <w:r w:rsidRPr="00CF6D7C">
              <w:rPr>
                <w:rFonts w:ascii="Segoe UI" w:hAnsi="Segoe UI" w:cs="Segoe UI"/>
                <w:bCs/>
                <w:color w:val="666666"/>
                <w:sz w:val="18"/>
                <w:szCs w:val="18"/>
              </w:rPr>
              <w:t>)%</w:t>
            </w:r>
          </w:p>
        </w:tc>
        <w:tc>
          <w:tcPr>
            <w:tcW w:w="810" w:type="dxa"/>
            <w:shd w:val="clear" w:color="auto" w:fill="auto"/>
            <w:tcMar>
              <w:left w:w="0" w:type="dxa"/>
              <w:right w:w="0" w:type="dxa"/>
            </w:tcMar>
            <w:vAlign w:val="bottom"/>
          </w:tcPr>
          <w:p w14:paraId="442DCE62" w14:textId="18F2D402" w:rsidR="00CF6D7C" w:rsidRPr="00CF6D7C" w:rsidRDefault="00CF6D7C" w:rsidP="005337D6">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r w:rsidR="005337D6">
              <w:rPr>
                <w:rFonts w:ascii="Segoe UI" w:hAnsi="Segoe UI" w:cs="Segoe UI"/>
                <w:bCs/>
                <w:color w:val="666666"/>
                <w:sz w:val="18"/>
                <w:szCs w:val="18"/>
              </w:rPr>
              <w:t>9</w:t>
            </w:r>
            <w:r w:rsidRPr="00CF6D7C">
              <w:rPr>
                <w:rFonts w:ascii="Segoe UI" w:hAnsi="Segoe UI" w:cs="Segoe UI"/>
                <w:bCs/>
                <w:color w:val="666666"/>
                <w:sz w:val="18"/>
                <w:szCs w:val="18"/>
              </w:rPr>
              <w:t>)%</w:t>
            </w:r>
          </w:p>
        </w:tc>
      </w:tr>
    </w:tbl>
    <w:p w14:paraId="03A756F8" w14:textId="77777777" w:rsidR="007603DF" w:rsidRPr="006273F8" w:rsidRDefault="007603DF" w:rsidP="00F57EFD">
      <w:pPr>
        <w:ind w:firstLine="90"/>
        <w:rPr>
          <w:rFonts w:ascii="Segoe UI" w:hAnsi="Segoe UI" w:cs="Segoe UI"/>
          <w:i/>
          <w:color w:val="666666"/>
          <w:sz w:val="16"/>
          <w:szCs w:val="16"/>
        </w:rPr>
      </w:pPr>
      <w:r w:rsidRPr="006273F8">
        <w:rPr>
          <w:rFonts w:ascii="Segoe UI" w:hAnsi="Segoe UI" w:cs="Segoe UI"/>
          <w:i/>
          <w:color w:val="666666"/>
          <w:sz w:val="16"/>
          <w:szCs w:val="16"/>
        </w:rPr>
        <w:t>*Not meaningful</w:t>
      </w:r>
    </w:p>
    <w:p w14:paraId="14799DF4" w14:textId="3056F06E" w:rsidR="00F31BFE" w:rsidRPr="00DC3EA2" w:rsidRDefault="00F31BFE" w:rsidP="00FF110D">
      <w:pPr>
        <w:spacing w:before="270" w:line="280" w:lineRule="exact"/>
        <w:rPr>
          <w:rFonts w:ascii="Segoe UI" w:hAnsi="Segoe UI" w:cs="Segoe UI"/>
          <w:color w:val="666666"/>
          <w:sz w:val="20"/>
          <w:szCs w:val="20"/>
        </w:rPr>
      </w:pPr>
      <w:r w:rsidRPr="00F864B6">
        <w:rPr>
          <w:rFonts w:ascii="Segoe UI" w:hAnsi="Segoe UI" w:cs="Segoe UI"/>
          <w:color w:val="666666"/>
          <w:sz w:val="20"/>
          <w:szCs w:val="20"/>
        </w:rPr>
        <w:t>“</w:t>
      </w:r>
      <w:r w:rsidR="00F864B6" w:rsidRPr="00F864B6">
        <w:rPr>
          <w:rFonts w:ascii="Segoe UI" w:hAnsi="Segoe UI" w:cs="Segoe UI"/>
          <w:color w:val="666666"/>
          <w:sz w:val="20"/>
          <w:szCs w:val="20"/>
        </w:rPr>
        <w:t xml:space="preserve">While our fourth quarter results were impacted by the decline in the PC market, we continue to see </w:t>
      </w:r>
      <w:proofErr w:type="gramStart"/>
      <w:r w:rsidR="00F864B6" w:rsidRPr="00F864B6">
        <w:rPr>
          <w:rFonts w:ascii="Segoe UI" w:hAnsi="Segoe UI" w:cs="Segoe UI"/>
          <w:color w:val="666666"/>
          <w:sz w:val="20"/>
          <w:szCs w:val="20"/>
        </w:rPr>
        <w:t>strong</w:t>
      </w:r>
      <w:proofErr w:type="gramEnd"/>
      <w:r w:rsidR="00F864B6" w:rsidRPr="00F864B6">
        <w:rPr>
          <w:rFonts w:ascii="Segoe UI" w:hAnsi="Segoe UI" w:cs="Segoe UI"/>
          <w:color w:val="666666"/>
          <w:sz w:val="20"/>
          <w:szCs w:val="20"/>
        </w:rPr>
        <w:t xml:space="preserve"> demand for our enterprise and cloud offerings, resulting in a record unearned revenue balance this quarter. We also saw increasing consumer demand for services like Office 365, Outlook.com, Skype, and Xbox LIVE,” said Amy Hood, chief financial officer at Microsoft. “While we have work ahead of us, we are making the focused investments needed to deliver on long-term </w:t>
      </w:r>
      <w:r w:rsidR="00744F2D">
        <w:rPr>
          <w:rFonts w:ascii="Segoe UI" w:hAnsi="Segoe UI" w:cs="Segoe UI"/>
          <w:color w:val="666666"/>
          <w:sz w:val="20"/>
          <w:szCs w:val="20"/>
        </w:rPr>
        <w:t xml:space="preserve">growth opportunities like cloud </w:t>
      </w:r>
      <w:r w:rsidR="00F864B6" w:rsidRPr="00DC3EA2">
        <w:rPr>
          <w:rFonts w:ascii="Segoe UI" w:hAnsi="Segoe UI" w:cs="Segoe UI"/>
          <w:color w:val="666666"/>
          <w:sz w:val="20"/>
          <w:szCs w:val="20"/>
        </w:rPr>
        <w:t>services</w:t>
      </w:r>
      <w:r w:rsidR="00737935" w:rsidRPr="00DC3EA2">
        <w:rPr>
          <w:rFonts w:ascii="Segoe UI" w:hAnsi="Segoe UI" w:cs="Segoe UI"/>
          <w:color w:val="666666"/>
          <w:sz w:val="20"/>
          <w:szCs w:val="20"/>
        </w:rPr>
        <w:t>.</w:t>
      </w:r>
      <w:r w:rsidRPr="00DC3EA2">
        <w:rPr>
          <w:rFonts w:ascii="Segoe UI" w:hAnsi="Segoe UI" w:cs="Segoe UI"/>
          <w:color w:val="666666"/>
          <w:sz w:val="20"/>
          <w:szCs w:val="20"/>
        </w:rPr>
        <w:t>”</w:t>
      </w:r>
    </w:p>
    <w:p w14:paraId="7DA9F2BB" w14:textId="3B9A09CD" w:rsidR="004873CF" w:rsidRDefault="000F1C6F" w:rsidP="004873CF">
      <w:pPr>
        <w:spacing w:line="280" w:lineRule="atLeast"/>
        <w:rPr>
          <w:rFonts w:ascii="Segoe UI" w:hAnsi="Segoe UI" w:cs="Segoe UI"/>
          <w:color w:val="666666"/>
          <w:sz w:val="20"/>
          <w:szCs w:val="20"/>
        </w:rPr>
      </w:pPr>
      <w:r w:rsidRPr="000F1C6F">
        <w:rPr>
          <w:rFonts w:ascii="Segoe UI" w:hAnsi="Segoe UI" w:cs="Segoe UI"/>
          <w:color w:val="666666"/>
          <w:sz w:val="20"/>
          <w:szCs w:val="20"/>
        </w:rPr>
        <w:t>“We are working hard to deliver compelling new devices and high value experiences from Microsoft and our partners in the coming months, including new Windows 8.1 tablets and PCs</w:t>
      </w:r>
      <w:r w:rsidR="00DC3EA2" w:rsidRPr="00DC3EA2">
        <w:rPr>
          <w:rFonts w:ascii="Segoe UI" w:hAnsi="Segoe UI" w:cs="Segoe UI"/>
          <w:color w:val="666666"/>
          <w:sz w:val="20"/>
          <w:szCs w:val="20"/>
        </w:rPr>
        <w:t>,” said Steve Ballmer, chief executive officer at Microsoft. “Our new products and the strategic realignment we announced last week position us well for long-term success, as we focus our energy and resources on creating a family of devices and services for individuals and businesses</w:t>
      </w:r>
      <w:r w:rsidR="00DC3EA2">
        <w:rPr>
          <w:rFonts w:ascii="Segoe UI" w:hAnsi="Segoe UI" w:cs="Segoe UI"/>
          <w:color w:val="666666"/>
          <w:sz w:val="20"/>
          <w:szCs w:val="20"/>
        </w:rPr>
        <w:t xml:space="preserve"> that empower people around the globe at home, at work and on the go, for the activities they value the most</w:t>
      </w:r>
      <w:r w:rsidR="004873CF" w:rsidRPr="004873CF">
        <w:rPr>
          <w:rFonts w:ascii="Segoe UI" w:hAnsi="Segoe UI" w:cs="Segoe UI"/>
          <w:color w:val="666666"/>
          <w:sz w:val="20"/>
          <w:szCs w:val="20"/>
        </w:rPr>
        <w:t>.”</w:t>
      </w:r>
    </w:p>
    <w:p w14:paraId="73B9008C" w14:textId="6521A83F" w:rsidR="00AD143B" w:rsidRDefault="00BE7F07" w:rsidP="00646C2A">
      <w:pPr>
        <w:spacing w:before="120" w:after="270" w:line="280" w:lineRule="exact"/>
        <w:rPr>
          <w:rFonts w:ascii="Segoe UI" w:hAnsi="Segoe UI" w:cs="Segoe UI"/>
          <w:color w:val="666666"/>
          <w:sz w:val="20"/>
          <w:szCs w:val="20"/>
        </w:rPr>
      </w:pPr>
      <w:r>
        <w:rPr>
          <w:rFonts w:ascii="Segoe UI" w:hAnsi="Segoe UI" w:cs="Segoe UI"/>
          <w:color w:val="666666"/>
          <w:sz w:val="20"/>
          <w:szCs w:val="20"/>
        </w:rPr>
        <w:t>For Microsoft’s fiscal year 2013, the company’s revenue, operating income,</w:t>
      </w:r>
      <w:r w:rsidR="00C819B7">
        <w:rPr>
          <w:rFonts w:ascii="Segoe UI" w:hAnsi="Segoe UI" w:cs="Segoe UI"/>
          <w:color w:val="666666"/>
          <w:sz w:val="20"/>
          <w:szCs w:val="20"/>
        </w:rPr>
        <w:t xml:space="preserve"> and </w:t>
      </w:r>
      <w:r w:rsidR="005B64DD">
        <w:rPr>
          <w:rFonts w:ascii="Segoe UI" w:hAnsi="Segoe UI" w:cs="Segoe UI"/>
          <w:color w:val="666666"/>
          <w:sz w:val="20"/>
          <w:szCs w:val="20"/>
        </w:rPr>
        <w:t xml:space="preserve">diluted </w:t>
      </w:r>
      <w:r w:rsidR="00C819B7">
        <w:rPr>
          <w:rFonts w:ascii="Segoe UI" w:hAnsi="Segoe UI" w:cs="Segoe UI"/>
          <w:color w:val="666666"/>
          <w:sz w:val="20"/>
          <w:szCs w:val="20"/>
        </w:rPr>
        <w:t>earnings per share were $77.85 billion, $26.</w:t>
      </w:r>
      <w:r w:rsidR="005418C1">
        <w:rPr>
          <w:rFonts w:ascii="Segoe UI" w:hAnsi="Segoe UI" w:cs="Segoe UI"/>
          <w:color w:val="666666"/>
          <w:sz w:val="20"/>
          <w:szCs w:val="20"/>
        </w:rPr>
        <w:t>7</w:t>
      </w:r>
      <w:r w:rsidR="00C819B7">
        <w:rPr>
          <w:rFonts w:ascii="Segoe UI" w:hAnsi="Segoe UI" w:cs="Segoe UI"/>
          <w:color w:val="666666"/>
          <w:sz w:val="20"/>
          <w:szCs w:val="20"/>
        </w:rPr>
        <w:t>6 billion, and $2.</w:t>
      </w:r>
      <w:r w:rsidR="005418C1">
        <w:rPr>
          <w:rFonts w:ascii="Segoe UI" w:hAnsi="Segoe UI" w:cs="Segoe UI"/>
          <w:color w:val="666666"/>
          <w:sz w:val="20"/>
          <w:szCs w:val="20"/>
        </w:rPr>
        <w:t>58</w:t>
      </w:r>
      <w:r>
        <w:rPr>
          <w:rFonts w:ascii="Segoe UI" w:hAnsi="Segoe UI" w:cs="Segoe UI"/>
          <w:color w:val="666666"/>
          <w:sz w:val="20"/>
          <w:szCs w:val="20"/>
        </w:rPr>
        <w:t xml:space="preserve"> per share.</w:t>
      </w:r>
      <w:r w:rsidR="0009476B">
        <w:rPr>
          <w:rFonts w:ascii="Segoe UI" w:hAnsi="Segoe UI" w:cs="Segoe UI"/>
          <w:color w:val="666666"/>
          <w:sz w:val="20"/>
          <w:szCs w:val="20"/>
        </w:rPr>
        <w:t xml:space="preserve"> </w:t>
      </w:r>
      <w:r w:rsidR="001C7161">
        <w:rPr>
          <w:rFonts w:ascii="Segoe UI" w:hAnsi="Segoe UI" w:cs="Segoe UI"/>
          <w:color w:val="666666"/>
          <w:sz w:val="20"/>
          <w:szCs w:val="20"/>
        </w:rPr>
        <w:t>These financial results include a $</w:t>
      </w:r>
      <w:r w:rsidR="005418C1">
        <w:rPr>
          <w:rFonts w:ascii="Segoe UI" w:hAnsi="Segoe UI" w:cs="Segoe UI"/>
          <w:color w:val="666666"/>
          <w:sz w:val="20"/>
          <w:szCs w:val="20"/>
        </w:rPr>
        <w:t>9</w:t>
      </w:r>
      <w:r w:rsidR="001C7161">
        <w:rPr>
          <w:rFonts w:ascii="Segoe UI" w:hAnsi="Segoe UI" w:cs="Segoe UI"/>
          <w:color w:val="666666"/>
          <w:sz w:val="20"/>
          <w:szCs w:val="20"/>
        </w:rPr>
        <w:t>00 million</w:t>
      </w:r>
      <w:r w:rsidR="003221A2">
        <w:rPr>
          <w:rFonts w:ascii="Segoe UI" w:hAnsi="Segoe UI" w:cs="Segoe UI"/>
          <w:color w:val="666666"/>
          <w:sz w:val="20"/>
          <w:szCs w:val="20"/>
        </w:rPr>
        <w:t xml:space="preserve"> charge</w:t>
      </w:r>
      <w:r w:rsidR="001C7161">
        <w:rPr>
          <w:rFonts w:ascii="Segoe UI" w:hAnsi="Segoe UI" w:cs="Segoe UI"/>
          <w:color w:val="666666"/>
          <w:sz w:val="20"/>
          <w:szCs w:val="20"/>
        </w:rPr>
        <w:t xml:space="preserve">, or </w:t>
      </w:r>
      <w:r w:rsidR="00082804">
        <w:rPr>
          <w:rFonts w:ascii="Segoe UI" w:hAnsi="Segoe UI" w:cs="Segoe UI"/>
          <w:color w:val="666666"/>
          <w:sz w:val="20"/>
          <w:szCs w:val="20"/>
        </w:rPr>
        <w:t xml:space="preserve">a </w:t>
      </w:r>
      <w:r w:rsidR="001C7161">
        <w:rPr>
          <w:rFonts w:ascii="Segoe UI" w:hAnsi="Segoe UI" w:cs="Segoe UI"/>
          <w:color w:val="666666"/>
          <w:sz w:val="20"/>
          <w:szCs w:val="20"/>
        </w:rPr>
        <w:t>$0.0</w:t>
      </w:r>
      <w:r w:rsidR="005418C1">
        <w:rPr>
          <w:rFonts w:ascii="Segoe UI" w:hAnsi="Segoe UI" w:cs="Segoe UI"/>
          <w:color w:val="666666"/>
          <w:sz w:val="20"/>
          <w:szCs w:val="20"/>
        </w:rPr>
        <w:t>7</w:t>
      </w:r>
      <w:r w:rsidR="001C7161">
        <w:rPr>
          <w:rFonts w:ascii="Segoe UI" w:hAnsi="Segoe UI" w:cs="Segoe UI"/>
          <w:color w:val="666666"/>
          <w:sz w:val="20"/>
          <w:szCs w:val="20"/>
        </w:rPr>
        <w:t xml:space="preserve"> per share</w:t>
      </w:r>
      <w:r w:rsidR="003221A2">
        <w:rPr>
          <w:rFonts w:ascii="Segoe UI" w:hAnsi="Segoe UI" w:cs="Segoe UI"/>
          <w:color w:val="666666"/>
          <w:sz w:val="20"/>
          <w:szCs w:val="20"/>
        </w:rPr>
        <w:t xml:space="preserve"> impact</w:t>
      </w:r>
      <w:r w:rsidR="001C7161">
        <w:rPr>
          <w:rFonts w:ascii="Segoe UI" w:hAnsi="Segoe UI" w:cs="Segoe UI"/>
          <w:color w:val="666666"/>
          <w:sz w:val="20"/>
          <w:szCs w:val="20"/>
        </w:rPr>
        <w:t>, related to Surface</w:t>
      </w:r>
      <w:r w:rsidR="0050159E">
        <w:rPr>
          <w:rFonts w:ascii="Segoe UI" w:hAnsi="Segoe UI" w:cs="Segoe UI"/>
          <w:color w:val="666666"/>
          <w:sz w:val="20"/>
          <w:szCs w:val="20"/>
        </w:rPr>
        <w:t xml:space="preserve"> RT</w:t>
      </w:r>
      <w:r w:rsidR="001C7161">
        <w:rPr>
          <w:rFonts w:ascii="Segoe UI" w:hAnsi="Segoe UI" w:cs="Segoe UI"/>
          <w:color w:val="666666"/>
          <w:sz w:val="20"/>
          <w:szCs w:val="20"/>
        </w:rPr>
        <w:t xml:space="preserve"> inventory adjustments. In addition, </w:t>
      </w:r>
      <w:r w:rsidR="00712688">
        <w:rPr>
          <w:rFonts w:ascii="Segoe UI" w:hAnsi="Segoe UI" w:cs="Segoe UI"/>
          <w:color w:val="666666"/>
          <w:sz w:val="20"/>
          <w:szCs w:val="20"/>
        </w:rPr>
        <w:t>t</w:t>
      </w:r>
      <w:r w:rsidR="0009476B" w:rsidRPr="00123413">
        <w:rPr>
          <w:rFonts w:ascii="Segoe UI" w:hAnsi="Segoe UI" w:cs="Segoe UI"/>
          <w:color w:val="666666"/>
          <w:sz w:val="20"/>
          <w:szCs w:val="20"/>
        </w:rPr>
        <w:t xml:space="preserve">hese </w:t>
      </w:r>
      <w:r w:rsidR="0009476B" w:rsidRPr="00123413">
        <w:rPr>
          <w:rFonts w:ascii="Segoe UI" w:hAnsi="Segoe UI" w:cs="Segoe UI"/>
          <w:color w:val="666666"/>
          <w:sz w:val="20"/>
          <w:szCs w:val="20"/>
        </w:rPr>
        <w:lastRenderedPageBreak/>
        <w:t>financial resul</w:t>
      </w:r>
      <w:r w:rsidR="0009476B">
        <w:rPr>
          <w:rFonts w:ascii="Segoe UI" w:hAnsi="Segoe UI" w:cs="Segoe UI"/>
          <w:color w:val="666666"/>
          <w:sz w:val="20"/>
          <w:szCs w:val="20"/>
        </w:rPr>
        <w:t xml:space="preserve">ts reflect the recognition of </w:t>
      </w:r>
      <w:r w:rsidR="00944918">
        <w:rPr>
          <w:rFonts w:ascii="Segoe UI" w:hAnsi="Segoe UI" w:cs="Segoe UI"/>
          <w:color w:val="666666"/>
          <w:sz w:val="20"/>
          <w:szCs w:val="20"/>
        </w:rPr>
        <w:t>$5</w:t>
      </w:r>
      <w:r w:rsidR="00395A37">
        <w:rPr>
          <w:rFonts w:ascii="Segoe UI" w:hAnsi="Segoe UI" w:cs="Segoe UI"/>
          <w:color w:val="666666"/>
          <w:sz w:val="20"/>
          <w:szCs w:val="20"/>
        </w:rPr>
        <w:t>40</w:t>
      </w:r>
      <w:r w:rsidR="00944918">
        <w:rPr>
          <w:rFonts w:ascii="Segoe UI" w:hAnsi="Segoe UI" w:cs="Segoe UI"/>
          <w:color w:val="666666"/>
          <w:sz w:val="20"/>
          <w:szCs w:val="20"/>
        </w:rPr>
        <w:t xml:space="preserve"> million of </w:t>
      </w:r>
      <w:r w:rsidR="002317FC">
        <w:rPr>
          <w:rFonts w:ascii="Segoe UI" w:hAnsi="Segoe UI" w:cs="Segoe UI"/>
          <w:color w:val="666666"/>
          <w:sz w:val="20"/>
          <w:szCs w:val="20"/>
        </w:rPr>
        <w:t xml:space="preserve">previously deferred </w:t>
      </w:r>
      <w:r w:rsidR="0009476B">
        <w:rPr>
          <w:rFonts w:ascii="Segoe UI" w:hAnsi="Segoe UI" w:cs="Segoe UI"/>
          <w:color w:val="666666"/>
          <w:sz w:val="20"/>
          <w:szCs w:val="20"/>
        </w:rPr>
        <w:t>revenue related to the Windows Upgrade Offer</w:t>
      </w:r>
      <w:r w:rsidR="006F0486">
        <w:rPr>
          <w:rFonts w:ascii="Segoe UI" w:hAnsi="Segoe UI" w:cs="Segoe UI"/>
          <w:color w:val="666666"/>
          <w:sz w:val="20"/>
          <w:szCs w:val="20"/>
        </w:rPr>
        <w:t xml:space="preserve">, </w:t>
      </w:r>
      <w:r w:rsidR="0009476B">
        <w:rPr>
          <w:rFonts w:ascii="Segoe UI" w:hAnsi="Segoe UI" w:cs="Segoe UI"/>
          <w:color w:val="666666"/>
          <w:sz w:val="20"/>
          <w:szCs w:val="20"/>
        </w:rPr>
        <w:t xml:space="preserve">and </w:t>
      </w:r>
      <w:r w:rsidR="00993889">
        <w:rPr>
          <w:rFonts w:ascii="Segoe UI" w:hAnsi="Segoe UI" w:cs="Segoe UI"/>
          <w:color w:val="666666"/>
          <w:sz w:val="20"/>
          <w:szCs w:val="20"/>
        </w:rPr>
        <w:t xml:space="preserve">a </w:t>
      </w:r>
      <w:r w:rsidR="00944918">
        <w:rPr>
          <w:rFonts w:ascii="Segoe UI" w:hAnsi="Segoe UI" w:cs="Segoe UI"/>
          <w:color w:val="666666"/>
          <w:sz w:val="20"/>
          <w:szCs w:val="20"/>
        </w:rPr>
        <w:t>$733 million</w:t>
      </w:r>
      <w:r w:rsidR="00993889">
        <w:rPr>
          <w:rFonts w:ascii="Segoe UI" w:hAnsi="Segoe UI" w:cs="Segoe UI"/>
          <w:color w:val="666666"/>
          <w:sz w:val="20"/>
          <w:szCs w:val="20"/>
        </w:rPr>
        <w:t xml:space="preserve"> expense</w:t>
      </w:r>
      <w:r w:rsidR="00944918">
        <w:rPr>
          <w:rFonts w:ascii="Segoe UI" w:hAnsi="Segoe UI" w:cs="Segoe UI"/>
          <w:color w:val="666666"/>
          <w:sz w:val="20"/>
          <w:szCs w:val="20"/>
        </w:rPr>
        <w:t xml:space="preserve"> related to the </w:t>
      </w:r>
      <w:r w:rsidR="0009476B">
        <w:rPr>
          <w:rFonts w:ascii="Segoe UI" w:hAnsi="Segoe UI" w:cs="Segoe UI"/>
          <w:color w:val="666666"/>
          <w:sz w:val="20"/>
          <w:szCs w:val="20"/>
        </w:rPr>
        <w:t>European Commission fine.</w:t>
      </w:r>
    </w:p>
    <w:p w14:paraId="62CD7D83" w14:textId="77777777" w:rsidR="0016352C" w:rsidRDefault="0016352C" w:rsidP="00646C2A">
      <w:pPr>
        <w:spacing w:before="120" w:after="270" w:line="280" w:lineRule="exact"/>
        <w:rPr>
          <w:rFonts w:ascii="Segoe UI" w:hAnsi="Segoe UI" w:cs="Segoe UI"/>
          <w:color w:val="666666"/>
          <w:sz w:val="20"/>
          <w:szCs w:val="20"/>
        </w:rPr>
      </w:pPr>
    </w:p>
    <w:tbl>
      <w:tblPr>
        <w:tblW w:w="7655" w:type="dxa"/>
        <w:tblLayout w:type="fixed"/>
        <w:tblCellMar>
          <w:left w:w="0" w:type="dxa"/>
          <w:right w:w="0" w:type="dxa"/>
        </w:tblCellMar>
        <w:tblLook w:val="04A0" w:firstRow="1" w:lastRow="0" w:firstColumn="1" w:lastColumn="0" w:noHBand="0" w:noVBand="1"/>
      </w:tblPr>
      <w:tblGrid>
        <w:gridCol w:w="2605"/>
        <w:gridCol w:w="720"/>
        <w:gridCol w:w="900"/>
        <w:gridCol w:w="810"/>
        <w:gridCol w:w="900"/>
        <w:gridCol w:w="910"/>
        <w:gridCol w:w="810"/>
      </w:tblGrid>
      <w:tr w:rsidR="00CF6D7C" w:rsidRPr="00CF6D7C" w14:paraId="3241F189" w14:textId="77777777" w:rsidTr="00327954">
        <w:trPr>
          <w:trHeight w:val="302"/>
        </w:trPr>
        <w:tc>
          <w:tcPr>
            <w:tcW w:w="2605" w:type="dxa"/>
            <w:shd w:val="clear" w:color="auto" w:fill="auto"/>
            <w:tcMar>
              <w:left w:w="0" w:type="dxa"/>
              <w:right w:w="0" w:type="dxa"/>
            </w:tcMar>
          </w:tcPr>
          <w:p w14:paraId="761DC050" w14:textId="77777777" w:rsidR="00CF6D7C" w:rsidRPr="00CF6D7C" w:rsidRDefault="00CF6D7C" w:rsidP="00327954">
            <w:pPr>
              <w:spacing w:after="0" w:line="240" w:lineRule="auto"/>
              <w:rPr>
                <w:rFonts w:ascii="Segoe UI" w:hAnsi="Segoe UI" w:cs="Segoe UI"/>
                <w:b/>
                <w:color w:val="666666"/>
                <w:sz w:val="18"/>
                <w:szCs w:val="18"/>
              </w:rPr>
            </w:pPr>
          </w:p>
        </w:tc>
        <w:tc>
          <w:tcPr>
            <w:tcW w:w="2430" w:type="dxa"/>
            <w:gridSpan w:val="3"/>
            <w:shd w:val="clear" w:color="auto" w:fill="auto"/>
            <w:tcMar>
              <w:left w:w="0" w:type="dxa"/>
              <w:right w:w="0" w:type="dxa"/>
            </w:tcMar>
            <w:vAlign w:val="bottom"/>
          </w:tcPr>
          <w:p w14:paraId="6E67A356"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Twelve Months Ended</w:t>
            </w:r>
          </w:p>
          <w:p w14:paraId="18F21833"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c>
          <w:tcPr>
            <w:tcW w:w="2620" w:type="dxa"/>
            <w:gridSpan w:val="3"/>
            <w:shd w:val="clear" w:color="auto" w:fill="auto"/>
            <w:tcMar>
              <w:left w:w="0" w:type="dxa"/>
              <w:right w:w="0" w:type="dxa"/>
            </w:tcMar>
            <w:vAlign w:val="bottom"/>
          </w:tcPr>
          <w:p w14:paraId="1A971D0B"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Percentage Change</w:t>
            </w:r>
          </w:p>
        </w:tc>
      </w:tr>
      <w:tr w:rsidR="00CF6D7C" w:rsidRPr="00CF6D7C" w14:paraId="2491B7E3" w14:textId="77777777" w:rsidTr="00327954">
        <w:trPr>
          <w:trHeight w:val="647"/>
        </w:trPr>
        <w:tc>
          <w:tcPr>
            <w:tcW w:w="2605" w:type="dxa"/>
            <w:shd w:val="clear" w:color="auto" w:fill="auto"/>
            <w:tcMar>
              <w:left w:w="0" w:type="dxa"/>
              <w:right w:w="0" w:type="dxa"/>
            </w:tcMar>
            <w:vAlign w:val="bottom"/>
          </w:tcPr>
          <w:p w14:paraId="26DBD3A3"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 share amounts and percentages)</w:t>
            </w:r>
          </w:p>
        </w:tc>
        <w:tc>
          <w:tcPr>
            <w:tcW w:w="720" w:type="dxa"/>
            <w:shd w:val="clear" w:color="auto" w:fill="auto"/>
            <w:tcMar>
              <w:left w:w="0" w:type="dxa"/>
              <w:right w:w="0" w:type="dxa"/>
            </w:tcMar>
            <w:vAlign w:val="bottom"/>
          </w:tcPr>
          <w:p w14:paraId="5A52D6E6"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Revenue</w:t>
            </w:r>
          </w:p>
        </w:tc>
        <w:tc>
          <w:tcPr>
            <w:tcW w:w="900" w:type="dxa"/>
            <w:shd w:val="clear" w:color="auto" w:fill="auto"/>
            <w:tcMar>
              <w:left w:w="0" w:type="dxa"/>
              <w:right w:w="0" w:type="dxa"/>
            </w:tcMar>
            <w:vAlign w:val="bottom"/>
          </w:tcPr>
          <w:p w14:paraId="370B28B8"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4225FBA7"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c>
          <w:tcPr>
            <w:tcW w:w="900" w:type="dxa"/>
            <w:shd w:val="clear" w:color="auto" w:fill="auto"/>
            <w:tcMar>
              <w:left w:w="0" w:type="dxa"/>
              <w:right w:w="0" w:type="dxa"/>
            </w:tcMar>
            <w:vAlign w:val="bottom"/>
          </w:tcPr>
          <w:p w14:paraId="46340338"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Revenue</w:t>
            </w:r>
          </w:p>
        </w:tc>
        <w:tc>
          <w:tcPr>
            <w:tcW w:w="910" w:type="dxa"/>
            <w:shd w:val="clear" w:color="auto" w:fill="auto"/>
            <w:tcMar>
              <w:left w:w="0" w:type="dxa"/>
              <w:right w:w="0" w:type="dxa"/>
            </w:tcMar>
            <w:vAlign w:val="bottom"/>
          </w:tcPr>
          <w:p w14:paraId="546C551B"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5B09DDE0"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r>
      <w:tr w:rsidR="00CF6D7C" w:rsidRPr="00CF6D7C" w14:paraId="57A27F1B" w14:textId="77777777" w:rsidTr="00327954">
        <w:trPr>
          <w:trHeight w:val="418"/>
        </w:trPr>
        <w:tc>
          <w:tcPr>
            <w:tcW w:w="2605" w:type="dxa"/>
            <w:shd w:val="clear" w:color="auto" w:fill="auto"/>
            <w:tcMar>
              <w:left w:w="0" w:type="dxa"/>
              <w:right w:w="0" w:type="dxa"/>
            </w:tcMar>
            <w:vAlign w:val="bottom"/>
          </w:tcPr>
          <w:p w14:paraId="05484D52"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reported (GAAP)</w:t>
            </w:r>
          </w:p>
        </w:tc>
        <w:tc>
          <w:tcPr>
            <w:tcW w:w="720" w:type="dxa"/>
            <w:shd w:val="clear" w:color="auto" w:fill="auto"/>
            <w:tcMar>
              <w:left w:w="0" w:type="dxa"/>
              <w:right w:w="0" w:type="dxa"/>
            </w:tcMar>
            <w:vAlign w:val="bottom"/>
          </w:tcPr>
          <w:p w14:paraId="41CAEBB3"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$73,723</w:t>
            </w:r>
          </w:p>
        </w:tc>
        <w:tc>
          <w:tcPr>
            <w:tcW w:w="900" w:type="dxa"/>
            <w:shd w:val="clear" w:color="auto" w:fill="auto"/>
            <w:tcMar>
              <w:left w:w="0" w:type="dxa"/>
              <w:right w:w="0" w:type="dxa"/>
            </w:tcMar>
            <w:vAlign w:val="bottom"/>
          </w:tcPr>
          <w:p w14:paraId="20C1129D"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$21,763</w:t>
            </w:r>
          </w:p>
        </w:tc>
        <w:tc>
          <w:tcPr>
            <w:tcW w:w="810" w:type="dxa"/>
            <w:shd w:val="clear" w:color="auto" w:fill="auto"/>
            <w:tcMar>
              <w:left w:w="0" w:type="dxa"/>
              <w:right w:w="0" w:type="dxa"/>
            </w:tcMar>
            <w:vAlign w:val="bottom"/>
          </w:tcPr>
          <w:p w14:paraId="29F3C9A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$2.00</w:t>
            </w:r>
          </w:p>
        </w:tc>
        <w:tc>
          <w:tcPr>
            <w:tcW w:w="900" w:type="dxa"/>
            <w:shd w:val="clear" w:color="auto" w:fill="auto"/>
            <w:tcMar>
              <w:left w:w="0" w:type="dxa"/>
              <w:right w:w="0" w:type="dxa"/>
            </w:tcMar>
            <w:vAlign w:val="bottom"/>
          </w:tcPr>
          <w:p w14:paraId="088CFE5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10" w:type="dxa"/>
            <w:shd w:val="clear" w:color="auto" w:fill="auto"/>
            <w:tcMar>
              <w:left w:w="0" w:type="dxa"/>
              <w:right w:w="0" w:type="dxa"/>
            </w:tcMar>
            <w:vAlign w:val="bottom"/>
          </w:tcPr>
          <w:p w14:paraId="24061930"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1901082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659835D5" w14:textId="77777777" w:rsidTr="00327954">
        <w:trPr>
          <w:trHeight w:val="302"/>
        </w:trPr>
        <w:tc>
          <w:tcPr>
            <w:tcW w:w="2605" w:type="dxa"/>
            <w:shd w:val="clear" w:color="auto" w:fill="auto"/>
            <w:tcMar>
              <w:left w:w="288" w:type="dxa"/>
              <w:right w:w="0" w:type="dxa"/>
            </w:tcMar>
            <w:vAlign w:val="bottom"/>
          </w:tcPr>
          <w:p w14:paraId="0FF31ED4"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bCs/>
                <w:color w:val="666666"/>
                <w:sz w:val="18"/>
                <w:szCs w:val="18"/>
              </w:rPr>
              <w:t>Goodwill impairment</w:t>
            </w:r>
          </w:p>
        </w:tc>
        <w:tc>
          <w:tcPr>
            <w:tcW w:w="720" w:type="dxa"/>
            <w:shd w:val="clear" w:color="auto" w:fill="auto"/>
            <w:tcMar>
              <w:left w:w="0" w:type="dxa"/>
              <w:right w:w="0" w:type="dxa"/>
            </w:tcMar>
            <w:vAlign w:val="bottom"/>
          </w:tcPr>
          <w:p w14:paraId="7CF273B1"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00" w:type="dxa"/>
            <w:shd w:val="clear" w:color="auto" w:fill="auto"/>
            <w:tcMar>
              <w:left w:w="0" w:type="dxa"/>
              <w:right w:w="0" w:type="dxa"/>
            </w:tcMar>
            <w:vAlign w:val="bottom"/>
          </w:tcPr>
          <w:p w14:paraId="7C4D54D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$6,193</w:t>
            </w:r>
          </w:p>
        </w:tc>
        <w:tc>
          <w:tcPr>
            <w:tcW w:w="810" w:type="dxa"/>
            <w:shd w:val="clear" w:color="auto" w:fill="auto"/>
            <w:tcMar>
              <w:left w:w="0" w:type="dxa"/>
              <w:right w:w="0" w:type="dxa"/>
            </w:tcMar>
            <w:vAlign w:val="bottom"/>
          </w:tcPr>
          <w:p w14:paraId="3DBCD2F0"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$0.73</w:t>
            </w:r>
          </w:p>
        </w:tc>
        <w:tc>
          <w:tcPr>
            <w:tcW w:w="900" w:type="dxa"/>
            <w:shd w:val="clear" w:color="auto" w:fill="auto"/>
            <w:tcMar>
              <w:left w:w="0" w:type="dxa"/>
              <w:right w:w="0" w:type="dxa"/>
            </w:tcMar>
            <w:vAlign w:val="bottom"/>
          </w:tcPr>
          <w:p w14:paraId="0FF50D65"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10" w:type="dxa"/>
            <w:shd w:val="clear" w:color="auto" w:fill="auto"/>
            <w:tcMar>
              <w:left w:w="0" w:type="dxa"/>
              <w:right w:w="0" w:type="dxa"/>
            </w:tcMar>
            <w:vAlign w:val="bottom"/>
          </w:tcPr>
          <w:p w14:paraId="470F84C1"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3964A845"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432A2107" w14:textId="77777777" w:rsidTr="00327954">
        <w:trPr>
          <w:trHeight w:val="302"/>
        </w:trPr>
        <w:tc>
          <w:tcPr>
            <w:tcW w:w="2605" w:type="dxa"/>
            <w:shd w:val="clear" w:color="auto" w:fill="auto"/>
            <w:tcMar>
              <w:left w:w="288" w:type="dxa"/>
              <w:right w:w="0" w:type="dxa"/>
            </w:tcMar>
            <w:vAlign w:val="bottom"/>
          </w:tcPr>
          <w:p w14:paraId="1B561342"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bCs/>
                <w:color w:val="666666"/>
                <w:sz w:val="18"/>
                <w:szCs w:val="18"/>
              </w:rPr>
              <w:t>Windows Upgrade Offer</w:t>
            </w:r>
          </w:p>
        </w:tc>
        <w:tc>
          <w:tcPr>
            <w:tcW w:w="720" w:type="dxa"/>
            <w:shd w:val="clear" w:color="auto" w:fill="auto"/>
            <w:tcMar>
              <w:left w:w="0" w:type="dxa"/>
              <w:right w:w="0" w:type="dxa"/>
            </w:tcMar>
            <w:vAlign w:val="bottom"/>
          </w:tcPr>
          <w:p w14:paraId="502D8D83"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$540</w:t>
            </w:r>
          </w:p>
        </w:tc>
        <w:tc>
          <w:tcPr>
            <w:tcW w:w="900" w:type="dxa"/>
            <w:shd w:val="clear" w:color="auto" w:fill="auto"/>
            <w:tcMar>
              <w:left w:w="0" w:type="dxa"/>
              <w:right w:w="0" w:type="dxa"/>
            </w:tcMar>
            <w:vAlign w:val="bottom"/>
          </w:tcPr>
          <w:p w14:paraId="7E9ABFD1"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r w:rsidRPr="00CF6D7C">
              <w:rPr>
                <w:rFonts w:ascii="Segoe UI" w:hAnsi="Segoe UI" w:cs="Segoe UI"/>
                <w:bCs/>
                <w:color w:val="666666"/>
                <w:sz w:val="18"/>
                <w:szCs w:val="18"/>
              </w:rPr>
              <w:t>$540</w:t>
            </w:r>
          </w:p>
        </w:tc>
        <w:tc>
          <w:tcPr>
            <w:tcW w:w="810" w:type="dxa"/>
            <w:shd w:val="clear" w:color="auto" w:fill="auto"/>
            <w:tcMar>
              <w:left w:w="0" w:type="dxa"/>
              <w:right w:w="0" w:type="dxa"/>
            </w:tcMar>
            <w:vAlign w:val="bottom"/>
          </w:tcPr>
          <w:p w14:paraId="11BD9DFA"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$0.06</w:t>
            </w:r>
          </w:p>
        </w:tc>
        <w:tc>
          <w:tcPr>
            <w:tcW w:w="900" w:type="dxa"/>
            <w:shd w:val="clear" w:color="auto" w:fill="auto"/>
            <w:tcMar>
              <w:left w:w="0" w:type="dxa"/>
              <w:right w:w="0" w:type="dxa"/>
            </w:tcMar>
            <w:vAlign w:val="bottom"/>
          </w:tcPr>
          <w:p w14:paraId="32624CC6"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10" w:type="dxa"/>
            <w:shd w:val="clear" w:color="auto" w:fill="auto"/>
            <w:tcMar>
              <w:left w:w="0" w:type="dxa"/>
              <w:right w:w="0" w:type="dxa"/>
            </w:tcMar>
            <w:vAlign w:val="bottom"/>
          </w:tcPr>
          <w:p w14:paraId="00281051"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1C069260"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09C5A9D1" w14:textId="77777777" w:rsidTr="00327954">
        <w:trPr>
          <w:trHeight w:val="418"/>
        </w:trPr>
        <w:tc>
          <w:tcPr>
            <w:tcW w:w="2605" w:type="dxa"/>
            <w:shd w:val="clear" w:color="auto" w:fill="auto"/>
            <w:tcMar>
              <w:left w:w="0" w:type="dxa"/>
              <w:right w:w="0" w:type="dxa"/>
            </w:tcMar>
            <w:vAlign w:val="bottom"/>
          </w:tcPr>
          <w:p w14:paraId="4241DB97"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adjusted (non-GAAP)</w:t>
            </w:r>
          </w:p>
        </w:tc>
        <w:tc>
          <w:tcPr>
            <w:tcW w:w="720" w:type="dxa"/>
            <w:shd w:val="clear" w:color="auto" w:fill="auto"/>
            <w:tcMar>
              <w:left w:w="0" w:type="dxa"/>
              <w:right w:w="0" w:type="dxa"/>
            </w:tcMar>
            <w:vAlign w:val="bottom"/>
          </w:tcPr>
          <w:p w14:paraId="739205B8"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$74,263</w:t>
            </w:r>
          </w:p>
        </w:tc>
        <w:tc>
          <w:tcPr>
            <w:tcW w:w="900" w:type="dxa"/>
            <w:shd w:val="clear" w:color="auto" w:fill="auto"/>
            <w:tcMar>
              <w:left w:w="0" w:type="dxa"/>
              <w:right w:w="0" w:type="dxa"/>
            </w:tcMar>
            <w:vAlign w:val="bottom"/>
          </w:tcPr>
          <w:p w14:paraId="43F26A31"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$28,496</w:t>
            </w:r>
          </w:p>
        </w:tc>
        <w:tc>
          <w:tcPr>
            <w:tcW w:w="810" w:type="dxa"/>
            <w:shd w:val="clear" w:color="auto" w:fill="auto"/>
            <w:tcMar>
              <w:left w:w="0" w:type="dxa"/>
              <w:right w:w="0" w:type="dxa"/>
            </w:tcMar>
            <w:vAlign w:val="bottom"/>
          </w:tcPr>
          <w:p w14:paraId="45E0A780"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$2.78</w:t>
            </w:r>
          </w:p>
        </w:tc>
        <w:tc>
          <w:tcPr>
            <w:tcW w:w="900" w:type="dxa"/>
            <w:shd w:val="clear" w:color="auto" w:fill="auto"/>
            <w:tcMar>
              <w:left w:w="0" w:type="dxa"/>
              <w:right w:w="0" w:type="dxa"/>
            </w:tcMar>
            <w:vAlign w:val="bottom"/>
          </w:tcPr>
          <w:p w14:paraId="5686C133"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10" w:type="dxa"/>
            <w:shd w:val="clear" w:color="auto" w:fill="auto"/>
            <w:tcMar>
              <w:left w:w="0" w:type="dxa"/>
              <w:right w:w="0" w:type="dxa"/>
            </w:tcMar>
            <w:vAlign w:val="bottom"/>
          </w:tcPr>
          <w:p w14:paraId="0AAEAA5B"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69CA1CF4"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1482E6D5" w14:textId="77777777" w:rsidTr="00327954">
        <w:trPr>
          <w:trHeight w:val="418"/>
        </w:trPr>
        <w:tc>
          <w:tcPr>
            <w:tcW w:w="2605" w:type="dxa"/>
            <w:shd w:val="clear" w:color="auto" w:fill="auto"/>
            <w:tcMar>
              <w:left w:w="0" w:type="dxa"/>
              <w:right w:w="0" w:type="dxa"/>
            </w:tcMar>
            <w:vAlign w:val="bottom"/>
          </w:tcPr>
          <w:p w14:paraId="7F105CFC"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2013 As reported (GAAP)</w:t>
            </w:r>
          </w:p>
        </w:tc>
        <w:tc>
          <w:tcPr>
            <w:tcW w:w="720" w:type="dxa"/>
            <w:shd w:val="clear" w:color="auto" w:fill="auto"/>
            <w:tcMar>
              <w:left w:w="0" w:type="dxa"/>
              <w:right w:w="0" w:type="dxa"/>
            </w:tcMar>
            <w:vAlign w:val="bottom"/>
          </w:tcPr>
          <w:p w14:paraId="31CC3A3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$77,849</w:t>
            </w:r>
          </w:p>
        </w:tc>
        <w:tc>
          <w:tcPr>
            <w:tcW w:w="900" w:type="dxa"/>
            <w:shd w:val="clear" w:color="auto" w:fill="auto"/>
            <w:tcMar>
              <w:left w:w="0" w:type="dxa"/>
              <w:right w:w="0" w:type="dxa"/>
            </w:tcMar>
            <w:vAlign w:val="bottom"/>
          </w:tcPr>
          <w:p w14:paraId="02E31865" w14:textId="59D6DBAB" w:rsidR="00CF6D7C" w:rsidRPr="00CF6D7C" w:rsidRDefault="00CF6D7C" w:rsidP="009B0C2C">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$26,</w:t>
            </w:r>
            <w:r w:rsidR="009B0C2C">
              <w:rPr>
                <w:rFonts w:ascii="Segoe UI" w:hAnsi="Segoe UI" w:cs="Segoe UI"/>
                <w:bCs/>
                <w:color w:val="666666"/>
                <w:sz w:val="18"/>
                <w:szCs w:val="18"/>
              </w:rPr>
              <w:t>7</w:t>
            </w:r>
            <w:r w:rsidRPr="00CF6D7C">
              <w:rPr>
                <w:rFonts w:ascii="Segoe UI" w:hAnsi="Segoe UI" w:cs="Segoe UI"/>
                <w:bCs/>
                <w:color w:val="666666"/>
                <w:sz w:val="18"/>
                <w:szCs w:val="18"/>
              </w:rPr>
              <w:t>64</w:t>
            </w:r>
          </w:p>
        </w:tc>
        <w:tc>
          <w:tcPr>
            <w:tcW w:w="810" w:type="dxa"/>
            <w:shd w:val="clear" w:color="auto" w:fill="auto"/>
            <w:tcMar>
              <w:left w:w="0" w:type="dxa"/>
              <w:right w:w="0" w:type="dxa"/>
            </w:tcMar>
            <w:vAlign w:val="bottom"/>
          </w:tcPr>
          <w:p w14:paraId="5D2B9330" w14:textId="34DB2A92" w:rsidR="00CF6D7C" w:rsidRPr="00CF6D7C" w:rsidRDefault="00CF6D7C" w:rsidP="009B0C2C">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r w:rsidR="009B0C2C">
              <w:rPr>
                <w:rFonts w:ascii="Segoe UI" w:hAnsi="Segoe UI" w:cs="Segoe UI"/>
                <w:bCs/>
                <w:color w:val="666666"/>
                <w:sz w:val="18"/>
                <w:szCs w:val="18"/>
              </w:rPr>
              <w:t>58</w:t>
            </w:r>
          </w:p>
        </w:tc>
        <w:tc>
          <w:tcPr>
            <w:tcW w:w="900" w:type="dxa"/>
            <w:shd w:val="clear" w:color="auto" w:fill="auto"/>
            <w:tcMar>
              <w:left w:w="0" w:type="dxa"/>
              <w:right w:w="0" w:type="dxa"/>
            </w:tcMar>
            <w:vAlign w:val="bottom"/>
          </w:tcPr>
          <w:p w14:paraId="6BBA70A1"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w:t>
            </w:r>
          </w:p>
        </w:tc>
        <w:tc>
          <w:tcPr>
            <w:tcW w:w="910" w:type="dxa"/>
            <w:shd w:val="clear" w:color="auto" w:fill="auto"/>
            <w:tcMar>
              <w:left w:w="0" w:type="dxa"/>
              <w:right w:w="0" w:type="dxa"/>
            </w:tcMar>
            <w:vAlign w:val="bottom"/>
          </w:tcPr>
          <w:p w14:paraId="6A7FB950" w14:textId="40FA06DF" w:rsidR="00CF6D7C" w:rsidRPr="00CF6D7C" w:rsidRDefault="00CF6D7C" w:rsidP="009B0C2C">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r w:rsidR="009B0C2C">
              <w:rPr>
                <w:rFonts w:ascii="Segoe UI" w:hAnsi="Segoe UI" w:cs="Segoe UI"/>
                <w:bCs/>
                <w:color w:val="666666"/>
                <w:sz w:val="18"/>
                <w:szCs w:val="18"/>
              </w:rPr>
              <w:t>3</w:t>
            </w:r>
            <w:r w:rsidRPr="00CF6D7C">
              <w:rPr>
                <w:rFonts w:ascii="Segoe UI" w:hAnsi="Segoe UI" w:cs="Segoe UI"/>
                <w:bCs/>
                <w:color w:val="666666"/>
                <w:sz w:val="18"/>
                <w:szCs w:val="18"/>
              </w:rPr>
              <w:t>%</w:t>
            </w:r>
          </w:p>
        </w:tc>
        <w:tc>
          <w:tcPr>
            <w:tcW w:w="810" w:type="dxa"/>
            <w:shd w:val="clear" w:color="auto" w:fill="auto"/>
            <w:tcMar>
              <w:left w:w="0" w:type="dxa"/>
              <w:right w:w="0" w:type="dxa"/>
            </w:tcMar>
            <w:vAlign w:val="bottom"/>
          </w:tcPr>
          <w:p w14:paraId="40F51066" w14:textId="68BF8E39" w:rsidR="00CF6D7C" w:rsidRPr="00CF6D7C" w:rsidRDefault="009B0C2C"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29</w:t>
            </w:r>
            <w:r w:rsidR="00CF6D7C" w:rsidRPr="00CF6D7C">
              <w:rPr>
                <w:rFonts w:ascii="Segoe UI" w:hAnsi="Segoe UI" w:cs="Segoe UI"/>
                <w:bCs/>
                <w:color w:val="666666"/>
                <w:sz w:val="18"/>
                <w:szCs w:val="18"/>
              </w:rPr>
              <w:t>%</w:t>
            </w:r>
          </w:p>
        </w:tc>
      </w:tr>
      <w:tr w:rsidR="00CF6D7C" w:rsidRPr="00CF6D7C" w14:paraId="3228105D" w14:textId="77777777" w:rsidTr="00327954">
        <w:trPr>
          <w:trHeight w:val="302"/>
        </w:trPr>
        <w:tc>
          <w:tcPr>
            <w:tcW w:w="2605" w:type="dxa"/>
            <w:shd w:val="clear" w:color="auto" w:fill="auto"/>
            <w:tcMar>
              <w:left w:w="288" w:type="dxa"/>
              <w:right w:w="0" w:type="dxa"/>
            </w:tcMar>
            <w:vAlign w:val="bottom"/>
          </w:tcPr>
          <w:p w14:paraId="7CDE41AE" w14:textId="4546586E" w:rsidR="00CF6D7C" w:rsidRPr="00CF6D7C" w:rsidRDefault="00820BA2" w:rsidP="00327954">
            <w:pPr>
              <w:pBdr>
                <w:bottom w:val="single" w:sz="4" w:space="1" w:color="auto"/>
              </w:pBdr>
              <w:spacing w:after="0" w:line="240" w:lineRule="auto"/>
              <w:rPr>
                <w:rFonts w:ascii="Segoe UI" w:hAnsi="Segoe UI" w:cs="Segoe UI"/>
                <w:color w:val="666666"/>
                <w:sz w:val="18"/>
                <w:szCs w:val="18"/>
              </w:rPr>
            </w:pPr>
            <w:r>
              <w:rPr>
                <w:rFonts w:ascii="Segoe UI" w:hAnsi="Segoe UI" w:cs="Segoe UI"/>
                <w:color w:val="666666"/>
                <w:sz w:val="18"/>
                <w:szCs w:val="18"/>
              </w:rPr>
              <w:t>Windows Upgrade Offer</w:t>
            </w:r>
          </w:p>
        </w:tc>
        <w:tc>
          <w:tcPr>
            <w:tcW w:w="720" w:type="dxa"/>
            <w:shd w:val="clear" w:color="auto" w:fill="auto"/>
            <w:tcMar>
              <w:left w:w="0" w:type="dxa"/>
              <w:right w:w="0" w:type="dxa"/>
            </w:tcMar>
            <w:vAlign w:val="bottom"/>
          </w:tcPr>
          <w:p w14:paraId="758ABB46" w14:textId="4A8D842E" w:rsidR="00CF6D7C" w:rsidRPr="00CF6D7C" w:rsidRDefault="00CF6D7C" w:rsidP="00820BA2">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w:t>
            </w:r>
            <w:r w:rsidR="00820BA2">
              <w:rPr>
                <w:rFonts w:ascii="Segoe UI" w:hAnsi="Segoe UI" w:cs="Segoe UI"/>
                <w:color w:val="666666"/>
                <w:sz w:val="18"/>
                <w:szCs w:val="18"/>
              </w:rPr>
              <w:t>40</w:t>
            </w:r>
            <w:r w:rsidRPr="00CF6D7C">
              <w:rPr>
                <w:rFonts w:ascii="Segoe UI" w:hAnsi="Segoe UI" w:cs="Segoe UI"/>
                <w:color w:val="666666"/>
                <w:sz w:val="18"/>
                <w:szCs w:val="18"/>
              </w:rPr>
              <w:t>)</w:t>
            </w:r>
          </w:p>
        </w:tc>
        <w:tc>
          <w:tcPr>
            <w:tcW w:w="900" w:type="dxa"/>
            <w:shd w:val="clear" w:color="auto" w:fill="auto"/>
            <w:tcMar>
              <w:left w:w="0" w:type="dxa"/>
              <w:right w:w="0" w:type="dxa"/>
            </w:tcMar>
            <w:vAlign w:val="bottom"/>
          </w:tcPr>
          <w:p w14:paraId="663F716D" w14:textId="4EA5931C" w:rsidR="00CF6D7C" w:rsidRPr="00CF6D7C" w:rsidRDefault="00CF6D7C" w:rsidP="00820BA2">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w:t>
            </w:r>
            <w:r w:rsidR="00820BA2">
              <w:rPr>
                <w:rFonts w:ascii="Segoe UI" w:hAnsi="Segoe UI" w:cs="Segoe UI"/>
                <w:color w:val="666666"/>
                <w:sz w:val="18"/>
                <w:szCs w:val="18"/>
              </w:rPr>
              <w:t>40</w:t>
            </w:r>
            <w:r w:rsidRPr="00CF6D7C">
              <w:rPr>
                <w:rFonts w:ascii="Segoe UI" w:hAnsi="Segoe UI" w:cs="Segoe UI"/>
                <w:color w:val="666666"/>
                <w:sz w:val="18"/>
                <w:szCs w:val="18"/>
              </w:rPr>
              <w:t>)</w:t>
            </w:r>
          </w:p>
        </w:tc>
        <w:tc>
          <w:tcPr>
            <w:tcW w:w="810" w:type="dxa"/>
            <w:shd w:val="clear" w:color="auto" w:fill="auto"/>
            <w:tcMar>
              <w:left w:w="0" w:type="dxa"/>
              <w:right w:w="0" w:type="dxa"/>
            </w:tcMar>
            <w:vAlign w:val="bottom"/>
          </w:tcPr>
          <w:p w14:paraId="2AEF4C53"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($0.05)</w:t>
            </w:r>
          </w:p>
        </w:tc>
        <w:tc>
          <w:tcPr>
            <w:tcW w:w="900" w:type="dxa"/>
            <w:shd w:val="clear" w:color="auto" w:fill="auto"/>
            <w:tcMar>
              <w:left w:w="0" w:type="dxa"/>
              <w:right w:w="0" w:type="dxa"/>
            </w:tcMar>
            <w:vAlign w:val="bottom"/>
          </w:tcPr>
          <w:p w14:paraId="394FCAF1"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10" w:type="dxa"/>
            <w:shd w:val="clear" w:color="auto" w:fill="auto"/>
            <w:tcMar>
              <w:left w:w="0" w:type="dxa"/>
              <w:right w:w="0" w:type="dxa"/>
            </w:tcMar>
            <w:vAlign w:val="bottom"/>
          </w:tcPr>
          <w:p w14:paraId="452961A2"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5F9354C6"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61E31F87" w14:textId="77777777" w:rsidTr="00327954">
        <w:trPr>
          <w:trHeight w:val="302"/>
        </w:trPr>
        <w:tc>
          <w:tcPr>
            <w:tcW w:w="2605" w:type="dxa"/>
            <w:shd w:val="clear" w:color="auto" w:fill="auto"/>
            <w:tcMar>
              <w:left w:w="288" w:type="dxa"/>
              <w:right w:w="0" w:type="dxa"/>
            </w:tcMar>
            <w:vAlign w:val="bottom"/>
          </w:tcPr>
          <w:p w14:paraId="460890DC"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European Commission fine</w:t>
            </w:r>
          </w:p>
        </w:tc>
        <w:tc>
          <w:tcPr>
            <w:tcW w:w="720" w:type="dxa"/>
            <w:shd w:val="clear" w:color="auto" w:fill="auto"/>
            <w:tcMar>
              <w:left w:w="0" w:type="dxa"/>
              <w:right w:w="0" w:type="dxa"/>
            </w:tcMar>
            <w:vAlign w:val="bottom"/>
          </w:tcPr>
          <w:p w14:paraId="51AA0FED"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00" w:type="dxa"/>
            <w:shd w:val="clear" w:color="auto" w:fill="auto"/>
            <w:tcMar>
              <w:left w:w="0" w:type="dxa"/>
              <w:right w:w="0" w:type="dxa"/>
            </w:tcMar>
            <w:vAlign w:val="bottom"/>
          </w:tcPr>
          <w:p w14:paraId="0431E64C"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r w:rsidRPr="00CF6D7C">
              <w:rPr>
                <w:rFonts w:ascii="Segoe UI" w:hAnsi="Segoe UI" w:cs="Segoe UI"/>
                <w:bCs/>
                <w:color w:val="666666"/>
                <w:sz w:val="18"/>
                <w:szCs w:val="18"/>
              </w:rPr>
              <w:t>$733</w:t>
            </w:r>
          </w:p>
        </w:tc>
        <w:tc>
          <w:tcPr>
            <w:tcW w:w="810" w:type="dxa"/>
            <w:shd w:val="clear" w:color="auto" w:fill="auto"/>
            <w:tcMar>
              <w:left w:w="0" w:type="dxa"/>
              <w:right w:w="0" w:type="dxa"/>
            </w:tcMar>
            <w:vAlign w:val="bottom"/>
          </w:tcPr>
          <w:p w14:paraId="095C9401"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r w:rsidRPr="00CF6D7C">
              <w:rPr>
                <w:rFonts w:ascii="Segoe UI" w:hAnsi="Segoe UI" w:cs="Segoe UI"/>
                <w:bCs/>
                <w:color w:val="666666"/>
                <w:sz w:val="18"/>
                <w:szCs w:val="18"/>
              </w:rPr>
              <w:t>$0.09</w:t>
            </w:r>
          </w:p>
        </w:tc>
        <w:tc>
          <w:tcPr>
            <w:tcW w:w="900" w:type="dxa"/>
            <w:shd w:val="clear" w:color="auto" w:fill="auto"/>
            <w:tcMar>
              <w:left w:w="0" w:type="dxa"/>
              <w:right w:w="0" w:type="dxa"/>
            </w:tcMar>
            <w:vAlign w:val="bottom"/>
          </w:tcPr>
          <w:p w14:paraId="3FA6AC2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10" w:type="dxa"/>
            <w:shd w:val="clear" w:color="auto" w:fill="auto"/>
            <w:tcMar>
              <w:left w:w="0" w:type="dxa"/>
              <w:right w:w="0" w:type="dxa"/>
            </w:tcMar>
            <w:vAlign w:val="bottom"/>
          </w:tcPr>
          <w:p w14:paraId="78271A13"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0F2036CD"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5C82E44D" w14:textId="77777777" w:rsidTr="00327954">
        <w:trPr>
          <w:trHeight w:val="376"/>
        </w:trPr>
        <w:tc>
          <w:tcPr>
            <w:tcW w:w="2605" w:type="dxa"/>
            <w:shd w:val="clear" w:color="auto" w:fill="auto"/>
            <w:tcMar>
              <w:left w:w="0" w:type="dxa"/>
              <w:right w:w="0" w:type="dxa"/>
            </w:tcMar>
            <w:vAlign w:val="bottom"/>
          </w:tcPr>
          <w:p w14:paraId="613D5BB4"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2013 As adjusted (non-GAAP)</w:t>
            </w:r>
          </w:p>
        </w:tc>
        <w:tc>
          <w:tcPr>
            <w:tcW w:w="720" w:type="dxa"/>
            <w:shd w:val="clear" w:color="auto" w:fill="auto"/>
            <w:tcMar>
              <w:left w:w="0" w:type="dxa"/>
              <w:right w:w="0" w:type="dxa"/>
            </w:tcMar>
            <w:vAlign w:val="bottom"/>
          </w:tcPr>
          <w:p w14:paraId="09F3E42E" w14:textId="58BB66D4" w:rsidR="00CF6D7C" w:rsidRPr="00CF6D7C" w:rsidRDefault="00CF6D7C" w:rsidP="00CC6485">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$77,3</w:t>
            </w:r>
            <w:r w:rsidR="00CC6485">
              <w:rPr>
                <w:rFonts w:ascii="Segoe UI" w:hAnsi="Segoe UI" w:cs="Segoe UI"/>
                <w:bCs/>
                <w:color w:val="666666"/>
                <w:sz w:val="18"/>
                <w:szCs w:val="18"/>
              </w:rPr>
              <w:t>09</w:t>
            </w:r>
          </w:p>
        </w:tc>
        <w:tc>
          <w:tcPr>
            <w:tcW w:w="900" w:type="dxa"/>
            <w:shd w:val="clear" w:color="auto" w:fill="auto"/>
            <w:tcMar>
              <w:left w:w="0" w:type="dxa"/>
              <w:right w:w="0" w:type="dxa"/>
            </w:tcMar>
            <w:vAlign w:val="bottom"/>
          </w:tcPr>
          <w:p w14:paraId="6C857FBE" w14:textId="12D8F93E" w:rsidR="00CF6D7C" w:rsidRPr="00CF6D7C" w:rsidRDefault="00CF6D7C" w:rsidP="009B0C2C">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r w:rsidR="009B0C2C">
              <w:rPr>
                <w:rFonts w:ascii="Segoe UI" w:hAnsi="Segoe UI" w:cs="Segoe UI"/>
                <w:bCs/>
                <w:color w:val="666666"/>
                <w:sz w:val="18"/>
                <w:szCs w:val="18"/>
              </w:rPr>
              <w:t>6</w:t>
            </w:r>
            <w:r w:rsidRPr="00CF6D7C">
              <w:rPr>
                <w:rFonts w:ascii="Segoe UI" w:hAnsi="Segoe UI" w:cs="Segoe UI"/>
                <w:bCs/>
                <w:color w:val="666666"/>
                <w:sz w:val="18"/>
                <w:szCs w:val="18"/>
              </w:rPr>
              <w:t>,</w:t>
            </w:r>
            <w:r w:rsidR="009B0C2C">
              <w:rPr>
                <w:rFonts w:ascii="Segoe UI" w:hAnsi="Segoe UI" w:cs="Segoe UI"/>
                <w:bCs/>
                <w:color w:val="666666"/>
                <w:sz w:val="18"/>
                <w:szCs w:val="18"/>
              </w:rPr>
              <w:t>9</w:t>
            </w:r>
            <w:r w:rsidR="00820BA2">
              <w:rPr>
                <w:rFonts w:ascii="Segoe UI" w:hAnsi="Segoe UI" w:cs="Segoe UI"/>
                <w:bCs/>
                <w:color w:val="666666"/>
                <w:sz w:val="18"/>
                <w:szCs w:val="18"/>
              </w:rPr>
              <w:t>57</w:t>
            </w:r>
          </w:p>
        </w:tc>
        <w:tc>
          <w:tcPr>
            <w:tcW w:w="810" w:type="dxa"/>
            <w:shd w:val="clear" w:color="auto" w:fill="auto"/>
            <w:tcMar>
              <w:left w:w="0" w:type="dxa"/>
              <w:right w:w="0" w:type="dxa"/>
            </w:tcMar>
            <w:vAlign w:val="bottom"/>
          </w:tcPr>
          <w:p w14:paraId="58827D5B" w14:textId="7A336A0E" w:rsidR="00CF6D7C" w:rsidRPr="00CF6D7C" w:rsidRDefault="00CF6D7C" w:rsidP="009B0C2C">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$2.6</w:t>
            </w:r>
            <w:r w:rsidR="009B0C2C">
              <w:rPr>
                <w:rFonts w:ascii="Segoe UI" w:hAnsi="Segoe UI" w:cs="Segoe UI"/>
                <w:bCs/>
                <w:color w:val="666666"/>
                <w:sz w:val="18"/>
                <w:szCs w:val="18"/>
              </w:rPr>
              <w:t>2</w:t>
            </w:r>
          </w:p>
        </w:tc>
        <w:tc>
          <w:tcPr>
            <w:tcW w:w="900" w:type="dxa"/>
            <w:shd w:val="clear" w:color="auto" w:fill="auto"/>
            <w:tcMar>
              <w:left w:w="0" w:type="dxa"/>
              <w:right w:w="0" w:type="dxa"/>
            </w:tcMar>
            <w:vAlign w:val="bottom"/>
          </w:tcPr>
          <w:p w14:paraId="210FE41A"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w:t>
            </w:r>
          </w:p>
        </w:tc>
        <w:tc>
          <w:tcPr>
            <w:tcW w:w="910" w:type="dxa"/>
            <w:shd w:val="clear" w:color="auto" w:fill="auto"/>
            <w:tcMar>
              <w:left w:w="0" w:type="dxa"/>
              <w:right w:w="0" w:type="dxa"/>
            </w:tcMar>
            <w:vAlign w:val="bottom"/>
          </w:tcPr>
          <w:p w14:paraId="79AE7D54"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(5)%</w:t>
            </w:r>
          </w:p>
        </w:tc>
        <w:tc>
          <w:tcPr>
            <w:tcW w:w="810" w:type="dxa"/>
            <w:shd w:val="clear" w:color="auto" w:fill="auto"/>
            <w:tcMar>
              <w:left w:w="0" w:type="dxa"/>
              <w:right w:w="0" w:type="dxa"/>
            </w:tcMar>
            <w:vAlign w:val="bottom"/>
          </w:tcPr>
          <w:p w14:paraId="360AEF16" w14:textId="3D688299" w:rsidR="00CF6D7C" w:rsidRPr="00CF6D7C" w:rsidRDefault="00CF6D7C" w:rsidP="009B0C2C">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r w:rsidR="009B0C2C">
              <w:rPr>
                <w:rFonts w:ascii="Segoe UI" w:hAnsi="Segoe UI" w:cs="Segoe UI"/>
                <w:bCs/>
                <w:color w:val="666666"/>
                <w:sz w:val="18"/>
                <w:szCs w:val="18"/>
              </w:rPr>
              <w:t>6</w:t>
            </w:r>
            <w:r w:rsidRPr="00CF6D7C">
              <w:rPr>
                <w:rFonts w:ascii="Segoe UI" w:hAnsi="Segoe UI" w:cs="Segoe UI"/>
                <w:bCs/>
                <w:color w:val="666666"/>
                <w:sz w:val="18"/>
                <w:szCs w:val="18"/>
              </w:rPr>
              <w:t>)%</w:t>
            </w:r>
          </w:p>
        </w:tc>
      </w:tr>
    </w:tbl>
    <w:p w14:paraId="6F3DEC66" w14:textId="31DAC410" w:rsidR="006273F8" w:rsidRPr="006273F8" w:rsidRDefault="006273F8" w:rsidP="006273F8">
      <w:pPr>
        <w:ind w:firstLine="90"/>
        <w:rPr>
          <w:rFonts w:ascii="Segoe UI" w:hAnsi="Segoe UI" w:cs="Segoe UI"/>
          <w:i/>
          <w:color w:val="666666"/>
          <w:sz w:val="16"/>
          <w:szCs w:val="16"/>
        </w:rPr>
      </w:pPr>
      <w:r w:rsidRPr="006273F8">
        <w:rPr>
          <w:rFonts w:ascii="Segoe UI" w:hAnsi="Segoe UI" w:cs="Segoe UI"/>
          <w:i/>
          <w:color w:val="666666"/>
          <w:sz w:val="16"/>
          <w:szCs w:val="16"/>
        </w:rPr>
        <w:t>*</w:t>
      </w:r>
      <w:r>
        <w:rPr>
          <w:rFonts w:ascii="Segoe UI" w:hAnsi="Segoe UI" w:cs="Segoe UI"/>
          <w:i/>
          <w:color w:val="666666"/>
          <w:sz w:val="16"/>
          <w:szCs w:val="16"/>
        </w:rPr>
        <w:t>Totals do not foot due to rounding</w:t>
      </w:r>
    </w:p>
    <w:p w14:paraId="0CE2890A" w14:textId="02EDF73B" w:rsidR="00D855AD" w:rsidRPr="00123413" w:rsidRDefault="00D855AD" w:rsidP="00C575AB">
      <w:pPr>
        <w:spacing w:before="270" w:line="280" w:lineRule="exact"/>
        <w:rPr>
          <w:rFonts w:ascii="Segoe UI" w:hAnsi="Segoe UI" w:cs="Segoe UI"/>
          <w:color w:val="666666"/>
          <w:sz w:val="20"/>
          <w:szCs w:val="20"/>
        </w:rPr>
      </w:pPr>
      <w:r w:rsidRPr="00742A5D">
        <w:rPr>
          <w:rFonts w:ascii="Segoe UI" w:hAnsi="Segoe UI" w:cs="Segoe UI"/>
          <w:color w:val="666666"/>
          <w:sz w:val="20"/>
          <w:szCs w:val="20"/>
        </w:rPr>
        <w:t xml:space="preserve">Microsoft Business Division </w:t>
      </w:r>
      <w:r w:rsidR="008C1871" w:rsidRPr="00742A5D">
        <w:rPr>
          <w:rFonts w:ascii="Segoe UI" w:hAnsi="Segoe UI" w:cs="Segoe UI"/>
          <w:color w:val="666666"/>
          <w:sz w:val="20"/>
          <w:szCs w:val="20"/>
        </w:rPr>
        <w:t>revenue grew 14% for the fourth quarter and 3</w:t>
      </w:r>
      <w:r w:rsidR="00B32D34" w:rsidRPr="00742A5D">
        <w:rPr>
          <w:rFonts w:ascii="Segoe UI" w:hAnsi="Segoe UI" w:cs="Segoe UI"/>
          <w:color w:val="666666"/>
          <w:sz w:val="20"/>
          <w:szCs w:val="20"/>
        </w:rPr>
        <w:t xml:space="preserve">% for the full year. </w:t>
      </w:r>
      <w:r w:rsidRPr="00742A5D">
        <w:rPr>
          <w:rFonts w:ascii="Segoe UI" w:hAnsi="Segoe UI" w:cs="Segoe UI"/>
          <w:color w:val="666666"/>
          <w:sz w:val="20"/>
          <w:szCs w:val="20"/>
        </w:rPr>
        <w:t xml:space="preserve">Adjusting for the </w:t>
      </w:r>
      <w:r w:rsidR="00A672BC" w:rsidRPr="00742A5D">
        <w:rPr>
          <w:rFonts w:ascii="Segoe UI" w:hAnsi="Segoe UI" w:cs="Segoe UI"/>
          <w:color w:val="666666"/>
          <w:sz w:val="20"/>
          <w:szCs w:val="20"/>
        </w:rPr>
        <w:t>r</w:t>
      </w:r>
      <w:r w:rsidRPr="00742A5D">
        <w:rPr>
          <w:rFonts w:ascii="Segoe UI" w:hAnsi="Segoe UI" w:cs="Segoe UI"/>
          <w:color w:val="666666"/>
          <w:sz w:val="20"/>
          <w:szCs w:val="20"/>
        </w:rPr>
        <w:t xml:space="preserve">ecognition of </w:t>
      </w:r>
      <w:r w:rsidR="003F188D">
        <w:rPr>
          <w:rFonts w:ascii="Segoe UI" w:hAnsi="Segoe UI" w:cs="Segoe UI"/>
          <w:color w:val="666666"/>
          <w:sz w:val="20"/>
          <w:szCs w:val="20"/>
        </w:rPr>
        <w:t xml:space="preserve">previously deferred </w:t>
      </w:r>
      <w:r w:rsidRPr="00742A5D">
        <w:rPr>
          <w:rFonts w:ascii="Segoe UI" w:hAnsi="Segoe UI" w:cs="Segoe UI"/>
          <w:color w:val="666666"/>
          <w:sz w:val="20"/>
          <w:szCs w:val="20"/>
        </w:rPr>
        <w:t>revenue related to the Office Upgrade</w:t>
      </w:r>
      <w:r w:rsidRPr="00123413">
        <w:rPr>
          <w:rFonts w:ascii="Segoe UI" w:hAnsi="Segoe UI" w:cs="Segoe UI"/>
          <w:color w:val="666666"/>
          <w:sz w:val="20"/>
          <w:szCs w:val="20"/>
        </w:rPr>
        <w:t xml:space="preserve"> </w:t>
      </w:r>
      <w:r w:rsidR="00A672BC">
        <w:rPr>
          <w:rFonts w:ascii="Segoe UI" w:hAnsi="Segoe UI" w:cs="Segoe UI"/>
          <w:color w:val="666666"/>
          <w:sz w:val="20"/>
          <w:szCs w:val="20"/>
        </w:rPr>
        <w:t>Offer</w:t>
      </w:r>
      <w:r w:rsidRPr="00123413">
        <w:rPr>
          <w:rFonts w:ascii="Segoe UI" w:hAnsi="Segoe UI" w:cs="Segoe UI"/>
          <w:color w:val="666666"/>
          <w:sz w:val="20"/>
          <w:szCs w:val="20"/>
        </w:rPr>
        <w:t xml:space="preserve">, Microsoft Business Division non-GAAP revenue increased </w:t>
      </w:r>
      <w:r w:rsidR="00F56307">
        <w:rPr>
          <w:rFonts w:ascii="Segoe UI" w:hAnsi="Segoe UI" w:cs="Segoe UI"/>
          <w:color w:val="666666"/>
          <w:sz w:val="20"/>
          <w:szCs w:val="20"/>
        </w:rPr>
        <w:t>2</w:t>
      </w:r>
      <w:r w:rsidR="00EA5C91">
        <w:rPr>
          <w:rFonts w:ascii="Segoe UI" w:hAnsi="Segoe UI" w:cs="Segoe UI"/>
          <w:color w:val="666666"/>
          <w:sz w:val="20"/>
          <w:szCs w:val="20"/>
        </w:rPr>
        <w:t>%</w:t>
      </w:r>
      <w:r w:rsidR="008C1871">
        <w:rPr>
          <w:rFonts w:ascii="Segoe UI" w:hAnsi="Segoe UI" w:cs="Segoe UI"/>
          <w:color w:val="666666"/>
          <w:sz w:val="20"/>
          <w:szCs w:val="20"/>
        </w:rPr>
        <w:t xml:space="preserve"> for the fourth quarter</w:t>
      </w:r>
      <w:r w:rsidR="00F04E04">
        <w:rPr>
          <w:rFonts w:ascii="Segoe UI" w:hAnsi="Segoe UI" w:cs="Segoe UI"/>
          <w:color w:val="666666"/>
          <w:sz w:val="20"/>
          <w:szCs w:val="20"/>
        </w:rPr>
        <w:t>.</w:t>
      </w:r>
      <w:r w:rsidR="00203FDF">
        <w:rPr>
          <w:rFonts w:ascii="Segoe UI" w:hAnsi="Segoe UI" w:cs="Segoe UI"/>
          <w:color w:val="666666"/>
          <w:sz w:val="20"/>
          <w:szCs w:val="20"/>
        </w:rPr>
        <w:t xml:space="preserve"> Office </w:t>
      </w:r>
      <w:r w:rsidR="00742A5D">
        <w:rPr>
          <w:rFonts w:ascii="Segoe UI" w:hAnsi="Segoe UI" w:cs="Segoe UI"/>
          <w:color w:val="666666"/>
          <w:sz w:val="20"/>
          <w:szCs w:val="20"/>
        </w:rPr>
        <w:t xml:space="preserve">365 is </w:t>
      </w:r>
      <w:r w:rsidR="003B5718">
        <w:rPr>
          <w:rFonts w:ascii="Segoe UI" w:hAnsi="Segoe UI" w:cs="Segoe UI"/>
          <w:color w:val="666666"/>
          <w:sz w:val="20"/>
          <w:szCs w:val="20"/>
        </w:rPr>
        <w:t xml:space="preserve">now on a </w:t>
      </w:r>
      <w:r w:rsidR="00203FDF">
        <w:rPr>
          <w:rFonts w:ascii="Segoe UI" w:hAnsi="Segoe UI" w:cs="Segoe UI"/>
          <w:color w:val="666666"/>
          <w:sz w:val="20"/>
          <w:szCs w:val="20"/>
        </w:rPr>
        <w:t>$1</w:t>
      </w:r>
      <w:r w:rsidR="003B5718">
        <w:rPr>
          <w:rFonts w:ascii="Segoe UI" w:hAnsi="Segoe UI" w:cs="Segoe UI"/>
          <w:color w:val="666666"/>
          <w:sz w:val="20"/>
          <w:szCs w:val="20"/>
        </w:rPr>
        <w:t>.5</w:t>
      </w:r>
      <w:r w:rsidR="00203FDF">
        <w:rPr>
          <w:rFonts w:ascii="Segoe UI" w:hAnsi="Segoe UI" w:cs="Segoe UI"/>
          <w:color w:val="666666"/>
          <w:sz w:val="20"/>
          <w:szCs w:val="20"/>
        </w:rPr>
        <w:t xml:space="preserve"> billion</w:t>
      </w:r>
      <w:r w:rsidR="003B5718">
        <w:rPr>
          <w:rFonts w:ascii="Segoe UI" w:hAnsi="Segoe UI" w:cs="Segoe UI"/>
          <w:color w:val="666666"/>
          <w:sz w:val="20"/>
          <w:szCs w:val="20"/>
        </w:rPr>
        <w:t xml:space="preserve"> annual revenue run rate.</w:t>
      </w:r>
    </w:p>
    <w:p w14:paraId="75A97FDC" w14:textId="776BBFDE" w:rsidR="00D855AD" w:rsidRPr="00123413" w:rsidRDefault="00D855AD" w:rsidP="00F57EFD">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Ser</w:t>
      </w:r>
      <w:r>
        <w:rPr>
          <w:rFonts w:ascii="Segoe UI" w:hAnsi="Segoe UI" w:cs="Segoe UI"/>
          <w:color w:val="666666"/>
          <w:sz w:val="20"/>
          <w:szCs w:val="20"/>
        </w:rPr>
        <w:t xml:space="preserve">ver &amp; Tools </w:t>
      </w:r>
      <w:r w:rsidR="00AC5073">
        <w:rPr>
          <w:rFonts w:ascii="Segoe UI" w:hAnsi="Segoe UI" w:cs="Segoe UI"/>
          <w:color w:val="666666"/>
          <w:sz w:val="20"/>
          <w:szCs w:val="20"/>
        </w:rPr>
        <w:t>revenue grew 9% for the fourth quarter and 9% for the full year,</w:t>
      </w:r>
      <w:r w:rsidRPr="00123413">
        <w:rPr>
          <w:rFonts w:ascii="Segoe UI" w:hAnsi="Segoe UI" w:cs="Segoe UI"/>
          <w:color w:val="666666"/>
          <w:sz w:val="20"/>
          <w:szCs w:val="20"/>
        </w:rPr>
        <w:t xml:space="preserve"> driven by double-digit </w:t>
      </w:r>
      <w:r>
        <w:rPr>
          <w:rFonts w:ascii="Segoe UI" w:hAnsi="Segoe UI" w:cs="Segoe UI"/>
          <w:color w:val="666666"/>
          <w:sz w:val="20"/>
          <w:szCs w:val="20"/>
        </w:rPr>
        <w:t xml:space="preserve">percentage </w:t>
      </w:r>
      <w:r w:rsidRPr="00123413">
        <w:rPr>
          <w:rFonts w:ascii="Segoe UI" w:hAnsi="Segoe UI" w:cs="Segoe UI"/>
          <w:color w:val="666666"/>
          <w:sz w:val="20"/>
          <w:szCs w:val="20"/>
        </w:rPr>
        <w:t xml:space="preserve">revenue growth in SQL Server </w:t>
      </w:r>
      <w:r>
        <w:rPr>
          <w:rFonts w:ascii="Segoe UI" w:hAnsi="Segoe UI" w:cs="Segoe UI"/>
          <w:color w:val="666666"/>
          <w:sz w:val="20"/>
          <w:szCs w:val="20"/>
        </w:rPr>
        <w:t xml:space="preserve">and </w:t>
      </w:r>
      <w:r w:rsidRPr="00123413">
        <w:rPr>
          <w:rFonts w:ascii="Segoe UI" w:hAnsi="Segoe UI" w:cs="Segoe UI"/>
          <w:color w:val="666666"/>
          <w:sz w:val="20"/>
          <w:szCs w:val="20"/>
        </w:rPr>
        <w:t>System Center.</w:t>
      </w:r>
    </w:p>
    <w:p w14:paraId="772E5669" w14:textId="748C5586" w:rsidR="00C37532" w:rsidRPr="00C37532" w:rsidRDefault="00C37532" w:rsidP="00F57EFD">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 xml:space="preserve">Windows Division </w:t>
      </w:r>
      <w:r>
        <w:rPr>
          <w:rFonts w:ascii="Segoe UI" w:hAnsi="Segoe UI" w:cs="Segoe UI"/>
          <w:color w:val="666666"/>
          <w:sz w:val="20"/>
          <w:szCs w:val="20"/>
        </w:rPr>
        <w:t>revenue grew 6% for the fourth quarter and 5% for the full year</w:t>
      </w:r>
      <w:r w:rsidRPr="00C37532">
        <w:rPr>
          <w:rFonts w:ascii="Segoe UI" w:hAnsi="Segoe UI" w:cs="Segoe UI"/>
          <w:color w:val="666666"/>
          <w:sz w:val="20"/>
          <w:szCs w:val="20"/>
        </w:rPr>
        <w:t xml:space="preserve">. Excluding the impact of the prior year Windows Upgrade Offer revenue deferral, Windows Division non-GAAP revenue decreased </w:t>
      </w:r>
      <w:r w:rsidR="00A45AA2">
        <w:rPr>
          <w:rFonts w:ascii="Segoe UI" w:hAnsi="Segoe UI" w:cs="Segoe UI"/>
          <w:color w:val="666666"/>
          <w:sz w:val="20"/>
          <w:szCs w:val="20"/>
        </w:rPr>
        <w:t>6</w:t>
      </w:r>
      <w:r w:rsidRPr="00C37532">
        <w:rPr>
          <w:rFonts w:ascii="Segoe UI" w:hAnsi="Segoe UI" w:cs="Segoe UI"/>
          <w:color w:val="666666"/>
          <w:sz w:val="20"/>
          <w:szCs w:val="20"/>
        </w:rPr>
        <w:t>%</w:t>
      </w:r>
      <w:r>
        <w:rPr>
          <w:rFonts w:ascii="Segoe UI" w:hAnsi="Segoe UI" w:cs="Segoe UI"/>
          <w:color w:val="666666"/>
          <w:sz w:val="20"/>
          <w:szCs w:val="20"/>
        </w:rPr>
        <w:t xml:space="preserve"> for the fourth quarter and 1% for the full year</w:t>
      </w:r>
      <w:r w:rsidR="008F286E">
        <w:rPr>
          <w:rFonts w:ascii="Segoe UI" w:hAnsi="Segoe UI" w:cs="Segoe UI"/>
          <w:color w:val="666666"/>
          <w:sz w:val="20"/>
          <w:szCs w:val="20"/>
        </w:rPr>
        <w:t xml:space="preserve">. </w:t>
      </w:r>
      <w:r w:rsidR="00381338">
        <w:rPr>
          <w:rFonts w:ascii="Segoe UI" w:hAnsi="Segoe UI" w:cs="Segoe UI"/>
          <w:color w:val="666666"/>
          <w:sz w:val="20"/>
          <w:szCs w:val="20"/>
        </w:rPr>
        <w:t>In June</w:t>
      </w:r>
      <w:r w:rsidRPr="00C37532">
        <w:rPr>
          <w:rFonts w:ascii="Segoe UI" w:hAnsi="Segoe UI" w:cs="Segoe UI"/>
          <w:color w:val="666666"/>
          <w:sz w:val="20"/>
          <w:szCs w:val="20"/>
        </w:rPr>
        <w:t xml:space="preserve">, Microsoft </w:t>
      </w:r>
      <w:r w:rsidR="00E004F0">
        <w:rPr>
          <w:rFonts w:ascii="Segoe UI" w:hAnsi="Segoe UI" w:cs="Segoe UI"/>
          <w:color w:val="666666"/>
          <w:sz w:val="20"/>
          <w:szCs w:val="20"/>
        </w:rPr>
        <w:t>released the</w:t>
      </w:r>
      <w:r w:rsidRPr="00C37532">
        <w:rPr>
          <w:rFonts w:ascii="Segoe UI" w:hAnsi="Segoe UI" w:cs="Segoe UI"/>
          <w:color w:val="666666"/>
          <w:sz w:val="20"/>
          <w:szCs w:val="20"/>
        </w:rPr>
        <w:t xml:space="preserve"> public preview of Windows 8.1 </w:t>
      </w:r>
      <w:r w:rsidR="00E004F0">
        <w:rPr>
          <w:rFonts w:ascii="Segoe UI" w:hAnsi="Segoe UI" w:cs="Segoe UI"/>
          <w:color w:val="666666"/>
          <w:sz w:val="20"/>
          <w:szCs w:val="20"/>
        </w:rPr>
        <w:t>which will be made available to OEMs in August</w:t>
      </w:r>
      <w:r w:rsidR="00395A37">
        <w:rPr>
          <w:rFonts w:ascii="Segoe UI" w:hAnsi="Segoe UI" w:cs="Segoe UI"/>
          <w:color w:val="666666"/>
          <w:sz w:val="20"/>
          <w:szCs w:val="20"/>
        </w:rPr>
        <w:t>.</w:t>
      </w:r>
    </w:p>
    <w:p w14:paraId="067DB739" w14:textId="5E0E982D" w:rsidR="005C6392" w:rsidRDefault="005C6392" w:rsidP="00F57EFD">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 xml:space="preserve">Online Services Division </w:t>
      </w:r>
      <w:r w:rsidR="00BB76CC">
        <w:rPr>
          <w:rFonts w:ascii="Segoe UI" w:hAnsi="Segoe UI" w:cs="Segoe UI"/>
          <w:color w:val="666666"/>
          <w:sz w:val="20"/>
          <w:szCs w:val="20"/>
        </w:rPr>
        <w:t xml:space="preserve">revenue grew 9% for the fourth quarter and </w:t>
      </w:r>
      <w:r w:rsidR="00274169">
        <w:rPr>
          <w:rFonts w:ascii="Segoe UI" w:hAnsi="Segoe UI" w:cs="Segoe UI"/>
          <w:color w:val="666666"/>
          <w:sz w:val="20"/>
          <w:szCs w:val="20"/>
        </w:rPr>
        <w:t>12</w:t>
      </w:r>
      <w:r w:rsidR="00BB76CC">
        <w:rPr>
          <w:rFonts w:ascii="Segoe UI" w:hAnsi="Segoe UI" w:cs="Segoe UI"/>
          <w:color w:val="666666"/>
          <w:sz w:val="20"/>
          <w:szCs w:val="20"/>
        </w:rPr>
        <w:t xml:space="preserve">% for the full year, driven by </w:t>
      </w:r>
      <w:r w:rsidRPr="00123413">
        <w:rPr>
          <w:rFonts w:ascii="Segoe UI" w:hAnsi="Segoe UI" w:cs="Segoe UI"/>
          <w:color w:val="666666"/>
          <w:sz w:val="20"/>
          <w:szCs w:val="20"/>
        </w:rPr>
        <w:t>an increase in revenue per search</w:t>
      </w:r>
      <w:r w:rsidR="00BB76CC">
        <w:rPr>
          <w:rFonts w:ascii="Segoe UI" w:hAnsi="Segoe UI" w:cs="Segoe UI"/>
          <w:color w:val="666666"/>
          <w:sz w:val="20"/>
          <w:szCs w:val="20"/>
        </w:rPr>
        <w:t xml:space="preserve"> and volume</w:t>
      </w:r>
      <w:r w:rsidRPr="00123413">
        <w:rPr>
          <w:rFonts w:ascii="Segoe UI" w:hAnsi="Segoe UI" w:cs="Segoe UI"/>
          <w:color w:val="666666"/>
          <w:sz w:val="20"/>
          <w:szCs w:val="20"/>
        </w:rPr>
        <w:t>.</w:t>
      </w:r>
      <w:r w:rsidR="00646B69">
        <w:rPr>
          <w:rFonts w:ascii="Segoe UI" w:hAnsi="Segoe UI" w:cs="Segoe UI"/>
          <w:color w:val="666666"/>
          <w:sz w:val="20"/>
          <w:szCs w:val="20"/>
        </w:rPr>
        <w:t xml:space="preserve"> Bing organic U.S. search market share was </w:t>
      </w:r>
      <w:r w:rsidR="00EC6091">
        <w:rPr>
          <w:rFonts w:ascii="Segoe UI" w:hAnsi="Segoe UI" w:cs="Segoe UI"/>
          <w:color w:val="666666"/>
          <w:sz w:val="20"/>
          <w:szCs w:val="20"/>
        </w:rPr>
        <w:t>17</w:t>
      </w:r>
      <w:r w:rsidR="00646B69">
        <w:rPr>
          <w:rFonts w:ascii="Segoe UI" w:hAnsi="Segoe UI" w:cs="Segoe UI"/>
          <w:color w:val="666666"/>
          <w:sz w:val="20"/>
          <w:szCs w:val="20"/>
        </w:rPr>
        <w:t>.</w:t>
      </w:r>
      <w:r w:rsidR="00EC6091">
        <w:rPr>
          <w:rFonts w:ascii="Segoe UI" w:hAnsi="Segoe UI" w:cs="Segoe UI"/>
          <w:color w:val="666666"/>
          <w:sz w:val="20"/>
          <w:szCs w:val="20"/>
        </w:rPr>
        <w:t>9</w:t>
      </w:r>
      <w:r w:rsidR="00646B69">
        <w:rPr>
          <w:rFonts w:ascii="Segoe UI" w:hAnsi="Segoe UI" w:cs="Segoe UI"/>
          <w:color w:val="666666"/>
          <w:sz w:val="20"/>
          <w:szCs w:val="20"/>
        </w:rPr>
        <w:t xml:space="preserve">% for the month of June 2013, up </w:t>
      </w:r>
      <w:r w:rsidR="00EC6091">
        <w:rPr>
          <w:rFonts w:ascii="Segoe UI" w:hAnsi="Segoe UI" w:cs="Segoe UI"/>
          <w:color w:val="666666"/>
          <w:sz w:val="20"/>
          <w:szCs w:val="20"/>
        </w:rPr>
        <w:t xml:space="preserve">230 </w:t>
      </w:r>
      <w:r w:rsidR="006957B9">
        <w:rPr>
          <w:rFonts w:ascii="Segoe UI" w:hAnsi="Segoe UI" w:cs="Segoe UI"/>
          <w:color w:val="666666"/>
          <w:sz w:val="20"/>
          <w:szCs w:val="20"/>
        </w:rPr>
        <w:t xml:space="preserve">basis </w:t>
      </w:r>
      <w:r w:rsidR="00646B69">
        <w:rPr>
          <w:rFonts w:ascii="Segoe UI" w:hAnsi="Segoe UI" w:cs="Segoe UI"/>
          <w:color w:val="666666"/>
          <w:sz w:val="20"/>
          <w:szCs w:val="20"/>
        </w:rPr>
        <w:t>points from the prior year period.</w:t>
      </w:r>
    </w:p>
    <w:p w14:paraId="1FEACC97" w14:textId="631961E5" w:rsidR="005C6392" w:rsidRDefault="005C6392" w:rsidP="00F57EFD">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Entertainment and Devic</w:t>
      </w:r>
      <w:r w:rsidR="003E39D3">
        <w:rPr>
          <w:rFonts w:ascii="Segoe UI" w:hAnsi="Segoe UI" w:cs="Segoe UI"/>
          <w:color w:val="666666"/>
          <w:sz w:val="20"/>
          <w:szCs w:val="20"/>
        </w:rPr>
        <w:t xml:space="preserve">es </w:t>
      </w:r>
      <w:r w:rsidR="001848A2">
        <w:rPr>
          <w:rFonts w:ascii="Segoe UI" w:hAnsi="Segoe UI" w:cs="Segoe UI"/>
          <w:color w:val="666666"/>
          <w:sz w:val="20"/>
          <w:szCs w:val="20"/>
        </w:rPr>
        <w:t xml:space="preserve">Division </w:t>
      </w:r>
      <w:r w:rsidR="00F755B7">
        <w:rPr>
          <w:rFonts w:ascii="Segoe UI" w:hAnsi="Segoe UI" w:cs="Segoe UI"/>
          <w:color w:val="666666"/>
          <w:sz w:val="20"/>
          <w:szCs w:val="20"/>
        </w:rPr>
        <w:t>grew 8% for the fourth quarter and 6% for the full year.</w:t>
      </w:r>
      <w:r w:rsidR="00CE0ED9" w:rsidRPr="00123413">
        <w:rPr>
          <w:rFonts w:ascii="Segoe UI" w:hAnsi="Segoe UI" w:cs="Segoe UI"/>
          <w:color w:val="666666"/>
          <w:sz w:val="20"/>
          <w:szCs w:val="20"/>
        </w:rPr>
        <w:t xml:space="preserve"> </w:t>
      </w:r>
      <w:r w:rsidR="00742A5D">
        <w:rPr>
          <w:rFonts w:ascii="Segoe UI" w:hAnsi="Segoe UI" w:cs="Segoe UI"/>
          <w:color w:val="666666"/>
          <w:sz w:val="20"/>
          <w:szCs w:val="20"/>
        </w:rPr>
        <w:t xml:space="preserve">During the quarter, </w:t>
      </w:r>
      <w:r w:rsidR="00BC7F99">
        <w:rPr>
          <w:rFonts w:ascii="Segoe UI" w:hAnsi="Segoe UI" w:cs="Segoe UI"/>
          <w:color w:val="666666"/>
          <w:sz w:val="20"/>
          <w:szCs w:val="20"/>
        </w:rPr>
        <w:t xml:space="preserve">transactional revenue within Xbox LIVE grew </w:t>
      </w:r>
      <w:r w:rsidR="004136DD">
        <w:rPr>
          <w:rFonts w:ascii="Segoe UI" w:hAnsi="Segoe UI" w:cs="Segoe UI"/>
          <w:color w:val="666666"/>
          <w:sz w:val="20"/>
          <w:szCs w:val="20"/>
        </w:rPr>
        <w:t xml:space="preserve">nearly </w:t>
      </w:r>
      <w:r w:rsidR="00BC7F99">
        <w:rPr>
          <w:rFonts w:ascii="Segoe UI" w:hAnsi="Segoe UI" w:cs="Segoe UI"/>
          <w:color w:val="666666"/>
          <w:sz w:val="20"/>
          <w:szCs w:val="20"/>
        </w:rPr>
        <w:t xml:space="preserve">20%, </w:t>
      </w:r>
      <w:r w:rsidR="007C0653" w:rsidRPr="007C0653">
        <w:rPr>
          <w:rFonts w:ascii="Segoe UI" w:hAnsi="Segoe UI" w:cs="Segoe UI"/>
          <w:color w:val="666666"/>
          <w:sz w:val="20"/>
          <w:szCs w:val="20"/>
        </w:rPr>
        <w:t xml:space="preserve">and we unveiled our next-generation </w:t>
      </w:r>
      <w:r w:rsidR="000608B9">
        <w:rPr>
          <w:rFonts w:ascii="Segoe UI" w:hAnsi="Segoe UI" w:cs="Segoe UI"/>
          <w:color w:val="666666"/>
          <w:sz w:val="20"/>
          <w:szCs w:val="20"/>
        </w:rPr>
        <w:t xml:space="preserve">gaming and </w:t>
      </w:r>
      <w:r w:rsidR="007C0653" w:rsidRPr="007C0653">
        <w:rPr>
          <w:rFonts w:ascii="Segoe UI" w:hAnsi="Segoe UI" w:cs="Segoe UI"/>
          <w:color w:val="666666"/>
          <w:sz w:val="20"/>
          <w:szCs w:val="20"/>
        </w:rPr>
        <w:t>entertainment console, Xbox One</w:t>
      </w:r>
      <w:r w:rsidR="005149DA" w:rsidRPr="00742A5D">
        <w:rPr>
          <w:rFonts w:ascii="Segoe UI" w:hAnsi="Segoe UI" w:cs="Segoe UI"/>
          <w:color w:val="666666"/>
          <w:sz w:val="20"/>
          <w:szCs w:val="20"/>
        </w:rPr>
        <w:t>.</w:t>
      </w:r>
    </w:p>
    <w:p w14:paraId="349A1057" w14:textId="5ACC07C8" w:rsidR="00FB6AF7" w:rsidRDefault="009709E8" w:rsidP="00FB6AF7">
      <w:pPr>
        <w:rPr>
          <w:rFonts w:ascii="Segoe UI" w:hAnsi="Segoe UI" w:cs="Segoe UI"/>
          <w:color w:val="666666"/>
          <w:sz w:val="20"/>
          <w:szCs w:val="20"/>
        </w:rPr>
      </w:pPr>
      <w:r w:rsidRPr="009709E8">
        <w:rPr>
          <w:rFonts w:ascii="Segoe UI" w:hAnsi="Segoe UI" w:cs="Segoe UI"/>
          <w:color w:val="666666"/>
          <w:sz w:val="20"/>
          <w:szCs w:val="20"/>
        </w:rPr>
        <w:t>“</w:t>
      </w:r>
      <w:r w:rsidR="00FB6AF7">
        <w:rPr>
          <w:rFonts w:ascii="Segoe UI" w:hAnsi="Segoe UI" w:cs="Segoe UI"/>
          <w:color w:val="666666"/>
          <w:sz w:val="20"/>
          <w:szCs w:val="20"/>
        </w:rPr>
        <w:t>We continue to see strong demand for our enterprise products and services, with more and more customers making long-term commitments to the Microsoft platform,” said Kevin Turner, chief operating officer at Microsoft. “The growing adoption of our cloud services, including Office 365, Windows Azure and Dynamics CRM, continues to demonstrate our leadership position in the cloud.”</w:t>
      </w:r>
    </w:p>
    <w:p w14:paraId="03A9E279" w14:textId="77777777" w:rsidR="00145439" w:rsidRDefault="00145439" w:rsidP="00F57EFD">
      <w:pPr>
        <w:spacing w:before="240" w:line="280" w:lineRule="exact"/>
        <w:rPr>
          <w:rFonts w:ascii="Segoe UI" w:hAnsi="Segoe UI" w:cs="Segoe UI"/>
          <w:b/>
          <w:color w:val="666666"/>
          <w:sz w:val="20"/>
          <w:szCs w:val="20"/>
        </w:rPr>
      </w:pPr>
      <w:bookmarkStart w:id="1" w:name="_MailEndCompose"/>
      <w:bookmarkEnd w:id="1"/>
    </w:p>
    <w:p w14:paraId="3E8AFCD4" w14:textId="77777777" w:rsidR="00145439" w:rsidRDefault="00145439" w:rsidP="00F57EFD">
      <w:pPr>
        <w:spacing w:before="240" w:line="280" w:lineRule="exact"/>
        <w:rPr>
          <w:rFonts w:ascii="Segoe UI" w:hAnsi="Segoe UI" w:cs="Segoe UI"/>
          <w:b/>
          <w:color w:val="666666"/>
          <w:sz w:val="20"/>
          <w:szCs w:val="20"/>
        </w:rPr>
      </w:pPr>
    </w:p>
    <w:p w14:paraId="0DB79041" w14:textId="1E7D9101" w:rsidR="005C6392" w:rsidRPr="00123413" w:rsidRDefault="00313AD0" w:rsidP="00F57EFD">
      <w:pPr>
        <w:spacing w:before="240" w:line="280" w:lineRule="exact"/>
        <w:rPr>
          <w:rFonts w:ascii="Segoe UI" w:hAnsi="Segoe UI" w:cs="Segoe UI"/>
          <w:b/>
          <w:color w:val="666666"/>
          <w:sz w:val="20"/>
          <w:szCs w:val="20"/>
        </w:rPr>
      </w:pPr>
      <w:r>
        <w:rPr>
          <w:rFonts w:ascii="Segoe UI" w:hAnsi="Segoe UI" w:cs="Segoe UI"/>
          <w:b/>
          <w:color w:val="666666"/>
          <w:sz w:val="20"/>
          <w:szCs w:val="20"/>
        </w:rPr>
        <w:lastRenderedPageBreak/>
        <w:t>Operating Expense</w:t>
      </w:r>
      <w:r w:rsidR="005C6392" w:rsidRPr="00123413">
        <w:rPr>
          <w:rFonts w:ascii="Segoe UI" w:hAnsi="Segoe UI" w:cs="Segoe UI"/>
          <w:b/>
          <w:color w:val="666666"/>
          <w:sz w:val="20"/>
          <w:szCs w:val="20"/>
        </w:rPr>
        <w:t xml:space="preserve"> Outlook</w:t>
      </w:r>
    </w:p>
    <w:p w14:paraId="49078E5A" w14:textId="2AEC5AD4" w:rsidR="00227819" w:rsidRDefault="00227819" w:rsidP="00F57EFD">
      <w:pPr>
        <w:spacing w:line="280" w:lineRule="exact"/>
        <w:rPr>
          <w:rFonts w:ascii="Segoe UI" w:hAnsi="Segoe UI" w:cs="Segoe UI"/>
          <w:color w:val="666666"/>
          <w:sz w:val="20"/>
          <w:szCs w:val="20"/>
        </w:rPr>
      </w:pPr>
      <w:r>
        <w:rPr>
          <w:rFonts w:ascii="Segoe UI" w:hAnsi="Segoe UI" w:cs="Segoe UI"/>
          <w:color w:val="666666"/>
          <w:sz w:val="20"/>
          <w:szCs w:val="20"/>
        </w:rPr>
        <w:t xml:space="preserve">Microsoft </w:t>
      </w:r>
      <w:r w:rsidR="00FF5B58">
        <w:rPr>
          <w:rFonts w:ascii="Segoe UI" w:hAnsi="Segoe UI" w:cs="Segoe UI"/>
          <w:color w:val="666666"/>
          <w:sz w:val="20"/>
          <w:szCs w:val="20"/>
        </w:rPr>
        <w:t>is revising operating expense guidance downward to</w:t>
      </w:r>
      <w:r w:rsidR="0010500F">
        <w:rPr>
          <w:rFonts w:ascii="Segoe UI" w:hAnsi="Segoe UI" w:cs="Segoe UI"/>
          <w:color w:val="666666"/>
          <w:sz w:val="20"/>
          <w:szCs w:val="20"/>
        </w:rPr>
        <w:t xml:space="preserve"> $31.</w:t>
      </w:r>
      <w:r w:rsidR="00FF5B58">
        <w:rPr>
          <w:rFonts w:ascii="Segoe UI" w:hAnsi="Segoe UI" w:cs="Segoe UI"/>
          <w:color w:val="666666"/>
          <w:sz w:val="20"/>
          <w:szCs w:val="20"/>
        </w:rPr>
        <w:t>3</w:t>
      </w:r>
      <w:r w:rsidR="0010500F">
        <w:rPr>
          <w:rFonts w:ascii="Segoe UI" w:hAnsi="Segoe UI" w:cs="Segoe UI"/>
          <w:color w:val="666666"/>
          <w:sz w:val="20"/>
          <w:szCs w:val="20"/>
        </w:rPr>
        <w:t xml:space="preserve"> billion to $3</w:t>
      </w:r>
      <w:r w:rsidR="00FF5B58">
        <w:rPr>
          <w:rFonts w:ascii="Segoe UI" w:hAnsi="Segoe UI" w:cs="Segoe UI"/>
          <w:color w:val="666666"/>
          <w:sz w:val="20"/>
          <w:szCs w:val="20"/>
        </w:rPr>
        <w:t>1</w:t>
      </w:r>
      <w:r w:rsidR="0010500F">
        <w:rPr>
          <w:rFonts w:ascii="Segoe UI" w:hAnsi="Segoe UI" w:cs="Segoe UI"/>
          <w:color w:val="666666"/>
          <w:sz w:val="20"/>
          <w:szCs w:val="20"/>
        </w:rPr>
        <w:t>.</w:t>
      </w:r>
      <w:r w:rsidR="00FF5B58">
        <w:rPr>
          <w:rFonts w:ascii="Segoe UI" w:hAnsi="Segoe UI" w:cs="Segoe UI"/>
          <w:color w:val="666666"/>
          <w:sz w:val="20"/>
          <w:szCs w:val="20"/>
        </w:rPr>
        <w:t>9</w:t>
      </w:r>
      <w:r w:rsidR="0010500F">
        <w:rPr>
          <w:rFonts w:ascii="Segoe UI" w:hAnsi="Segoe UI" w:cs="Segoe UI"/>
          <w:color w:val="666666"/>
          <w:sz w:val="20"/>
          <w:szCs w:val="20"/>
        </w:rPr>
        <w:t xml:space="preserve"> billion</w:t>
      </w:r>
      <w:r w:rsidR="00FF5B58">
        <w:rPr>
          <w:rFonts w:ascii="Segoe UI" w:hAnsi="Segoe UI" w:cs="Segoe UI"/>
          <w:color w:val="666666"/>
          <w:sz w:val="20"/>
          <w:szCs w:val="20"/>
        </w:rPr>
        <w:t xml:space="preserve"> for the full </w:t>
      </w:r>
      <w:r w:rsidR="00751884">
        <w:rPr>
          <w:rFonts w:ascii="Segoe UI" w:hAnsi="Segoe UI" w:cs="Segoe UI"/>
          <w:color w:val="666666"/>
          <w:sz w:val="20"/>
          <w:szCs w:val="20"/>
        </w:rPr>
        <w:t xml:space="preserve">fiscal </w:t>
      </w:r>
      <w:r w:rsidR="00FF5B58">
        <w:rPr>
          <w:rFonts w:ascii="Segoe UI" w:hAnsi="Segoe UI" w:cs="Segoe UI"/>
          <w:color w:val="666666"/>
          <w:sz w:val="20"/>
          <w:szCs w:val="20"/>
        </w:rPr>
        <w:t>year ending June 30, 2014.</w:t>
      </w:r>
    </w:p>
    <w:p w14:paraId="0261B60A" w14:textId="77777777" w:rsidR="005C6392" w:rsidRPr="00123413" w:rsidRDefault="005C6392" w:rsidP="00F57EFD">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Webcast Details</w:t>
      </w:r>
    </w:p>
    <w:p w14:paraId="79914BA3" w14:textId="100C7452" w:rsidR="005C6392" w:rsidRPr="00123413" w:rsidRDefault="00BE0201" w:rsidP="00F57EFD">
      <w:pPr>
        <w:spacing w:line="280" w:lineRule="exact"/>
        <w:rPr>
          <w:rFonts w:ascii="Segoe UI" w:hAnsi="Segoe UI" w:cs="Segoe UI"/>
          <w:color w:val="666666"/>
          <w:sz w:val="20"/>
          <w:szCs w:val="20"/>
        </w:rPr>
      </w:pPr>
      <w:r>
        <w:rPr>
          <w:rFonts w:ascii="Segoe UI" w:hAnsi="Segoe UI" w:cs="Segoe UI"/>
          <w:color w:val="666666"/>
          <w:sz w:val="20"/>
          <w:szCs w:val="20"/>
        </w:rPr>
        <w:t>Amy Hood</w:t>
      </w:r>
      <w:r w:rsidR="005C6392" w:rsidRPr="00123413">
        <w:rPr>
          <w:rFonts w:ascii="Segoe UI" w:hAnsi="Segoe UI" w:cs="Segoe UI"/>
          <w:color w:val="666666"/>
          <w:sz w:val="20"/>
          <w:szCs w:val="20"/>
        </w:rPr>
        <w:t xml:space="preserve">, </w:t>
      </w:r>
      <w:r w:rsidR="00D92B00">
        <w:rPr>
          <w:rFonts w:ascii="Segoe UI" w:hAnsi="Segoe UI" w:cs="Segoe UI"/>
          <w:color w:val="666666"/>
          <w:sz w:val="20"/>
          <w:szCs w:val="20"/>
        </w:rPr>
        <w:t xml:space="preserve">executive vice president and </w:t>
      </w:r>
      <w:r w:rsidR="005C6392" w:rsidRPr="00123413">
        <w:rPr>
          <w:rFonts w:ascii="Segoe UI" w:hAnsi="Segoe UI" w:cs="Segoe UI"/>
          <w:color w:val="666666"/>
          <w:sz w:val="20"/>
          <w:szCs w:val="20"/>
        </w:rPr>
        <w:t xml:space="preserve">chief financial officer, Frank </w:t>
      </w:r>
      <w:proofErr w:type="spellStart"/>
      <w:r w:rsidR="005C6392" w:rsidRPr="00123413">
        <w:rPr>
          <w:rFonts w:ascii="Segoe UI" w:hAnsi="Segoe UI" w:cs="Segoe UI"/>
          <w:color w:val="666666"/>
          <w:sz w:val="20"/>
          <w:szCs w:val="20"/>
        </w:rPr>
        <w:t>Brod</w:t>
      </w:r>
      <w:proofErr w:type="spellEnd"/>
      <w:r w:rsidR="005C6392" w:rsidRPr="00123413">
        <w:rPr>
          <w:rFonts w:ascii="Segoe UI" w:hAnsi="Segoe UI" w:cs="Segoe UI"/>
          <w:color w:val="666666"/>
          <w:sz w:val="20"/>
          <w:szCs w:val="20"/>
        </w:rPr>
        <w:t xml:space="preserve">, chief accounting officer, and </w:t>
      </w:r>
      <w:r w:rsidR="00364FCB">
        <w:rPr>
          <w:rFonts w:ascii="Segoe UI" w:hAnsi="Segoe UI" w:cs="Segoe UI"/>
          <w:color w:val="666666"/>
          <w:sz w:val="20"/>
          <w:szCs w:val="20"/>
        </w:rPr>
        <w:t>Chris Suh</w:t>
      </w:r>
      <w:r w:rsidR="005C6392" w:rsidRPr="00123413">
        <w:rPr>
          <w:rFonts w:ascii="Segoe UI" w:hAnsi="Segoe UI" w:cs="Segoe UI"/>
          <w:color w:val="666666"/>
          <w:sz w:val="20"/>
          <w:szCs w:val="20"/>
        </w:rPr>
        <w:t xml:space="preserve">, general manager of Investor Relations, will host a conference </w:t>
      </w:r>
      <w:r w:rsidR="00364FCB">
        <w:rPr>
          <w:rFonts w:ascii="Segoe UI" w:hAnsi="Segoe UI" w:cs="Segoe UI"/>
          <w:color w:val="666666"/>
          <w:sz w:val="20"/>
          <w:szCs w:val="20"/>
        </w:rPr>
        <w:t>call and webcast at 2:30 p.m. P</w:t>
      </w:r>
      <w:r w:rsidR="00874B6E">
        <w:rPr>
          <w:rFonts w:ascii="Segoe UI" w:hAnsi="Segoe UI" w:cs="Segoe UI"/>
          <w:color w:val="666666"/>
          <w:sz w:val="20"/>
          <w:szCs w:val="20"/>
        </w:rPr>
        <w:t>D</w:t>
      </w:r>
      <w:r w:rsidR="00364FCB">
        <w:rPr>
          <w:rFonts w:ascii="Segoe UI" w:hAnsi="Segoe UI" w:cs="Segoe UI"/>
          <w:color w:val="666666"/>
          <w:sz w:val="20"/>
          <w:szCs w:val="20"/>
        </w:rPr>
        <w:t>T (5:30 p.m. E</w:t>
      </w:r>
      <w:r w:rsidR="00874B6E">
        <w:rPr>
          <w:rFonts w:ascii="Segoe UI" w:hAnsi="Segoe UI" w:cs="Segoe UI"/>
          <w:color w:val="666666"/>
          <w:sz w:val="20"/>
          <w:szCs w:val="20"/>
        </w:rPr>
        <w:t>D</w:t>
      </w:r>
      <w:r w:rsidR="005C6392" w:rsidRPr="00123413">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7" w:tgtFrame="_blank" w:history="1">
        <w:r w:rsidR="005C6392" w:rsidRPr="009D378A">
          <w:rPr>
            <w:rStyle w:val="Hyperlink"/>
            <w:rFonts w:cs="Segoe UI"/>
            <w:szCs w:val="20"/>
          </w:rPr>
          <w:t>http://www.microsoft.com/investor</w:t>
        </w:r>
      </w:hyperlink>
      <w:r w:rsidR="005C6392" w:rsidRPr="00123413">
        <w:rPr>
          <w:rFonts w:ascii="Segoe UI" w:hAnsi="Segoe UI" w:cs="Segoe UI"/>
          <w:color w:val="666666"/>
          <w:sz w:val="20"/>
          <w:szCs w:val="20"/>
        </w:rPr>
        <w:t xml:space="preserve">. The webcast will be available for replay through the close of business on </w:t>
      </w:r>
      <w:r>
        <w:rPr>
          <w:rFonts w:ascii="Segoe UI" w:hAnsi="Segoe UI" w:cs="Segoe UI"/>
          <w:color w:val="666666"/>
          <w:sz w:val="20"/>
          <w:szCs w:val="20"/>
        </w:rPr>
        <w:t>Ju</w:t>
      </w:r>
      <w:r w:rsidR="00CB3A78">
        <w:rPr>
          <w:rFonts w:ascii="Segoe UI" w:hAnsi="Segoe UI" w:cs="Segoe UI"/>
          <w:color w:val="666666"/>
          <w:sz w:val="20"/>
          <w:szCs w:val="20"/>
        </w:rPr>
        <w:t>ly</w:t>
      </w:r>
      <w:r w:rsidR="005C6392" w:rsidRPr="00123413">
        <w:rPr>
          <w:rFonts w:ascii="Segoe UI" w:hAnsi="Segoe UI" w:cs="Segoe UI"/>
          <w:color w:val="666666"/>
          <w:sz w:val="20"/>
          <w:szCs w:val="20"/>
        </w:rPr>
        <w:t xml:space="preserve"> </w:t>
      </w:r>
      <w:r w:rsidR="00A35BFD">
        <w:rPr>
          <w:rFonts w:ascii="Segoe UI" w:hAnsi="Segoe UI" w:cs="Segoe UI"/>
          <w:color w:val="666666"/>
          <w:sz w:val="20"/>
          <w:szCs w:val="20"/>
        </w:rPr>
        <w:t>18</w:t>
      </w:r>
      <w:r w:rsidR="005C6392" w:rsidRPr="00123413">
        <w:rPr>
          <w:rFonts w:ascii="Segoe UI" w:hAnsi="Segoe UI" w:cs="Segoe UI"/>
          <w:color w:val="666666"/>
          <w:sz w:val="20"/>
          <w:szCs w:val="20"/>
        </w:rPr>
        <w:t>, 201</w:t>
      </w:r>
      <w:r w:rsidR="00364FCB">
        <w:rPr>
          <w:rFonts w:ascii="Segoe UI" w:hAnsi="Segoe UI" w:cs="Segoe UI"/>
          <w:color w:val="666666"/>
          <w:sz w:val="20"/>
          <w:szCs w:val="20"/>
        </w:rPr>
        <w:t>4</w:t>
      </w:r>
      <w:r w:rsidR="005C6392" w:rsidRPr="00123413">
        <w:rPr>
          <w:rFonts w:ascii="Segoe UI" w:hAnsi="Segoe UI" w:cs="Segoe UI"/>
          <w:color w:val="666666"/>
          <w:sz w:val="20"/>
          <w:szCs w:val="20"/>
        </w:rPr>
        <w:t>.</w:t>
      </w:r>
    </w:p>
    <w:p w14:paraId="26ED03F4" w14:textId="77777777" w:rsidR="005C6392" w:rsidRPr="00123413" w:rsidRDefault="005C6392" w:rsidP="00F57EFD">
      <w:pPr>
        <w:pStyle w:val="NoSpacing"/>
        <w:spacing w:before="27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About Microsoft </w:t>
      </w:r>
    </w:p>
    <w:p w14:paraId="6DBD6142" w14:textId="77777777" w:rsidR="005C6392" w:rsidRPr="00123413" w:rsidRDefault="005C6392" w:rsidP="00F57EFD">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Founded in 1975, Microsoft (</w:t>
      </w:r>
      <w:proofErr w:type="spellStart"/>
      <w:proofErr w:type="gramStart"/>
      <w:r w:rsidRPr="00123413">
        <w:rPr>
          <w:rFonts w:ascii="Segoe UI" w:hAnsi="Segoe UI" w:cs="Segoe UI"/>
          <w:color w:val="666666"/>
          <w:sz w:val="20"/>
          <w:szCs w:val="20"/>
        </w:rPr>
        <w:t>Nasdaq</w:t>
      </w:r>
      <w:proofErr w:type="spellEnd"/>
      <w:proofErr w:type="gramEnd"/>
      <w:r w:rsidRPr="00123413">
        <w:rPr>
          <w:rFonts w:ascii="Segoe UI" w:hAnsi="Segoe UI" w:cs="Segoe UI"/>
          <w:color w:val="666666"/>
          <w:sz w:val="20"/>
          <w:szCs w:val="20"/>
        </w:rPr>
        <w:t xml:space="preserve"> “MSFT”) is the worldwide leader in software, services and solutions that help people and businesses realize their full potential.</w:t>
      </w:r>
    </w:p>
    <w:p w14:paraId="154914F8" w14:textId="77777777" w:rsidR="005C6392" w:rsidRPr="00123413" w:rsidRDefault="005C6392" w:rsidP="00F57EFD">
      <w:pPr>
        <w:pStyle w:val="NoSpacing"/>
        <w:spacing w:before="24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Forward-Looking Statements </w:t>
      </w:r>
    </w:p>
    <w:p w14:paraId="2FB62877" w14:textId="77777777" w:rsidR="005C6392" w:rsidRPr="00123413" w:rsidRDefault="005C6392" w:rsidP="00F57EFD">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A3B23CF"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intense competition in all of Microsoft’s markets;</w:t>
      </w:r>
    </w:p>
    <w:p w14:paraId="49D9C073" w14:textId="6C33B5B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execution and competitive</w:t>
      </w:r>
      <w:r w:rsidR="00831ED9">
        <w:rPr>
          <w:rFonts w:ascii="Segoe UI" w:hAnsi="Segoe UI" w:cs="Segoe UI"/>
          <w:color w:val="666666"/>
          <w:sz w:val="20"/>
          <w:szCs w:val="20"/>
        </w:rPr>
        <w:t xml:space="preserve"> risks</w:t>
      </w:r>
      <w:r w:rsidRPr="00123413">
        <w:rPr>
          <w:rFonts w:ascii="Segoe UI" w:hAnsi="Segoe UI" w:cs="Segoe UI"/>
          <w:color w:val="666666"/>
          <w:sz w:val="20"/>
          <w:szCs w:val="20"/>
        </w:rPr>
        <w:t xml:space="preserve"> </w:t>
      </w:r>
      <w:r w:rsidR="00E40F0C">
        <w:rPr>
          <w:rFonts w:ascii="Segoe UI" w:hAnsi="Segoe UI" w:cs="Segoe UI"/>
          <w:color w:val="666666"/>
          <w:sz w:val="20"/>
          <w:szCs w:val="20"/>
        </w:rPr>
        <w:t>associated with our</w:t>
      </w:r>
      <w:r w:rsidR="00607224">
        <w:rPr>
          <w:rFonts w:ascii="Segoe UI" w:hAnsi="Segoe UI" w:cs="Segoe UI"/>
          <w:color w:val="666666"/>
          <w:sz w:val="20"/>
          <w:szCs w:val="20"/>
        </w:rPr>
        <w:t xml:space="preserve"> devices and services</w:t>
      </w:r>
      <w:r w:rsidR="00E40F0C">
        <w:rPr>
          <w:rFonts w:ascii="Segoe UI" w:hAnsi="Segoe UI" w:cs="Segoe UI"/>
          <w:color w:val="666666"/>
          <w:sz w:val="20"/>
          <w:szCs w:val="20"/>
        </w:rPr>
        <w:t xml:space="preserve"> strategy</w:t>
      </w:r>
      <w:r w:rsidRPr="00123413">
        <w:rPr>
          <w:rFonts w:ascii="Segoe UI" w:hAnsi="Segoe UI" w:cs="Segoe UI"/>
          <w:color w:val="666666"/>
          <w:sz w:val="20"/>
          <w:szCs w:val="20"/>
        </w:rPr>
        <w:t>;</w:t>
      </w:r>
    </w:p>
    <w:p w14:paraId="11FF5F32" w14:textId="58AFFF3D" w:rsidR="00371B3A" w:rsidRPr="00123413" w:rsidRDefault="00371B3A"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significant </w:t>
      </w:r>
      <w:r w:rsidR="00F142FC">
        <w:rPr>
          <w:rFonts w:ascii="Segoe UI" w:hAnsi="Segoe UI" w:cs="Segoe UI"/>
          <w:color w:val="666666"/>
          <w:sz w:val="20"/>
          <w:szCs w:val="20"/>
        </w:rPr>
        <w:t>investments in new products and services that may not be profitable</w:t>
      </w:r>
      <w:r w:rsidRPr="00123413">
        <w:rPr>
          <w:rFonts w:ascii="Segoe UI" w:hAnsi="Segoe UI" w:cs="Segoe UI"/>
          <w:color w:val="666666"/>
          <w:sz w:val="20"/>
          <w:szCs w:val="20"/>
        </w:rPr>
        <w:t>;</w:t>
      </w:r>
    </w:p>
    <w:p w14:paraId="41B8C62E"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continued ability to protect its intellectual property rights;</w:t>
      </w:r>
    </w:p>
    <w:p w14:paraId="6897BAB6"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claims that Microsoft has infringed the intellectual property rights of others;</w:t>
      </w:r>
    </w:p>
    <w:p w14:paraId="1FE2B674"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the possibility of unauthorized disclosure of significant portions of Microsoft’s source code;</w:t>
      </w:r>
    </w:p>
    <w:p w14:paraId="577E4DEA"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cyber-attacks and security vulnerabilities in Microsoft products that could reduce revenue or lead to liability;</w:t>
      </w:r>
    </w:p>
    <w:p w14:paraId="237FF8AE"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improper disclosure of personal data that could result in liability and harm to Microsoft’s reputation; </w:t>
      </w:r>
    </w:p>
    <w:p w14:paraId="7F73E98C" w14:textId="08B209C4"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outages</w:t>
      </w:r>
      <w:r w:rsidR="00082A13">
        <w:rPr>
          <w:rFonts w:ascii="Segoe UI" w:hAnsi="Segoe UI" w:cs="Segoe UI"/>
          <w:color w:val="666666"/>
          <w:sz w:val="20"/>
          <w:szCs w:val="20"/>
        </w:rPr>
        <w:t>, data losses, and disruptions of our online services if we fail to maintain an adequate operations infrastructure</w:t>
      </w:r>
      <w:r w:rsidRPr="00123413">
        <w:rPr>
          <w:rFonts w:ascii="Segoe UI" w:hAnsi="Segoe UI" w:cs="Segoe UI"/>
          <w:color w:val="666666"/>
          <w:sz w:val="20"/>
          <w:szCs w:val="20"/>
        </w:rPr>
        <w:t>;</w:t>
      </w:r>
    </w:p>
    <w:p w14:paraId="1CD3A4DC" w14:textId="55B58B93"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government litigation and regulation </w:t>
      </w:r>
      <w:r w:rsidR="00A264BD">
        <w:rPr>
          <w:rFonts w:ascii="Segoe UI" w:hAnsi="Segoe UI" w:cs="Segoe UI"/>
          <w:color w:val="666666"/>
          <w:sz w:val="20"/>
          <w:szCs w:val="20"/>
        </w:rPr>
        <w:t>that may limit</w:t>
      </w:r>
      <w:r w:rsidRPr="00123413">
        <w:rPr>
          <w:rFonts w:ascii="Segoe UI" w:hAnsi="Segoe UI" w:cs="Segoe UI"/>
          <w:color w:val="666666"/>
          <w:sz w:val="20"/>
          <w:szCs w:val="20"/>
        </w:rPr>
        <w:t xml:space="preserve"> how Microsoft designs and markets its products;</w:t>
      </w:r>
    </w:p>
    <w:p w14:paraId="7E684F47"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ability to attract and retain talented employees;</w:t>
      </w:r>
    </w:p>
    <w:p w14:paraId="02B66250"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delays in product development and related product release schedules;</w:t>
      </w:r>
    </w:p>
    <w:p w14:paraId="04085354" w14:textId="37459AA5"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unfavorable changes in general economic </w:t>
      </w:r>
      <w:r w:rsidR="00BF3277">
        <w:rPr>
          <w:rFonts w:ascii="Segoe UI" w:hAnsi="Segoe UI" w:cs="Segoe UI"/>
          <w:color w:val="666666"/>
          <w:sz w:val="20"/>
          <w:szCs w:val="20"/>
        </w:rPr>
        <w:t xml:space="preserve">or market </w:t>
      </w:r>
      <w:r w:rsidRPr="00123413">
        <w:rPr>
          <w:rFonts w:ascii="Segoe UI" w:hAnsi="Segoe UI" w:cs="Segoe UI"/>
          <w:color w:val="666666"/>
          <w:sz w:val="20"/>
          <w:szCs w:val="20"/>
        </w:rPr>
        <w:t>conditions, disruption of our partner networks or sales channels, or the availability of credit that affect demand for Microsoft’s products and services or the value of our investment portfolio;</w:t>
      </w:r>
    </w:p>
    <w:p w14:paraId="4E715FFB"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adverse results in legal disputes;</w:t>
      </w:r>
    </w:p>
    <w:p w14:paraId="6E7C0F4D"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unanticipated tax liabilities;</w:t>
      </w:r>
    </w:p>
    <w:p w14:paraId="2863E520"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quality or supply problems in Microsoft’s consumer hardware or other vertically integrated hardware and software products;</w:t>
      </w:r>
    </w:p>
    <w:p w14:paraId="1B59C2AF" w14:textId="40F5315F"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impairment of goodwill</w:t>
      </w:r>
      <w:r w:rsidR="00034201">
        <w:rPr>
          <w:rFonts w:ascii="Segoe UI" w:hAnsi="Segoe UI" w:cs="Segoe UI"/>
          <w:color w:val="666666"/>
          <w:sz w:val="20"/>
          <w:szCs w:val="20"/>
        </w:rPr>
        <w:t>, fixed assets, inventory or</w:t>
      </w:r>
      <w:r w:rsidRPr="00123413">
        <w:rPr>
          <w:rFonts w:ascii="Segoe UI" w:hAnsi="Segoe UI" w:cs="Segoe UI"/>
          <w:color w:val="666666"/>
          <w:sz w:val="20"/>
          <w:szCs w:val="20"/>
        </w:rPr>
        <w:t xml:space="preserve"> amortizable intangible assets causing a charge to earnings;</w:t>
      </w:r>
    </w:p>
    <w:p w14:paraId="5D8E870B"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exposure to increased economic and regulatory uncertainties from operating a global business;</w:t>
      </w:r>
    </w:p>
    <w:p w14:paraId="3FDF982C" w14:textId="77777777"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geopolitical conditions, natural disaster, cyber-attack or other catastrophic events disrupting Microsoft’s business; and</w:t>
      </w:r>
    </w:p>
    <w:p w14:paraId="7FDDAE64" w14:textId="1B4FBFBC" w:rsidR="005C6392" w:rsidRPr="00123413" w:rsidRDefault="005C6392" w:rsidP="00F57EFD">
      <w:pPr>
        <w:pStyle w:val="NoSpacing"/>
        <w:numPr>
          <w:ilvl w:val="0"/>
          <w:numId w:val="2"/>
        </w:numPr>
        <w:spacing w:before="120" w:after="120" w:line="280" w:lineRule="exact"/>
        <w:rPr>
          <w:rFonts w:ascii="Segoe UI" w:hAnsi="Segoe UI" w:cs="Segoe UI"/>
          <w:color w:val="666666"/>
          <w:sz w:val="20"/>
          <w:szCs w:val="20"/>
        </w:rPr>
      </w:pPr>
      <w:proofErr w:type="gramStart"/>
      <w:r w:rsidRPr="00123413">
        <w:rPr>
          <w:rFonts w:ascii="Segoe UI" w:hAnsi="Segoe UI" w:cs="Segoe UI"/>
          <w:color w:val="666666"/>
          <w:sz w:val="20"/>
          <w:szCs w:val="20"/>
        </w:rPr>
        <w:t>acquisitions</w:t>
      </w:r>
      <w:proofErr w:type="gramEnd"/>
      <w:r w:rsidRPr="00123413">
        <w:rPr>
          <w:rFonts w:ascii="Segoe UI" w:hAnsi="Segoe UI" w:cs="Segoe UI"/>
          <w:color w:val="666666"/>
          <w:sz w:val="20"/>
          <w:szCs w:val="20"/>
        </w:rPr>
        <w:t>, joint ventures</w:t>
      </w:r>
      <w:r w:rsidR="00757008">
        <w:rPr>
          <w:rFonts w:ascii="Segoe UI" w:hAnsi="Segoe UI" w:cs="Segoe UI"/>
          <w:color w:val="666666"/>
          <w:sz w:val="20"/>
          <w:szCs w:val="20"/>
        </w:rPr>
        <w:t>,</w:t>
      </w:r>
      <w:r w:rsidRPr="00123413">
        <w:rPr>
          <w:rFonts w:ascii="Segoe UI" w:hAnsi="Segoe UI" w:cs="Segoe UI"/>
          <w:color w:val="666666"/>
          <w:sz w:val="20"/>
          <w:szCs w:val="20"/>
        </w:rPr>
        <w:t xml:space="preserve"> and strategic alliances that adversely affect the business.</w:t>
      </w:r>
    </w:p>
    <w:p w14:paraId="76782D6F" w14:textId="77777777" w:rsidR="005C6392" w:rsidRPr="00123413" w:rsidRDefault="005C6392" w:rsidP="00F57EFD">
      <w:pPr>
        <w:pStyle w:val="NoSpacing"/>
        <w:spacing w:before="240" w:after="200" w:line="280" w:lineRule="exact"/>
        <w:rPr>
          <w:rFonts w:ascii="Segoe UI" w:hAnsi="Segoe UI" w:cs="Segoe UI"/>
          <w:sz w:val="20"/>
          <w:szCs w:val="20"/>
        </w:rPr>
      </w:pPr>
      <w:r w:rsidRPr="00123413">
        <w:rPr>
          <w:rFonts w:ascii="Segoe UI" w:hAnsi="Segoe UI" w:cs="Segoe UI"/>
          <w:color w:val="666666"/>
          <w:sz w:val="20"/>
          <w:szCs w:val="20"/>
        </w:rPr>
        <w:t xml:space="preserve">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8" w:tgtFrame="_blank" w:history="1">
        <w:r w:rsidRPr="00123413">
          <w:rPr>
            <w:rStyle w:val="Hyperlink"/>
            <w:rFonts w:cs="Segoe UI"/>
            <w:szCs w:val="20"/>
          </w:rPr>
          <w:t>http://www.microsoft.</w:t>
        </w:r>
        <w:r w:rsidRPr="00123413">
          <w:rPr>
            <w:rStyle w:val="FollowedHyperlink"/>
            <w:rFonts w:cs="Segoe UI"/>
            <w:szCs w:val="20"/>
          </w:rPr>
          <w:t>com</w:t>
        </w:r>
        <w:r w:rsidRPr="00123413">
          <w:rPr>
            <w:rStyle w:val="Hyperlink"/>
            <w:rFonts w:cs="Segoe UI"/>
            <w:szCs w:val="20"/>
          </w:rPr>
          <w:t>/investor</w:t>
        </w:r>
      </w:hyperlink>
      <w:r w:rsidRPr="00123413">
        <w:rPr>
          <w:rFonts w:ascii="Segoe UI" w:hAnsi="Segoe UI" w:cs="Segoe UI"/>
          <w:sz w:val="20"/>
          <w:szCs w:val="20"/>
        </w:rPr>
        <w:t>.</w:t>
      </w:r>
    </w:p>
    <w:p w14:paraId="7B73E5F2" w14:textId="3698721F" w:rsidR="005C6392" w:rsidRPr="00123413" w:rsidRDefault="005C6392" w:rsidP="00F57EFD">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All information in this release is as of </w:t>
      </w:r>
      <w:r w:rsidR="00C82433">
        <w:rPr>
          <w:rFonts w:ascii="Segoe UI" w:hAnsi="Segoe UI" w:cs="Segoe UI"/>
          <w:color w:val="666666"/>
          <w:sz w:val="20"/>
          <w:szCs w:val="20"/>
        </w:rPr>
        <w:t>July</w:t>
      </w:r>
      <w:r w:rsidRPr="00123413">
        <w:rPr>
          <w:rFonts w:ascii="Segoe UI" w:hAnsi="Segoe UI" w:cs="Segoe UI"/>
          <w:color w:val="666666"/>
          <w:sz w:val="20"/>
          <w:szCs w:val="20"/>
        </w:rPr>
        <w:t xml:space="preserve"> </w:t>
      </w:r>
      <w:r w:rsidR="0020785B">
        <w:rPr>
          <w:rFonts w:ascii="Segoe UI" w:hAnsi="Segoe UI" w:cs="Segoe UI"/>
          <w:color w:val="666666"/>
          <w:sz w:val="20"/>
          <w:szCs w:val="20"/>
        </w:rPr>
        <w:t>18</w:t>
      </w:r>
      <w:r w:rsidRPr="00123413">
        <w:rPr>
          <w:rFonts w:ascii="Segoe UI" w:hAnsi="Segoe UI" w:cs="Segoe UI"/>
          <w:color w:val="666666"/>
          <w:sz w:val="20"/>
          <w:szCs w:val="20"/>
        </w:rPr>
        <w:t>, 201</w:t>
      </w:r>
      <w:r w:rsidR="00364FCB">
        <w:rPr>
          <w:rFonts w:ascii="Segoe UI" w:hAnsi="Segoe UI" w:cs="Segoe UI"/>
          <w:color w:val="666666"/>
          <w:sz w:val="20"/>
          <w:szCs w:val="20"/>
        </w:rPr>
        <w:t>3</w:t>
      </w:r>
      <w:r w:rsidRPr="00123413">
        <w:rPr>
          <w:rFonts w:ascii="Segoe UI" w:hAnsi="Segoe UI" w:cs="Segoe UI"/>
          <w:color w:val="666666"/>
          <w:sz w:val="20"/>
          <w:szCs w:val="20"/>
        </w:rPr>
        <w:t>. The company undertakes no duty to update any forward-looking statement to conform the statement to actual results or changes in the company’s expectations.</w:t>
      </w:r>
    </w:p>
    <w:p w14:paraId="221C744F" w14:textId="77777777" w:rsidR="005C6392" w:rsidRPr="00D22131" w:rsidRDefault="005C6392" w:rsidP="00F57EFD">
      <w:pPr>
        <w:pStyle w:val="NoSpacing"/>
        <w:rPr>
          <w:rFonts w:ascii="Segoe UI" w:hAnsi="Segoe UI" w:cs="Segoe UI"/>
          <w:b/>
          <w:color w:val="666666"/>
          <w:sz w:val="20"/>
          <w:szCs w:val="20"/>
        </w:rPr>
      </w:pPr>
      <w:r w:rsidRPr="00D22131">
        <w:rPr>
          <w:rFonts w:ascii="Segoe UI" w:hAnsi="Segoe UI" w:cs="Segoe UI"/>
          <w:b/>
          <w:color w:val="666666"/>
          <w:sz w:val="20"/>
          <w:szCs w:val="20"/>
        </w:rPr>
        <w:t xml:space="preserve">For more information, press only: </w:t>
      </w:r>
    </w:p>
    <w:p w14:paraId="38A6AC9A" w14:textId="77777777" w:rsidR="005C6392" w:rsidRPr="00123413" w:rsidRDefault="005C6392" w:rsidP="00F57EFD">
      <w:pPr>
        <w:pStyle w:val="NoSpacing"/>
        <w:rPr>
          <w:rFonts w:ascii="Segoe UI" w:hAnsi="Segoe UI" w:cs="Segoe UI"/>
          <w:sz w:val="20"/>
          <w:szCs w:val="20"/>
        </w:rPr>
      </w:pPr>
      <w:r w:rsidRPr="00123413">
        <w:rPr>
          <w:rFonts w:ascii="Segoe UI" w:hAnsi="Segoe UI" w:cs="Segoe UI"/>
          <w:color w:val="666666"/>
          <w:sz w:val="20"/>
          <w:szCs w:val="20"/>
        </w:rPr>
        <w:t xml:space="preserve">Rapid Response Team, Waggener Edstrom Worldwide, (503) 443-7070, </w:t>
      </w:r>
      <w:hyperlink r:id="rId9" w:history="1">
        <w:r w:rsidRPr="00123413">
          <w:rPr>
            <w:rStyle w:val="Hyperlink"/>
            <w:rFonts w:cs="Segoe UI"/>
            <w:szCs w:val="20"/>
          </w:rPr>
          <w:t>rrt@waggeneredstrom.com</w:t>
        </w:r>
      </w:hyperlink>
    </w:p>
    <w:p w14:paraId="6D3868BC" w14:textId="77777777" w:rsidR="005C6392" w:rsidRPr="00123413" w:rsidRDefault="005C6392" w:rsidP="00F57EFD">
      <w:pPr>
        <w:pStyle w:val="NoSpacing"/>
        <w:rPr>
          <w:rFonts w:ascii="Segoe UI" w:hAnsi="Segoe UI" w:cs="Segoe UI"/>
          <w:b/>
          <w:sz w:val="20"/>
          <w:szCs w:val="20"/>
        </w:rPr>
      </w:pPr>
    </w:p>
    <w:p w14:paraId="2816D781" w14:textId="77777777" w:rsidR="005C6392" w:rsidRPr="00D22131" w:rsidRDefault="005C6392" w:rsidP="00F57EFD">
      <w:pPr>
        <w:pStyle w:val="NoSpacing"/>
        <w:rPr>
          <w:rFonts w:ascii="Segoe UI" w:hAnsi="Segoe UI" w:cs="Segoe UI"/>
          <w:b/>
          <w:color w:val="666666"/>
          <w:sz w:val="20"/>
          <w:szCs w:val="20"/>
        </w:rPr>
      </w:pPr>
      <w:r w:rsidRPr="00D22131">
        <w:rPr>
          <w:rFonts w:ascii="Segoe UI" w:hAnsi="Segoe UI" w:cs="Segoe UI"/>
          <w:b/>
          <w:color w:val="666666"/>
          <w:sz w:val="20"/>
          <w:szCs w:val="20"/>
        </w:rPr>
        <w:t xml:space="preserve">For more information, financial analysts and investors only: </w:t>
      </w:r>
    </w:p>
    <w:p w14:paraId="0F563639" w14:textId="0D6DC381" w:rsidR="005C6392" w:rsidRPr="00123413" w:rsidRDefault="003E50F1" w:rsidP="00F57EFD">
      <w:pPr>
        <w:pStyle w:val="NoSpacing"/>
        <w:rPr>
          <w:rFonts w:ascii="Segoe UI" w:hAnsi="Segoe UI" w:cs="Segoe UI"/>
          <w:color w:val="666666"/>
          <w:sz w:val="20"/>
          <w:szCs w:val="20"/>
        </w:rPr>
      </w:pPr>
      <w:r>
        <w:rPr>
          <w:rFonts w:ascii="Segoe UI" w:hAnsi="Segoe UI" w:cs="Segoe UI"/>
          <w:color w:val="666666"/>
          <w:sz w:val="20"/>
          <w:szCs w:val="20"/>
        </w:rPr>
        <w:t>Chris Suh</w:t>
      </w:r>
      <w:r w:rsidR="005C6392" w:rsidRPr="00123413">
        <w:rPr>
          <w:rFonts w:ascii="Segoe UI" w:hAnsi="Segoe UI" w:cs="Segoe UI"/>
          <w:color w:val="666666"/>
          <w:sz w:val="20"/>
          <w:szCs w:val="20"/>
        </w:rPr>
        <w:t>, general manager, Investor Relations, (425) 706-4400</w:t>
      </w:r>
    </w:p>
    <w:p w14:paraId="796AF1AF" w14:textId="77777777" w:rsidR="005C6392" w:rsidRPr="00123413" w:rsidRDefault="005C6392" w:rsidP="00F57EFD">
      <w:pPr>
        <w:pStyle w:val="NoSpacing"/>
        <w:rPr>
          <w:rFonts w:ascii="Segoe UI" w:hAnsi="Segoe UI" w:cs="Segoe UI"/>
          <w:color w:val="666666"/>
          <w:sz w:val="20"/>
          <w:szCs w:val="20"/>
        </w:rPr>
      </w:pPr>
    </w:p>
    <w:p w14:paraId="46E870C5" w14:textId="63D044F1" w:rsidR="00F402FF" w:rsidRDefault="005C6392" w:rsidP="00F57EFD">
      <w:pPr>
        <w:rPr>
          <w:rFonts w:ascii="Segoe UI" w:hAnsi="Segoe UI" w:cs="Segoe UI"/>
          <w:sz w:val="20"/>
          <w:szCs w:val="20"/>
        </w:rPr>
      </w:pPr>
      <w:r w:rsidRPr="00123413">
        <w:rPr>
          <w:rFonts w:ascii="Segoe UI" w:hAnsi="Segoe UI" w:cs="Segoe UI"/>
          <w:i/>
          <w:color w:val="666666"/>
          <w:sz w:val="20"/>
          <w:szCs w:val="20"/>
        </w:rPr>
        <w:t xml:space="preserve">Note to editors: </w:t>
      </w:r>
      <w:r w:rsidRPr="00123413">
        <w:rPr>
          <w:rFonts w:ascii="Segoe UI" w:hAnsi="Segoe UI" w:cs="Segoe UI"/>
          <w:color w:val="666666"/>
          <w:sz w:val="20"/>
          <w:szCs w:val="20"/>
        </w:rPr>
        <w:t xml:space="preserve">For more information, news and perspectives from Microsoft, please visit the Microsoft News Center at </w:t>
      </w:r>
      <w:hyperlink r:id="rId10" w:tgtFrame="_blank" w:history="1">
        <w:r w:rsidRPr="00123413">
          <w:rPr>
            <w:rStyle w:val="Hyperlink"/>
            <w:rFonts w:cs="Segoe UI"/>
            <w:szCs w:val="20"/>
          </w:rPr>
          <w:t>http://www.microsoft.com/news</w:t>
        </w:r>
      </w:hyperlink>
      <w:r w:rsidRPr="00123413">
        <w:rPr>
          <w:rStyle w:val="Hyperlink"/>
          <w:rFonts w:cs="Segoe UI"/>
          <w:szCs w:val="20"/>
        </w:rPr>
        <w:t>/</w:t>
      </w:r>
      <w:r w:rsidRPr="00123413">
        <w:rPr>
          <w:rFonts w:ascii="Segoe UI" w:hAnsi="Segoe UI" w:cs="Segoe UI"/>
          <w:sz w:val="20"/>
          <w:szCs w:val="20"/>
        </w:rPr>
        <w:t xml:space="preserve">. </w:t>
      </w:r>
      <w:r w:rsidRPr="00123413">
        <w:rPr>
          <w:rFonts w:ascii="Segoe UI" w:hAnsi="Segoe UI" w:cs="Segoe UI"/>
          <w:color w:val="666666"/>
          <w:sz w:val="20"/>
          <w:szCs w:val="20"/>
        </w:rPr>
        <w:t>Web links, telephone numbers</w:t>
      </w:r>
      <w:r w:rsidR="00757008">
        <w:rPr>
          <w:rFonts w:ascii="Segoe UI" w:hAnsi="Segoe UI" w:cs="Segoe UI"/>
          <w:color w:val="666666"/>
          <w:sz w:val="20"/>
          <w:szCs w:val="20"/>
        </w:rPr>
        <w:t>,</w:t>
      </w:r>
      <w:r w:rsidRPr="00123413">
        <w:rPr>
          <w:rFonts w:ascii="Segoe UI" w:hAnsi="Segoe UI" w:cs="Segoe UI"/>
          <w:color w:val="666666"/>
          <w:sz w:val="20"/>
          <w:szCs w:val="20"/>
        </w:rPr>
        <w:t xml:space="preserve"> and titles were correct at time of publication, but may since have changed. Shareholder and financial information,</w:t>
      </w:r>
      <w:r w:rsidR="00714369">
        <w:rPr>
          <w:rFonts w:ascii="Segoe UI" w:hAnsi="Segoe UI" w:cs="Segoe UI"/>
          <w:color w:val="666666"/>
          <w:sz w:val="20"/>
          <w:szCs w:val="20"/>
        </w:rPr>
        <w:t xml:space="preserve"> as well as today’s 2:30 p.m. P</w:t>
      </w:r>
      <w:r w:rsidR="00874B6E">
        <w:rPr>
          <w:rFonts w:ascii="Segoe UI" w:hAnsi="Segoe UI" w:cs="Segoe UI"/>
          <w:color w:val="666666"/>
          <w:sz w:val="20"/>
          <w:szCs w:val="20"/>
        </w:rPr>
        <w:t>D</w:t>
      </w:r>
      <w:r w:rsidRPr="00123413">
        <w:rPr>
          <w:rFonts w:ascii="Segoe UI" w:hAnsi="Segoe UI" w:cs="Segoe UI"/>
          <w:color w:val="666666"/>
          <w:sz w:val="20"/>
          <w:szCs w:val="20"/>
        </w:rPr>
        <w:t xml:space="preserve">T conference call with investors and analysts, is available at </w:t>
      </w:r>
      <w:hyperlink r:id="rId11" w:tgtFrame="_blank" w:history="1">
        <w:r w:rsidRPr="00123413">
          <w:rPr>
            <w:rStyle w:val="Hyperlink"/>
            <w:rFonts w:cs="Segoe UI"/>
          </w:rPr>
          <w:t>http://www.microsoft.com/investor</w:t>
        </w:r>
      </w:hyperlink>
      <w:r w:rsidRPr="00123413">
        <w:rPr>
          <w:rFonts w:ascii="Segoe UI" w:hAnsi="Segoe UI" w:cs="Segoe UI"/>
          <w:sz w:val="20"/>
          <w:szCs w:val="20"/>
        </w:rPr>
        <w:t>.</w:t>
      </w:r>
      <w:bookmarkStart w:id="2" w:name="RANGE!A1:D14"/>
      <w:bookmarkEnd w:id="2"/>
    </w:p>
    <w:p w14:paraId="0F947F9E" w14:textId="77777777" w:rsidR="0016352C" w:rsidRDefault="0016352C" w:rsidP="00F57EFD">
      <w:pPr>
        <w:rPr>
          <w:rFonts w:ascii="Segoe UI" w:hAnsi="Segoe UI" w:cs="Segoe UI"/>
          <w:sz w:val="20"/>
          <w:szCs w:val="20"/>
        </w:rPr>
      </w:pPr>
    </w:p>
    <w:p w14:paraId="7F3063AF" w14:textId="77777777" w:rsidR="0016352C" w:rsidRDefault="0016352C">
      <w:pPr>
        <w:rPr>
          <w:rFonts w:ascii="Segoe UI" w:hAnsi="Segoe UI" w:cs="Segoe UI"/>
          <w:sz w:val="20"/>
          <w:szCs w:val="20"/>
        </w:rPr>
      </w:pPr>
      <w:r>
        <w:rPr>
          <w:rFonts w:ascii="Segoe UI" w:hAnsi="Segoe UI" w:cs="Segoe UI"/>
          <w:sz w:val="20"/>
          <w:szCs w:val="20"/>
        </w:rPr>
        <w:br w:type="page"/>
      </w:r>
    </w:p>
    <w:tbl>
      <w:tblPr>
        <w:tblW w:w="7636" w:type="dxa"/>
        <w:tblCellMar>
          <w:left w:w="0" w:type="dxa"/>
          <w:right w:w="0" w:type="dxa"/>
        </w:tblCellMar>
        <w:tblLook w:val="04A0" w:firstRow="1" w:lastRow="0" w:firstColumn="1" w:lastColumn="0" w:noHBand="0" w:noVBand="1"/>
      </w:tblPr>
      <w:tblGrid>
        <w:gridCol w:w="3196"/>
        <w:gridCol w:w="1096"/>
        <w:gridCol w:w="116"/>
        <w:gridCol w:w="936"/>
        <w:gridCol w:w="172"/>
        <w:gridCol w:w="1196"/>
        <w:gridCol w:w="116"/>
        <w:gridCol w:w="936"/>
      </w:tblGrid>
      <w:tr w:rsidR="008E51EC" w:rsidRPr="008E51EC" w14:paraId="266A47FA" w14:textId="77777777" w:rsidTr="007B1BF6">
        <w:trPr>
          <w:trHeight w:val="285"/>
        </w:trPr>
        <w:tc>
          <w:tcPr>
            <w:tcW w:w="3180" w:type="dxa"/>
            <w:tcBorders>
              <w:top w:val="nil"/>
              <w:left w:val="nil"/>
              <w:bottom w:val="nil"/>
              <w:right w:val="nil"/>
            </w:tcBorders>
            <w:shd w:val="clear" w:color="auto" w:fill="auto"/>
            <w:noWrap/>
            <w:vAlign w:val="bottom"/>
            <w:hideMark/>
          </w:tcPr>
          <w:p w14:paraId="04E5F62F" w14:textId="77777777" w:rsidR="008E51EC" w:rsidRPr="008E51EC" w:rsidRDefault="008E51EC" w:rsidP="008E51EC">
            <w:pPr>
              <w:spacing w:after="0" w:line="240" w:lineRule="auto"/>
              <w:rPr>
                <w:rFonts w:ascii="Segoe UI" w:eastAsia="Times New Roman" w:hAnsi="Segoe UI" w:cs="Segoe UI"/>
                <w:b/>
                <w:bCs/>
                <w:color w:val="666666"/>
                <w:sz w:val="20"/>
                <w:szCs w:val="20"/>
              </w:rPr>
            </w:pPr>
            <w:bookmarkStart w:id="3" w:name="RANGE!A1:H32"/>
            <w:bookmarkStart w:id="4" w:name="RANGE!A1"/>
            <w:bookmarkEnd w:id="3"/>
            <w:r w:rsidRPr="008E51EC">
              <w:rPr>
                <w:rFonts w:ascii="Segoe UI" w:eastAsia="Times New Roman" w:hAnsi="Segoe UI" w:cs="Segoe UI"/>
                <w:b/>
                <w:bCs/>
                <w:color w:val="666666"/>
                <w:sz w:val="20"/>
                <w:szCs w:val="20"/>
              </w:rPr>
              <w:lastRenderedPageBreak/>
              <w:t>MICROSOFT CORPORATION</w:t>
            </w:r>
            <w:bookmarkEnd w:id="4"/>
          </w:p>
        </w:tc>
        <w:tc>
          <w:tcPr>
            <w:tcW w:w="1080" w:type="dxa"/>
            <w:tcBorders>
              <w:top w:val="nil"/>
              <w:left w:val="nil"/>
              <w:bottom w:val="nil"/>
              <w:right w:val="nil"/>
            </w:tcBorders>
            <w:shd w:val="clear" w:color="auto" w:fill="auto"/>
            <w:noWrap/>
            <w:vAlign w:val="bottom"/>
            <w:hideMark/>
          </w:tcPr>
          <w:p w14:paraId="05222459"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09D91173"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677F1535" w14:textId="77777777" w:rsidR="008E51EC" w:rsidRPr="008E51EC" w:rsidRDefault="008E51EC" w:rsidP="008E51EC">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115D8772"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C21D730" w14:textId="77777777" w:rsidR="008E51EC" w:rsidRPr="008E51EC" w:rsidRDefault="008E51EC" w:rsidP="008E51EC">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49491DCF"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5097215"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5C110BC2" w14:textId="77777777" w:rsidTr="007B1BF6">
        <w:trPr>
          <w:trHeight w:val="285"/>
        </w:trPr>
        <w:tc>
          <w:tcPr>
            <w:tcW w:w="3180" w:type="dxa"/>
            <w:tcBorders>
              <w:top w:val="nil"/>
              <w:left w:val="nil"/>
              <w:bottom w:val="nil"/>
              <w:right w:val="nil"/>
            </w:tcBorders>
            <w:shd w:val="clear" w:color="auto" w:fill="auto"/>
            <w:noWrap/>
            <w:vAlign w:val="bottom"/>
            <w:hideMark/>
          </w:tcPr>
          <w:p w14:paraId="56580C13"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0AD40EF8" w14:textId="77777777" w:rsidR="008E51EC" w:rsidRPr="008E51EC" w:rsidRDefault="008E51EC" w:rsidP="008E51EC">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44F0050"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65CBA3B9" w14:textId="77777777" w:rsidR="008E51EC" w:rsidRPr="008E51EC" w:rsidRDefault="008E51EC" w:rsidP="008E51EC">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5054E5EB"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4054FEC" w14:textId="77777777" w:rsidR="008E51EC" w:rsidRPr="008E51EC" w:rsidRDefault="008E51EC" w:rsidP="008E51EC">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AD7EB9F"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08771944"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4AA7BCE0" w14:textId="77777777" w:rsidTr="007B1BF6">
        <w:trPr>
          <w:trHeight w:val="285"/>
        </w:trPr>
        <w:tc>
          <w:tcPr>
            <w:tcW w:w="7636" w:type="dxa"/>
            <w:gridSpan w:val="8"/>
            <w:tcBorders>
              <w:top w:val="nil"/>
              <w:left w:val="nil"/>
              <w:bottom w:val="nil"/>
              <w:right w:val="nil"/>
            </w:tcBorders>
            <w:shd w:val="clear" w:color="auto" w:fill="auto"/>
            <w:noWrap/>
            <w:vAlign w:val="bottom"/>
            <w:hideMark/>
          </w:tcPr>
          <w:p w14:paraId="14FD0B50"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INCOME STATEMENTS</w:t>
            </w:r>
          </w:p>
        </w:tc>
      </w:tr>
      <w:tr w:rsidR="008E51EC" w:rsidRPr="008E51EC" w14:paraId="1701E2C4" w14:textId="77777777" w:rsidTr="007B1BF6">
        <w:trPr>
          <w:trHeight w:val="285"/>
        </w:trPr>
        <w:tc>
          <w:tcPr>
            <w:tcW w:w="7636" w:type="dxa"/>
            <w:gridSpan w:val="8"/>
            <w:tcBorders>
              <w:top w:val="nil"/>
              <w:left w:val="nil"/>
              <w:bottom w:val="nil"/>
              <w:right w:val="nil"/>
            </w:tcBorders>
            <w:shd w:val="clear" w:color="auto" w:fill="auto"/>
            <w:noWrap/>
            <w:vAlign w:val="bottom"/>
            <w:hideMark/>
          </w:tcPr>
          <w:p w14:paraId="2005BBC9"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(In millions, except per share amounts)(Unaudited)</w:t>
            </w:r>
          </w:p>
        </w:tc>
      </w:tr>
      <w:tr w:rsidR="008E51EC" w:rsidRPr="008E51EC" w14:paraId="63617B2C" w14:textId="77777777" w:rsidTr="007B1BF6">
        <w:trPr>
          <w:trHeight w:val="285"/>
        </w:trPr>
        <w:tc>
          <w:tcPr>
            <w:tcW w:w="3180" w:type="dxa"/>
            <w:tcBorders>
              <w:top w:val="nil"/>
              <w:left w:val="nil"/>
              <w:bottom w:val="nil"/>
              <w:right w:val="nil"/>
            </w:tcBorders>
            <w:shd w:val="clear" w:color="auto" w:fill="auto"/>
            <w:noWrap/>
            <w:vAlign w:val="bottom"/>
            <w:hideMark/>
          </w:tcPr>
          <w:p w14:paraId="3E653D63"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4CF0E40B"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069551C"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73F2E836"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48C3660A"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B2E6261"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D80E76D"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53AFF51" w14:textId="77777777" w:rsidR="008E51EC" w:rsidRPr="008E51EC" w:rsidRDefault="008E51EC" w:rsidP="008E51EC">
            <w:pPr>
              <w:spacing w:after="0" w:line="240" w:lineRule="auto"/>
              <w:jc w:val="center"/>
              <w:rPr>
                <w:rFonts w:ascii="Times New Roman" w:eastAsia="Times New Roman" w:hAnsi="Times New Roman"/>
                <w:sz w:val="20"/>
                <w:szCs w:val="20"/>
              </w:rPr>
            </w:pPr>
          </w:p>
        </w:tc>
      </w:tr>
      <w:tr w:rsidR="008E51EC" w:rsidRPr="008E51EC" w14:paraId="44EBE545" w14:textId="77777777" w:rsidTr="007B1BF6">
        <w:trPr>
          <w:trHeight w:val="285"/>
        </w:trPr>
        <w:tc>
          <w:tcPr>
            <w:tcW w:w="3180" w:type="dxa"/>
            <w:tcBorders>
              <w:top w:val="nil"/>
              <w:left w:val="nil"/>
              <w:bottom w:val="nil"/>
              <w:right w:val="nil"/>
            </w:tcBorders>
            <w:shd w:val="clear" w:color="auto" w:fill="auto"/>
            <w:noWrap/>
            <w:vAlign w:val="bottom"/>
            <w:hideMark/>
          </w:tcPr>
          <w:p w14:paraId="2DBF4265"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2100" w:type="dxa"/>
            <w:gridSpan w:val="3"/>
            <w:vMerge w:val="restart"/>
            <w:tcBorders>
              <w:top w:val="nil"/>
              <w:left w:val="nil"/>
              <w:bottom w:val="nil"/>
              <w:right w:val="nil"/>
            </w:tcBorders>
            <w:shd w:val="clear" w:color="auto" w:fill="auto"/>
            <w:vAlign w:val="bottom"/>
            <w:hideMark/>
          </w:tcPr>
          <w:p w14:paraId="1D62D663" w14:textId="5E11363D"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Three Months Ended </w:t>
            </w:r>
            <w:r>
              <w:rPr>
                <w:rFonts w:ascii="Segoe UI" w:eastAsia="Times New Roman" w:hAnsi="Segoe UI" w:cs="Segoe UI"/>
                <w:b/>
                <w:bCs/>
                <w:color w:val="666666"/>
                <w:sz w:val="20"/>
                <w:szCs w:val="20"/>
              </w:rPr>
              <w:t xml:space="preserve"> </w:t>
            </w:r>
            <w:r w:rsidRPr="008E51EC">
              <w:rPr>
                <w:rFonts w:ascii="Segoe UI" w:eastAsia="Times New Roman" w:hAnsi="Segoe UI" w:cs="Segoe UI"/>
                <w:b/>
                <w:bCs/>
                <w:color w:val="666666"/>
                <w:sz w:val="20"/>
                <w:szCs w:val="20"/>
              </w:rPr>
              <w:t>June 30,</w:t>
            </w:r>
          </w:p>
        </w:tc>
        <w:tc>
          <w:tcPr>
            <w:tcW w:w="156" w:type="dxa"/>
            <w:tcBorders>
              <w:top w:val="nil"/>
              <w:left w:val="nil"/>
              <w:bottom w:val="nil"/>
              <w:right w:val="nil"/>
            </w:tcBorders>
            <w:shd w:val="clear" w:color="auto" w:fill="auto"/>
            <w:vAlign w:val="bottom"/>
            <w:hideMark/>
          </w:tcPr>
          <w:p w14:paraId="73C7688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2200" w:type="dxa"/>
            <w:gridSpan w:val="3"/>
            <w:vMerge w:val="restart"/>
            <w:tcBorders>
              <w:top w:val="nil"/>
              <w:left w:val="nil"/>
              <w:bottom w:val="nil"/>
              <w:right w:val="nil"/>
            </w:tcBorders>
            <w:shd w:val="clear" w:color="auto" w:fill="auto"/>
            <w:vAlign w:val="bottom"/>
            <w:hideMark/>
          </w:tcPr>
          <w:p w14:paraId="4403129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Twelve Months Ended June 30,</w:t>
            </w:r>
          </w:p>
        </w:tc>
      </w:tr>
      <w:tr w:rsidR="008E51EC" w:rsidRPr="008E51EC" w14:paraId="42E578B0" w14:textId="77777777" w:rsidTr="007B1BF6">
        <w:trPr>
          <w:trHeight w:val="285"/>
        </w:trPr>
        <w:tc>
          <w:tcPr>
            <w:tcW w:w="3180" w:type="dxa"/>
            <w:tcBorders>
              <w:top w:val="nil"/>
              <w:left w:val="nil"/>
              <w:bottom w:val="nil"/>
              <w:right w:val="nil"/>
            </w:tcBorders>
            <w:shd w:val="clear" w:color="auto" w:fill="auto"/>
            <w:noWrap/>
            <w:vAlign w:val="bottom"/>
            <w:hideMark/>
          </w:tcPr>
          <w:p w14:paraId="28C7626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2100" w:type="dxa"/>
            <w:gridSpan w:val="3"/>
            <w:vMerge/>
            <w:tcBorders>
              <w:top w:val="nil"/>
              <w:left w:val="nil"/>
              <w:bottom w:val="nil"/>
              <w:right w:val="nil"/>
            </w:tcBorders>
            <w:vAlign w:val="center"/>
            <w:hideMark/>
          </w:tcPr>
          <w:p w14:paraId="0417F20D"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156" w:type="dxa"/>
            <w:tcBorders>
              <w:top w:val="nil"/>
              <w:left w:val="nil"/>
              <w:bottom w:val="nil"/>
              <w:right w:val="nil"/>
            </w:tcBorders>
            <w:shd w:val="clear" w:color="auto" w:fill="auto"/>
            <w:vAlign w:val="bottom"/>
            <w:hideMark/>
          </w:tcPr>
          <w:p w14:paraId="25AD9944" w14:textId="77777777" w:rsidR="008E51EC" w:rsidRPr="008E51EC" w:rsidRDefault="008E51EC" w:rsidP="008E51EC">
            <w:pPr>
              <w:spacing w:after="0" w:line="240" w:lineRule="auto"/>
              <w:rPr>
                <w:rFonts w:ascii="Times New Roman" w:eastAsia="Times New Roman" w:hAnsi="Times New Roman"/>
                <w:sz w:val="20"/>
                <w:szCs w:val="20"/>
              </w:rPr>
            </w:pPr>
          </w:p>
        </w:tc>
        <w:tc>
          <w:tcPr>
            <w:tcW w:w="2200" w:type="dxa"/>
            <w:gridSpan w:val="3"/>
            <w:vMerge/>
            <w:tcBorders>
              <w:top w:val="nil"/>
              <w:left w:val="nil"/>
              <w:bottom w:val="nil"/>
              <w:right w:val="nil"/>
            </w:tcBorders>
            <w:vAlign w:val="center"/>
            <w:hideMark/>
          </w:tcPr>
          <w:p w14:paraId="0FDD968E"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r>
      <w:tr w:rsidR="008E51EC" w:rsidRPr="008E51EC" w14:paraId="7470F31C" w14:textId="77777777" w:rsidTr="007B1BF6">
        <w:trPr>
          <w:trHeight w:val="285"/>
        </w:trPr>
        <w:tc>
          <w:tcPr>
            <w:tcW w:w="3180" w:type="dxa"/>
            <w:tcBorders>
              <w:top w:val="nil"/>
              <w:left w:val="nil"/>
              <w:bottom w:val="single" w:sz="4" w:space="0" w:color="auto"/>
              <w:right w:val="nil"/>
            </w:tcBorders>
            <w:shd w:val="clear" w:color="auto" w:fill="auto"/>
            <w:noWrap/>
            <w:vAlign w:val="bottom"/>
            <w:hideMark/>
          </w:tcPr>
          <w:p w14:paraId="7853CD21"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41F158F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2013</w:t>
            </w:r>
          </w:p>
        </w:tc>
        <w:tc>
          <w:tcPr>
            <w:tcW w:w="100" w:type="dxa"/>
            <w:tcBorders>
              <w:top w:val="nil"/>
              <w:left w:val="nil"/>
              <w:bottom w:val="single" w:sz="4" w:space="0" w:color="auto"/>
              <w:right w:val="nil"/>
            </w:tcBorders>
            <w:shd w:val="clear" w:color="auto" w:fill="auto"/>
            <w:noWrap/>
            <w:vAlign w:val="bottom"/>
            <w:hideMark/>
          </w:tcPr>
          <w:p w14:paraId="62EF87E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1A3D5FE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2012</w:t>
            </w:r>
          </w:p>
        </w:tc>
        <w:tc>
          <w:tcPr>
            <w:tcW w:w="156" w:type="dxa"/>
            <w:tcBorders>
              <w:top w:val="nil"/>
              <w:left w:val="nil"/>
              <w:bottom w:val="single" w:sz="4" w:space="0" w:color="auto"/>
              <w:right w:val="nil"/>
            </w:tcBorders>
            <w:shd w:val="clear" w:color="auto" w:fill="auto"/>
            <w:noWrap/>
            <w:vAlign w:val="bottom"/>
            <w:hideMark/>
          </w:tcPr>
          <w:p w14:paraId="3F957A4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4811A0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2013</w:t>
            </w:r>
          </w:p>
        </w:tc>
        <w:tc>
          <w:tcPr>
            <w:tcW w:w="100" w:type="dxa"/>
            <w:tcBorders>
              <w:top w:val="nil"/>
              <w:left w:val="nil"/>
              <w:bottom w:val="single" w:sz="4" w:space="0" w:color="auto"/>
              <w:right w:val="nil"/>
            </w:tcBorders>
            <w:shd w:val="clear" w:color="auto" w:fill="auto"/>
            <w:noWrap/>
            <w:vAlign w:val="bottom"/>
            <w:hideMark/>
          </w:tcPr>
          <w:p w14:paraId="47D0AB1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2B40EA8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2012</w:t>
            </w:r>
          </w:p>
        </w:tc>
      </w:tr>
      <w:tr w:rsidR="008E51EC" w:rsidRPr="008E51EC" w14:paraId="4D476DDA" w14:textId="77777777" w:rsidTr="007B1BF6">
        <w:trPr>
          <w:trHeight w:val="285"/>
        </w:trPr>
        <w:tc>
          <w:tcPr>
            <w:tcW w:w="3180" w:type="dxa"/>
            <w:tcBorders>
              <w:top w:val="nil"/>
              <w:left w:val="nil"/>
              <w:bottom w:val="nil"/>
              <w:right w:val="nil"/>
            </w:tcBorders>
            <w:shd w:val="clear" w:color="auto" w:fill="auto"/>
            <w:noWrap/>
            <w:vAlign w:val="bottom"/>
            <w:hideMark/>
          </w:tcPr>
          <w:p w14:paraId="2C2B655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17DCAC1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19,896 </w:t>
            </w:r>
          </w:p>
        </w:tc>
        <w:tc>
          <w:tcPr>
            <w:tcW w:w="100" w:type="dxa"/>
            <w:tcBorders>
              <w:top w:val="nil"/>
              <w:left w:val="nil"/>
              <w:bottom w:val="nil"/>
              <w:right w:val="nil"/>
            </w:tcBorders>
            <w:shd w:val="clear" w:color="auto" w:fill="auto"/>
            <w:noWrap/>
            <w:vAlign w:val="bottom"/>
            <w:hideMark/>
          </w:tcPr>
          <w:p w14:paraId="07C2487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361F45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$18,059 </w:t>
            </w:r>
          </w:p>
        </w:tc>
        <w:tc>
          <w:tcPr>
            <w:tcW w:w="156" w:type="dxa"/>
            <w:tcBorders>
              <w:top w:val="nil"/>
              <w:left w:val="nil"/>
              <w:bottom w:val="nil"/>
              <w:right w:val="nil"/>
            </w:tcBorders>
            <w:shd w:val="clear" w:color="auto" w:fill="auto"/>
            <w:noWrap/>
            <w:vAlign w:val="bottom"/>
            <w:hideMark/>
          </w:tcPr>
          <w:p w14:paraId="1FE7668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B560AD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77,849 </w:t>
            </w:r>
          </w:p>
        </w:tc>
        <w:tc>
          <w:tcPr>
            <w:tcW w:w="100" w:type="dxa"/>
            <w:tcBorders>
              <w:top w:val="nil"/>
              <w:left w:val="nil"/>
              <w:bottom w:val="nil"/>
              <w:right w:val="nil"/>
            </w:tcBorders>
            <w:shd w:val="clear" w:color="auto" w:fill="auto"/>
            <w:noWrap/>
            <w:vAlign w:val="bottom"/>
            <w:hideMark/>
          </w:tcPr>
          <w:p w14:paraId="7EEB796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A9C67D0"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$73,723 </w:t>
            </w:r>
          </w:p>
        </w:tc>
      </w:tr>
      <w:tr w:rsidR="008E51EC" w:rsidRPr="008E51EC" w14:paraId="399E5D19" w14:textId="77777777" w:rsidTr="007B1BF6">
        <w:trPr>
          <w:trHeight w:val="285"/>
        </w:trPr>
        <w:tc>
          <w:tcPr>
            <w:tcW w:w="3180" w:type="dxa"/>
            <w:tcBorders>
              <w:top w:val="nil"/>
              <w:left w:val="nil"/>
              <w:bottom w:val="single" w:sz="4" w:space="0" w:color="auto"/>
              <w:right w:val="nil"/>
            </w:tcBorders>
            <w:shd w:val="clear" w:color="auto" w:fill="auto"/>
            <w:noWrap/>
            <w:vAlign w:val="bottom"/>
            <w:hideMark/>
          </w:tcPr>
          <w:p w14:paraId="484E357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Cost of revenue</w:t>
            </w:r>
          </w:p>
        </w:tc>
        <w:tc>
          <w:tcPr>
            <w:tcW w:w="1080" w:type="dxa"/>
            <w:tcBorders>
              <w:top w:val="nil"/>
              <w:left w:val="nil"/>
              <w:bottom w:val="single" w:sz="4" w:space="0" w:color="auto"/>
              <w:right w:val="nil"/>
            </w:tcBorders>
            <w:shd w:val="clear" w:color="auto" w:fill="auto"/>
            <w:noWrap/>
            <w:vAlign w:val="bottom"/>
            <w:hideMark/>
          </w:tcPr>
          <w:p w14:paraId="7B66C87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5,602 </w:t>
            </w:r>
          </w:p>
        </w:tc>
        <w:tc>
          <w:tcPr>
            <w:tcW w:w="100" w:type="dxa"/>
            <w:tcBorders>
              <w:top w:val="nil"/>
              <w:left w:val="nil"/>
              <w:bottom w:val="nil"/>
              <w:right w:val="nil"/>
            </w:tcBorders>
            <w:shd w:val="clear" w:color="auto" w:fill="auto"/>
            <w:noWrap/>
            <w:vAlign w:val="bottom"/>
            <w:hideMark/>
          </w:tcPr>
          <w:p w14:paraId="31253EB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7CE3E96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4,163 </w:t>
            </w:r>
          </w:p>
        </w:tc>
        <w:tc>
          <w:tcPr>
            <w:tcW w:w="156" w:type="dxa"/>
            <w:tcBorders>
              <w:top w:val="nil"/>
              <w:left w:val="nil"/>
              <w:bottom w:val="nil"/>
              <w:right w:val="nil"/>
            </w:tcBorders>
            <w:shd w:val="clear" w:color="auto" w:fill="auto"/>
            <w:noWrap/>
            <w:vAlign w:val="bottom"/>
            <w:hideMark/>
          </w:tcPr>
          <w:p w14:paraId="4E7D8548"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06F00F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20,249 </w:t>
            </w:r>
          </w:p>
        </w:tc>
        <w:tc>
          <w:tcPr>
            <w:tcW w:w="100" w:type="dxa"/>
            <w:tcBorders>
              <w:top w:val="nil"/>
              <w:left w:val="nil"/>
              <w:bottom w:val="nil"/>
              <w:right w:val="nil"/>
            </w:tcBorders>
            <w:shd w:val="clear" w:color="auto" w:fill="auto"/>
            <w:noWrap/>
            <w:vAlign w:val="bottom"/>
            <w:hideMark/>
          </w:tcPr>
          <w:p w14:paraId="7D85979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9165A9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17,530 </w:t>
            </w:r>
          </w:p>
        </w:tc>
      </w:tr>
      <w:tr w:rsidR="008E51EC" w:rsidRPr="008E51EC" w14:paraId="5B7C5884" w14:textId="77777777" w:rsidTr="007B1BF6">
        <w:trPr>
          <w:trHeight w:val="285"/>
        </w:trPr>
        <w:tc>
          <w:tcPr>
            <w:tcW w:w="3180" w:type="dxa"/>
            <w:tcBorders>
              <w:top w:val="nil"/>
              <w:left w:val="nil"/>
              <w:bottom w:val="nil"/>
              <w:right w:val="nil"/>
            </w:tcBorders>
            <w:shd w:val="clear" w:color="auto" w:fill="auto"/>
            <w:noWrap/>
            <w:vAlign w:val="bottom"/>
            <w:hideMark/>
          </w:tcPr>
          <w:p w14:paraId="0B6666CC"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Gross profit</w:t>
            </w:r>
          </w:p>
        </w:tc>
        <w:tc>
          <w:tcPr>
            <w:tcW w:w="1080" w:type="dxa"/>
            <w:tcBorders>
              <w:top w:val="nil"/>
              <w:left w:val="nil"/>
              <w:bottom w:val="nil"/>
              <w:right w:val="nil"/>
            </w:tcBorders>
            <w:shd w:val="clear" w:color="auto" w:fill="auto"/>
            <w:noWrap/>
            <w:vAlign w:val="bottom"/>
            <w:hideMark/>
          </w:tcPr>
          <w:p w14:paraId="728243F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14,294 </w:t>
            </w:r>
          </w:p>
        </w:tc>
        <w:tc>
          <w:tcPr>
            <w:tcW w:w="100" w:type="dxa"/>
            <w:tcBorders>
              <w:top w:val="nil"/>
              <w:left w:val="nil"/>
              <w:bottom w:val="nil"/>
              <w:right w:val="nil"/>
            </w:tcBorders>
            <w:shd w:val="clear" w:color="auto" w:fill="auto"/>
            <w:noWrap/>
            <w:vAlign w:val="bottom"/>
            <w:hideMark/>
          </w:tcPr>
          <w:p w14:paraId="0A778E1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791E28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13,896 </w:t>
            </w:r>
          </w:p>
        </w:tc>
        <w:tc>
          <w:tcPr>
            <w:tcW w:w="156" w:type="dxa"/>
            <w:tcBorders>
              <w:top w:val="nil"/>
              <w:left w:val="nil"/>
              <w:bottom w:val="nil"/>
              <w:right w:val="nil"/>
            </w:tcBorders>
            <w:shd w:val="clear" w:color="auto" w:fill="auto"/>
            <w:noWrap/>
            <w:vAlign w:val="bottom"/>
            <w:hideMark/>
          </w:tcPr>
          <w:p w14:paraId="22ACA31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3F9BD3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57,600 </w:t>
            </w:r>
          </w:p>
        </w:tc>
        <w:tc>
          <w:tcPr>
            <w:tcW w:w="100" w:type="dxa"/>
            <w:tcBorders>
              <w:top w:val="nil"/>
              <w:left w:val="nil"/>
              <w:bottom w:val="nil"/>
              <w:right w:val="nil"/>
            </w:tcBorders>
            <w:shd w:val="clear" w:color="auto" w:fill="auto"/>
            <w:noWrap/>
            <w:vAlign w:val="bottom"/>
            <w:hideMark/>
          </w:tcPr>
          <w:p w14:paraId="2EDBC2B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FCAA08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56,193 </w:t>
            </w:r>
          </w:p>
        </w:tc>
      </w:tr>
      <w:tr w:rsidR="008E51EC" w:rsidRPr="008E51EC" w14:paraId="7EC144D7" w14:textId="77777777" w:rsidTr="007B1BF6">
        <w:trPr>
          <w:trHeight w:val="285"/>
        </w:trPr>
        <w:tc>
          <w:tcPr>
            <w:tcW w:w="3180" w:type="dxa"/>
            <w:tcBorders>
              <w:top w:val="nil"/>
              <w:left w:val="nil"/>
              <w:bottom w:val="nil"/>
              <w:right w:val="nil"/>
            </w:tcBorders>
            <w:shd w:val="clear" w:color="auto" w:fill="auto"/>
            <w:noWrap/>
            <w:vAlign w:val="bottom"/>
            <w:hideMark/>
          </w:tcPr>
          <w:p w14:paraId="4C5CB01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Operating expenses:</w:t>
            </w:r>
          </w:p>
        </w:tc>
        <w:tc>
          <w:tcPr>
            <w:tcW w:w="1080" w:type="dxa"/>
            <w:tcBorders>
              <w:top w:val="nil"/>
              <w:left w:val="nil"/>
              <w:bottom w:val="nil"/>
              <w:right w:val="nil"/>
            </w:tcBorders>
            <w:shd w:val="clear" w:color="auto" w:fill="auto"/>
            <w:noWrap/>
            <w:vAlign w:val="bottom"/>
            <w:hideMark/>
          </w:tcPr>
          <w:p w14:paraId="1ADD6BE2"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3B806FAE" w14:textId="77777777" w:rsidR="008E51EC" w:rsidRPr="008E51EC" w:rsidRDefault="008E51EC" w:rsidP="008E51EC">
            <w:pPr>
              <w:spacing w:after="0" w:line="240" w:lineRule="auto"/>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94930FD"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17E93E64"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A0B4C0E"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4E71AB19"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79BDBB24" w14:textId="77777777" w:rsidR="008E51EC" w:rsidRPr="008E51EC" w:rsidRDefault="008E51EC" w:rsidP="008E51EC">
            <w:pPr>
              <w:spacing w:after="0" w:line="240" w:lineRule="auto"/>
              <w:jc w:val="right"/>
              <w:rPr>
                <w:rFonts w:ascii="Times New Roman" w:eastAsia="Times New Roman" w:hAnsi="Times New Roman"/>
                <w:sz w:val="20"/>
                <w:szCs w:val="20"/>
              </w:rPr>
            </w:pPr>
          </w:p>
        </w:tc>
      </w:tr>
      <w:tr w:rsidR="008E51EC" w:rsidRPr="008E51EC" w14:paraId="4C226C31" w14:textId="77777777" w:rsidTr="007B1BF6">
        <w:trPr>
          <w:trHeight w:val="285"/>
        </w:trPr>
        <w:tc>
          <w:tcPr>
            <w:tcW w:w="3180" w:type="dxa"/>
            <w:tcBorders>
              <w:top w:val="nil"/>
              <w:left w:val="nil"/>
              <w:bottom w:val="nil"/>
              <w:right w:val="nil"/>
            </w:tcBorders>
            <w:shd w:val="clear" w:color="auto" w:fill="auto"/>
            <w:noWrap/>
            <w:vAlign w:val="bottom"/>
            <w:hideMark/>
          </w:tcPr>
          <w:p w14:paraId="577AFA8B"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Research and development</w:t>
            </w:r>
          </w:p>
        </w:tc>
        <w:tc>
          <w:tcPr>
            <w:tcW w:w="1080" w:type="dxa"/>
            <w:tcBorders>
              <w:top w:val="nil"/>
              <w:left w:val="nil"/>
              <w:bottom w:val="nil"/>
              <w:right w:val="nil"/>
            </w:tcBorders>
            <w:shd w:val="clear" w:color="auto" w:fill="auto"/>
            <w:noWrap/>
            <w:vAlign w:val="bottom"/>
            <w:hideMark/>
          </w:tcPr>
          <w:p w14:paraId="23EA8BE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2,783 </w:t>
            </w:r>
          </w:p>
        </w:tc>
        <w:tc>
          <w:tcPr>
            <w:tcW w:w="100" w:type="dxa"/>
            <w:tcBorders>
              <w:top w:val="nil"/>
              <w:left w:val="nil"/>
              <w:bottom w:val="nil"/>
              <w:right w:val="nil"/>
            </w:tcBorders>
            <w:shd w:val="clear" w:color="auto" w:fill="auto"/>
            <w:noWrap/>
            <w:vAlign w:val="bottom"/>
            <w:hideMark/>
          </w:tcPr>
          <w:p w14:paraId="7804E0F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E38818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2,594 </w:t>
            </w:r>
          </w:p>
        </w:tc>
        <w:tc>
          <w:tcPr>
            <w:tcW w:w="156" w:type="dxa"/>
            <w:tcBorders>
              <w:top w:val="nil"/>
              <w:left w:val="nil"/>
              <w:bottom w:val="nil"/>
              <w:right w:val="nil"/>
            </w:tcBorders>
            <w:shd w:val="clear" w:color="auto" w:fill="auto"/>
            <w:noWrap/>
            <w:vAlign w:val="bottom"/>
            <w:hideMark/>
          </w:tcPr>
          <w:p w14:paraId="08CF2C9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EEE1DA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10,411 </w:t>
            </w:r>
          </w:p>
        </w:tc>
        <w:tc>
          <w:tcPr>
            <w:tcW w:w="100" w:type="dxa"/>
            <w:tcBorders>
              <w:top w:val="nil"/>
              <w:left w:val="nil"/>
              <w:bottom w:val="nil"/>
              <w:right w:val="nil"/>
            </w:tcBorders>
            <w:shd w:val="clear" w:color="auto" w:fill="auto"/>
            <w:noWrap/>
            <w:vAlign w:val="bottom"/>
            <w:hideMark/>
          </w:tcPr>
          <w:p w14:paraId="5FF575F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6BBC28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9,811 </w:t>
            </w:r>
          </w:p>
        </w:tc>
      </w:tr>
      <w:tr w:rsidR="008E51EC" w:rsidRPr="008E51EC" w14:paraId="248378EA" w14:textId="77777777" w:rsidTr="007B1BF6">
        <w:trPr>
          <w:trHeight w:val="285"/>
        </w:trPr>
        <w:tc>
          <w:tcPr>
            <w:tcW w:w="3180" w:type="dxa"/>
            <w:tcBorders>
              <w:top w:val="nil"/>
              <w:left w:val="nil"/>
              <w:bottom w:val="nil"/>
              <w:right w:val="nil"/>
            </w:tcBorders>
            <w:shd w:val="clear" w:color="auto" w:fill="auto"/>
            <w:noWrap/>
            <w:vAlign w:val="bottom"/>
            <w:hideMark/>
          </w:tcPr>
          <w:p w14:paraId="5F9D61A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Sales and marketing</w:t>
            </w:r>
          </w:p>
        </w:tc>
        <w:tc>
          <w:tcPr>
            <w:tcW w:w="1080" w:type="dxa"/>
            <w:tcBorders>
              <w:top w:val="nil"/>
              <w:left w:val="nil"/>
              <w:bottom w:val="nil"/>
              <w:right w:val="nil"/>
            </w:tcBorders>
            <w:shd w:val="clear" w:color="auto" w:fill="auto"/>
            <w:noWrap/>
            <w:vAlign w:val="bottom"/>
            <w:hideMark/>
          </w:tcPr>
          <w:p w14:paraId="33B812F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4,228 </w:t>
            </w:r>
          </w:p>
        </w:tc>
        <w:tc>
          <w:tcPr>
            <w:tcW w:w="100" w:type="dxa"/>
            <w:tcBorders>
              <w:top w:val="nil"/>
              <w:left w:val="nil"/>
              <w:bottom w:val="nil"/>
              <w:right w:val="nil"/>
            </w:tcBorders>
            <w:shd w:val="clear" w:color="auto" w:fill="auto"/>
            <w:noWrap/>
            <w:vAlign w:val="bottom"/>
            <w:hideMark/>
          </w:tcPr>
          <w:p w14:paraId="37BB882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0625F5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3,781 </w:t>
            </w:r>
          </w:p>
        </w:tc>
        <w:tc>
          <w:tcPr>
            <w:tcW w:w="156" w:type="dxa"/>
            <w:tcBorders>
              <w:top w:val="nil"/>
              <w:left w:val="nil"/>
              <w:bottom w:val="nil"/>
              <w:right w:val="nil"/>
            </w:tcBorders>
            <w:shd w:val="clear" w:color="auto" w:fill="auto"/>
            <w:noWrap/>
            <w:vAlign w:val="bottom"/>
            <w:hideMark/>
          </w:tcPr>
          <w:p w14:paraId="48F1328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82D14C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15,276 </w:t>
            </w:r>
          </w:p>
        </w:tc>
        <w:tc>
          <w:tcPr>
            <w:tcW w:w="100" w:type="dxa"/>
            <w:tcBorders>
              <w:top w:val="nil"/>
              <w:left w:val="nil"/>
              <w:bottom w:val="nil"/>
              <w:right w:val="nil"/>
            </w:tcBorders>
            <w:shd w:val="clear" w:color="auto" w:fill="auto"/>
            <w:noWrap/>
            <w:vAlign w:val="bottom"/>
            <w:hideMark/>
          </w:tcPr>
          <w:p w14:paraId="2483E48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2E3B42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13,857 </w:t>
            </w:r>
          </w:p>
        </w:tc>
      </w:tr>
      <w:tr w:rsidR="008E51EC" w:rsidRPr="008E51EC" w14:paraId="3A7A7CFE" w14:textId="77777777" w:rsidTr="007B1BF6">
        <w:trPr>
          <w:trHeight w:val="285"/>
        </w:trPr>
        <w:tc>
          <w:tcPr>
            <w:tcW w:w="3180" w:type="dxa"/>
            <w:tcBorders>
              <w:top w:val="nil"/>
              <w:left w:val="nil"/>
              <w:bottom w:val="nil"/>
              <w:right w:val="nil"/>
            </w:tcBorders>
            <w:shd w:val="clear" w:color="auto" w:fill="auto"/>
            <w:noWrap/>
            <w:vAlign w:val="bottom"/>
            <w:hideMark/>
          </w:tcPr>
          <w:p w14:paraId="62C271C3"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General and administrative</w:t>
            </w:r>
          </w:p>
        </w:tc>
        <w:tc>
          <w:tcPr>
            <w:tcW w:w="1080" w:type="dxa"/>
            <w:tcBorders>
              <w:top w:val="nil"/>
              <w:left w:val="nil"/>
              <w:bottom w:val="nil"/>
              <w:right w:val="nil"/>
            </w:tcBorders>
            <w:shd w:val="clear" w:color="auto" w:fill="auto"/>
            <w:noWrap/>
            <w:vAlign w:val="bottom"/>
            <w:hideMark/>
          </w:tcPr>
          <w:p w14:paraId="58932DF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1,210 </w:t>
            </w:r>
          </w:p>
        </w:tc>
        <w:tc>
          <w:tcPr>
            <w:tcW w:w="100" w:type="dxa"/>
            <w:tcBorders>
              <w:top w:val="nil"/>
              <w:left w:val="nil"/>
              <w:bottom w:val="nil"/>
              <w:right w:val="nil"/>
            </w:tcBorders>
            <w:shd w:val="clear" w:color="auto" w:fill="auto"/>
            <w:noWrap/>
            <w:vAlign w:val="bottom"/>
            <w:hideMark/>
          </w:tcPr>
          <w:p w14:paraId="21582F2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F16E39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1,136 </w:t>
            </w:r>
          </w:p>
        </w:tc>
        <w:tc>
          <w:tcPr>
            <w:tcW w:w="156" w:type="dxa"/>
            <w:tcBorders>
              <w:top w:val="nil"/>
              <w:left w:val="nil"/>
              <w:bottom w:val="nil"/>
              <w:right w:val="nil"/>
            </w:tcBorders>
            <w:shd w:val="clear" w:color="auto" w:fill="auto"/>
            <w:noWrap/>
            <w:vAlign w:val="bottom"/>
            <w:hideMark/>
          </w:tcPr>
          <w:p w14:paraId="3C26A0B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0F0DD3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5,149 </w:t>
            </w:r>
          </w:p>
        </w:tc>
        <w:tc>
          <w:tcPr>
            <w:tcW w:w="100" w:type="dxa"/>
            <w:tcBorders>
              <w:top w:val="nil"/>
              <w:left w:val="nil"/>
              <w:bottom w:val="nil"/>
              <w:right w:val="nil"/>
            </w:tcBorders>
            <w:shd w:val="clear" w:color="auto" w:fill="auto"/>
            <w:noWrap/>
            <w:vAlign w:val="bottom"/>
            <w:hideMark/>
          </w:tcPr>
          <w:p w14:paraId="2363FC3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DCFDDB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4,569 </w:t>
            </w:r>
          </w:p>
        </w:tc>
      </w:tr>
      <w:tr w:rsidR="008E51EC" w:rsidRPr="008E51EC" w14:paraId="20099F38" w14:textId="77777777" w:rsidTr="007B1BF6">
        <w:trPr>
          <w:trHeight w:val="285"/>
        </w:trPr>
        <w:tc>
          <w:tcPr>
            <w:tcW w:w="3180" w:type="dxa"/>
            <w:tcBorders>
              <w:top w:val="nil"/>
              <w:left w:val="nil"/>
              <w:bottom w:val="nil"/>
              <w:right w:val="nil"/>
            </w:tcBorders>
            <w:shd w:val="clear" w:color="auto" w:fill="auto"/>
            <w:noWrap/>
            <w:vAlign w:val="bottom"/>
            <w:hideMark/>
          </w:tcPr>
          <w:p w14:paraId="0819F43E"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Goodwill impairment</w:t>
            </w:r>
          </w:p>
        </w:tc>
        <w:tc>
          <w:tcPr>
            <w:tcW w:w="1080" w:type="dxa"/>
            <w:tcBorders>
              <w:top w:val="nil"/>
              <w:left w:val="nil"/>
              <w:bottom w:val="nil"/>
              <w:right w:val="nil"/>
            </w:tcBorders>
            <w:shd w:val="clear" w:color="auto" w:fill="auto"/>
            <w:noWrap/>
            <w:vAlign w:val="bottom"/>
            <w:hideMark/>
          </w:tcPr>
          <w:p w14:paraId="66BBAB7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0 </w:t>
            </w:r>
          </w:p>
        </w:tc>
        <w:tc>
          <w:tcPr>
            <w:tcW w:w="100" w:type="dxa"/>
            <w:tcBorders>
              <w:top w:val="nil"/>
              <w:left w:val="nil"/>
              <w:bottom w:val="nil"/>
              <w:right w:val="nil"/>
            </w:tcBorders>
            <w:shd w:val="clear" w:color="auto" w:fill="auto"/>
            <w:noWrap/>
            <w:vAlign w:val="bottom"/>
            <w:hideMark/>
          </w:tcPr>
          <w:p w14:paraId="48ACDB6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A68DD1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6,193 </w:t>
            </w:r>
          </w:p>
        </w:tc>
        <w:tc>
          <w:tcPr>
            <w:tcW w:w="156" w:type="dxa"/>
            <w:tcBorders>
              <w:top w:val="nil"/>
              <w:left w:val="nil"/>
              <w:bottom w:val="nil"/>
              <w:right w:val="nil"/>
            </w:tcBorders>
            <w:shd w:val="clear" w:color="auto" w:fill="auto"/>
            <w:noWrap/>
            <w:vAlign w:val="bottom"/>
            <w:hideMark/>
          </w:tcPr>
          <w:p w14:paraId="13F6DF2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0DB913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0 </w:t>
            </w:r>
          </w:p>
        </w:tc>
        <w:tc>
          <w:tcPr>
            <w:tcW w:w="100" w:type="dxa"/>
            <w:tcBorders>
              <w:top w:val="nil"/>
              <w:left w:val="nil"/>
              <w:bottom w:val="nil"/>
              <w:right w:val="nil"/>
            </w:tcBorders>
            <w:shd w:val="clear" w:color="auto" w:fill="auto"/>
            <w:noWrap/>
            <w:vAlign w:val="bottom"/>
            <w:hideMark/>
          </w:tcPr>
          <w:p w14:paraId="025DDD3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5FC6DB5"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6,193 </w:t>
            </w:r>
          </w:p>
        </w:tc>
      </w:tr>
      <w:tr w:rsidR="008E51EC" w:rsidRPr="008E51EC" w14:paraId="49095A27" w14:textId="77777777" w:rsidTr="007B1BF6">
        <w:trPr>
          <w:trHeight w:val="285"/>
        </w:trPr>
        <w:tc>
          <w:tcPr>
            <w:tcW w:w="3180" w:type="dxa"/>
            <w:tcBorders>
              <w:top w:val="single" w:sz="4" w:space="0" w:color="auto"/>
              <w:left w:val="nil"/>
              <w:bottom w:val="single" w:sz="4" w:space="0" w:color="auto"/>
              <w:right w:val="nil"/>
            </w:tcBorders>
            <w:shd w:val="clear" w:color="auto" w:fill="auto"/>
            <w:noWrap/>
            <w:vAlign w:val="bottom"/>
            <w:hideMark/>
          </w:tcPr>
          <w:p w14:paraId="2C2DE623" w14:textId="77777777" w:rsidR="008E51EC" w:rsidRPr="008E51EC" w:rsidRDefault="008E51EC" w:rsidP="008E51EC">
            <w:pPr>
              <w:spacing w:after="0" w:line="240" w:lineRule="auto"/>
              <w:ind w:firstLineChars="100" w:firstLine="200"/>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operating expenses</w:t>
            </w:r>
          </w:p>
        </w:tc>
        <w:tc>
          <w:tcPr>
            <w:tcW w:w="1080" w:type="dxa"/>
            <w:tcBorders>
              <w:top w:val="single" w:sz="4" w:space="0" w:color="auto"/>
              <w:left w:val="nil"/>
              <w:bottom w:val="single" w:sz="4" w:space="0" w:color="auto"/>
              <w:right w:val="nil"/>
            </w:tcBorders>
            <w:shd w:val="clear" w:color="auto" w:fill="auto"/>
            <w:noWrap/>
            <w:vAlign w:val="bottom"/>
            <w:hideMark/>
          </w:tcPr>
          <w:p w14:paraId="77E2886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8,221 </w:t>
            </w:r>
          </w:p>
        </w:tc>
        <w:tc>
          <w:tcPr>
            <w:tcW w:w="100" w:type="dxa"/>
            <w:tcBorders>
              <w:top w:val="nil"/>
              <w:left w:val="nil"/>
              <w:bottom w:val="nil"/>
              <w:right w:val="nil"/>
            </w:tcBorders>
            <w:shd w:val="clear" w:color="auto" w:fill="auto"/>
            <w:noWrap/>
            <w:vAlign w:val="bottom"/>
            <w:hideMark/>
          </w:tcPr>
          <w:p w14:paraId="4898DB3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single" w:sz="4" w:space="0" w:color="auto"/>
              <w:left w:val="nil"/>
              <w:bottom w:val="single" w:sz="4" w:space="0" w:color="auto"/>
              <w:right w:val="nil"/>
            </w:tcBorders>
            <w:shd w:val="clear" w:color="auto" w:fill="auto"/>
            <w:noWrap/>
            <w:vAlign w:val="bottom"/>
            <w:hideMark/>
          </w:tcPr>
          <w:p w14:paraId="2B1FE052"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13,704 </w:t>
            </w:r>
          </w:p>
        </w:tc>
        <w:tc>
          <w:tcPr>
            <w:tcW w:w="156" w:type="dxa"/>
            <w:tcBorders>
              <w:top w:val="nil"/>
              <w:left w:val="nil"/>
              <w:bottom w:val="nil"/>
              <w:right w:val="nil"/>
            </w:tcBorders>
            <w:shd w:val="clear" w:color="auto" w:fill="auto"/>
            <w:noWrap/>
            <w:vAlign w:val="bottom"/>
            <w:hideMark/>
          </w:tcPr>
          <w:p w14:paraId="00ED7AD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single" w:sz="4" w:space="0" w:color="auto"/>
              <w:left w:val="nil"/>
              <w:bottom w:val="single" w:sz="4" w:space="0" w:color="auto"/>
              <w:right w:val="nil"/>
            </w:tcBorders>
            <w:shd w:val="clear" w:color="auto" w:fill="auto"/>
            <w:noWrap/>
            <w:vAlign w:val="bottom"/>
            <w:hideMark/>
          </w:tcPr>
          <w:p w14:paraId="318F384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30,836 </w:t>
            </w:r>
          </w:p>
        </w:tc>
        <w:tc>
          <w:tcPr>
            <w:tcW w:w="100" w:type="dxa"/>
            <w:tcBorders>
              <w:top w:val="nil"/>
              <w:left w:val="nil"/>
              <w:bottom w:val="nil"/>
              <w:right w:val="nil"/>
            </w:tcBorders>
            <w:shd w:val="clear" w:color="auto" w:fill="auto"/>
            <w:noWrap/>
            <w:vAlign w:val="bottom"/>
            <w:hideMark/>
          </w:tcPr>
          <w:p w14:paraId="5E6F5E1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single" w:sz="4" w:space="0" w:color="auto"/>
              <w:left w:val="nil"/>
              <w:bottom w:val="single" w:sz="4" w:space="0" w:color="auto"/>
              <w:right w:val="nil"/>
            </w:tcBorders>
            <w:shd w:val="clear" w:color="auto" w:fill="auto"/>
            <w:noWrap/>
            <w:vAlign w:val="bottom"/>
            <w:hideMark/>
          </w:tcPr>
          <w:p w14:paraId="7178F985"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34,430 </w:t>
            </w:r>
          </w:p>
        </w:tc>
      </w:tr>
      <w:tr w:rsidR="008E51EC" w:rsidRPr="008E51EC" w14:paraId="123B92E2" w14:textId="77777777" w:rsidTr="007B1BF6">
        <w:trPr>
          <w:trHeight w:val="285"/>
        </w:trPr>
        <w:tc>
          <w:tcPr>
            <w:tcW w:w="3180" w:type="dxa"/>
            <w:tcBorders>
              <w:top w:val="nil"/>
              <w:left w:val="nil"/>
              <w:bottom w:val="nil"/>
              <w:right w:val="nil"/>
            </w:tcBorders>
            <w:shd w:val="clear" w:color="auto" w:fill="auto"/>
            <w:noWrap/>
            <w:vAlign w:val="bottom"/>
            <w:hideMark/>
          </w:tcPr>
          <w:p w14:paraId="06D4674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Operating income</w:t>
            </w:r>
          </w:p>
        </w:tc>
        <w:tc>
          <w:tcPr>
            <w:tcW w:w="1080" w:type="dxa"/>
            <w:tcBorders>
              <w:top w:val="nil"/>
              <w:left w:val="nil"/>
              <w:bottom w:val="nil"/>
              <w:right w:val="nil"/>
            </w:tcBorders>
            <w:shd w:val="clear" w:color="auto" w:fill="auto"/>
            <w:noWrap/>
            <w:vAlign w:val="bottom"/>
            <w:hideMark/>
          </w:tcPr>
          <w:p w14:paraId="1D8BECB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6,073 </w:t>
            </w:r>
          </w:p>
        </w:tc>
        <w:tc>
          <w:tcPr>
            <w:tcW w:w="100" w:type="dxa"/>
            <w:tcBorders>
              <w:top w:val="nil"/>
              <w:left w:val="nil"/>
              <w:bottom w:val="nil"/>
              <w:right w:val="nil"/>
            </w:tcBorders>
            <w:shd w:val="clear" w:color="auto" w:fill="auto"/>
            <w:noWrap/>
            <w:vAlign w:val="bottom"/>
            <w:hideMark/>
          </w:tcPr>
          <w:p w14:paraId="1C04BFA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D38888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192 </w:t>
            </w:r>
          </w:p>
        </w:tc>
        <w:tc>
          <w:tcPr>
            <w:tcW w:w="156" w:type="dxa"/>
            <w:tcBorders>
              <w:top w:val="nil"/>
              <w:left w:val="nil"/>
              <w:bottom w:val="nil"/>
              <w:right w:val="nil"/>
            </w:tcBorders>
            <w:shd w:val="clear" w:color="auto" w:fill="auto"/>
            <w:noWrap/>
            <w:vAlign w:val="bottom"/>
            <w:hideMark/>
          </w:tcPr>
          <w:p w14:paraId="7CDBC690"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65D82D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26,764 </w:t>
            </w:r>
          </w:p>
        </w:tc>
        <w:tc>
          <w:tcPr>
            <w:tcW w:w="100" w:type="dxa"/>
            <w:tcBorders>
              <w:top w:val="nil"/>
              <w:left w:val="nil"/>
              <w:bottom w:val="nil"/>
              <w:right w:val="nil"/>
            </w:tcBorders>
            <w:shd w:val="clear" w:color="auto" w:fill="auto"/>
            <w:noWrap/>
            <w:vAlign w:val="bottom"/>
            <w:hideMark/>
          </w:tcPr>
          <w:p w14:paraId="1C70532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C3401F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21,763 </w:t>
            </w:r>
          </w:p>
        </w:tc>
      </w:tr>
      <w:tr w:rsidR="008E51EC" w:rsidRPr="008E51EC" w14:paraId="3ED477E3" w14:textId="77777777" w:rsidTr="007B1BF6">
        <w:trPr>
          <w:trHeight w:val="285"/>
        </w:trPr>
        <w:tc>
          <w:tcPr>
            <w:tcW w:w="3180" w:type="dxa"/>
            <w:tcBorders>
              <w:top w:val="nil"/>
              <w:left w:val="nil"/>
              <w:bottom w:val="single" w:sz="4" w:space="0" w:color="auto"/>
              <w:right w:val="nil"/>
            </w:tcBorders>
            <w:shd w:val="clear" w:color="auto" w:fill="auto"/>
            <w:noWrap/>
            <w:vAlign w:val="bottom"/>
            <w:hideMark/>
          </w:tcPr>
          <w:p w14:paraId="127EA62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Other income</w:t>
            </w:r>
          </w:p>
        </w:tc>
        <w:tc>
          <w:tcPr>
            <w:tcW w:w="1080" w:type="dxa"/>
            <w:tcBorders>
              <w:top w:val="nil"/>
              <w:left w:val="nil"/>
              <w:bottom w:val="single" w:sz="4" w:space="0" w:color="auto"/>
              <w:right w:val="nil"/>
            </w:tcBorders>
            <w:shd w:val="clear" w:color="auto" w:fill="auto"/>
            <w:noWrap/>
            <w:vAlign w:val="bottom"/>
            <w:hideMark/>
          </w:tcPr>
          <w:p w14:paraId="1FB89C3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72 </w:t>
            </w:r>
          </w:p>
        </w:tc>
        <w:tc>
          <w:tcPr>
            <w:tcW w:w="100" w:type="dxa"/>
            <w:tcBorders>
              <w:top w:val="nil"/>
              <w:left w:val="nil"/>
              <w:bottom w:val="nil"/>
              <w:right w:val="nil"/>
            </w:tcBorders>
            <w:shd w:val="clear" w:color="auto" w:fill="auto"/>
            <w:noWrap/>
            <w:vAlign w:val="bottom"/>
            <w:hideMark/>
          </w:tcPr>
          <w:p w14:paraId="084D4AA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8361215"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167 </w:t>
            </w:r>
          </w:p>
        </w:tc>
        <w:tc>
          <w:tcPr>
            <w:tcW w:w="156" w:type="dxa"/>
            <w:tcBorders>
              <w:top w:val="nil"/>
              <w:left w:val="nil"/>
              <w:bottom w:val="nil"/>
              <w:right w:val="nil"/>
            </w:tcBorders>
            <w:shd w:val="clear" w:color="auto" w:fill="auto"/>
            <w:noWrap/>
            <w:vAlign w:val="bottom"/>
            <w:hideMark/>
          </w:tcPr>
          <w:p w14:paraId="6D607D8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29BD86D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288 </w:t>
            </w:r>
          </w:p>
        </w:tc>
        <w:tc>
          <w:tcPr>
            <w:tcW w:w="100" w:type="dxa"/>
            <w:tcBorders>
              <w:top w:val="nil"/>
              <w:left w:val="nil"/>
              <w:bottom w:val="nil"/>
              <w:right w:val="nil"/>
            </w:tcBorders>
            <w:shd w:val="clear" w:color="auto" w:fill="auto"/>
            <w:noWrap/>
            <w:vAlign w:val="bottom"/>
            <w:hideMark/>
          </w:tcPr>
          <w:p w14:paraId="66EA4F8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5FABA9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504 </w:t>
            </w:r>
          </w:p>
        </w:tc>
      </w:tr>
      <w:tr w:rsidR="008E51EC" w:rsidRPr="008E51EC" w14:paraId="5AC1AF94" w14:textId="77777777" w:rsidTr="007B1BF6">
        <w:trPr>
          <w:trHeight w:val="285"/>
        </w:trPr>
        <w:tc>
          <w:tcPr>
            <w:tcW w:w="3180" w:type="dxa"/>
            <w:tcBorders>
              <w:top w:val="nil"/>
              <w:left w:val="nil"/>
              <w:bottom w:val="nil"/>
              <w:right w:val="nil"/>
            </w:tcBorders>
            <w:shd w:val="clear" w:color="auto" w:fill="auto"/>
            <w:noWrap/>
            <w:vAlign w:val="bottom"/>
            <w:hideMark/>
          </w:tcPr>
          <w:p w14:paraId="78081B2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6A0773C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6,145 </w:t>
            </w:r>
          </w:p>
        </w:tc>
        <w:tc>
          <w:tcPr>
            <w:tcW w:w="100" w:type="dxa"/>
            <w:tcBorders>
              <w:top w:val="nil"/>
              <w:left w:val="nil"/>
              <w:bottom w:val="nil"/>
              <w:right w:val="nil"/>
            </w:tcBorders>
            <w:shd w:val="clear" w:color="auto" w:fill="auto"/>
            <w:noWrap/>
            <w:vAlign w:val="bottom"/>
            <w:hideMark/>
          </w:tcPr>
          <w:p w14:paraId="3AF1587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7DB5F10"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359 </w:t>
            </w:r>
          </w:p>
        </w:tc>
        <w:tc>
          <w:tcPr>
            <w:tcW w:w="156" w:type="dxa"/>
            <w:tcBorders>
              <w:top w:val="nil"/>
              <w:left w:val="nil"/>
              <w:bottom w:val="nil"/>
              <w:right w:val="nil"/>
            </w:tcBorders>
            <w:shd w:val="clear" w:color="auto" w:fill="auto"/>
            <w:noWrap/>
            <w:vAlign w:val="bottom"/>
            <w:hideMark/>
          </w:tcPr>
          <w:p w14:paraId="15DACB7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5BD831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27,052 </w:t>
            </w:r>
          </w:p>
        </w:tc>
        <w:tc>
          <w:tcPr>
            <w:tcW w:w="100" w:type="dxa"/>
            <w:tcBorders>
              <w:top w:val="nil"/>
              <w:left w:val="nil"/>
              <w:bottom w:val="nil"/>
              <w:right w:val="nil"/>
            </w:tcBorders>
            <w:shd w:val="clear" w:color="auto" w:fill="auto"/>
            <w:noWrap/>
            <w:vAlign w:val="bottom"/>
            <w:hideMark/>
          </w:tcPr>
          <w:p w14:paraId="525A7C1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45778C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22,267 </w:t>
            </w:r>
          </w:p>
        </w:tc>
      </w:tr>
      <w:tr w:rsidR="008E51EC" w:rsidRPr="008E51EC" w14:paraId="15E153B9" w14:textId="77777777" w:rsidTr="007B1BF6">
        <w:trPr>
          <w:trHeight w:val="285"/>
        </w:trPr>
        <w:tc>
          <w:tcPr>
            <w:tcW w:w="3180" w:type="dxa"/>
            <w:tcBorders>
              <w:top w:val="nil"/>
              <w:left w:val="nil"/>
              <w:bottom w:val="single" w:sz="4" w:space="0" w:color="auto"/>
              <w:right w:val="nil"/>
            </w:tcBorders>
            <w:shd w:val="clear" w:color="auto" w:fill="auto"/>
            <w:noWrap/>
            <w:vAlign w:val="bottom"/>
            <w:hideMark/>
          </w:tcPr>
          <w:p w14:paraId="5379A4A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7CAE2CA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1,180 </w:t>
            </w:r>
          </w:p>
        </w:tc>
        <w:tc>
          <w:tcPr>
            <w:tcW w:w="100" w:type="dxa"/>
            <w:tcBorders>
              <w:top w:val="nil"/>
              <w:left w:val="nil"/>
              <w:bottom w:val="nil"/>
              <w:right w:val="nil"/>
            </w:tcBorders>
            <w:shd w:val="clear" w:color="auto" w:fill="auto"/>
            <w:noWrap/>
            <w:vAlign w:val="bottom"/>
            <w:hideMark/>
          </w:tcPr>
          <w:p w14:paraId="40F3CCE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640953D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851 </w:t>
            </w:r>
          </w:p>
        </w:tc>
        <w:tc>
          <w:tcPr>
            <w:tcW w:w="156" w:type="dxa"/>
            <w:tcBorders>
              <w:top w:val="nil"/>
              <w:left w:val="nil"/>
              <w:bottom w:val="nil"/>
              <w:right w:val="nil"/>
            </w:tcBorders>
            <w:shd w:val="clear" w:color="auto" w:fill="auto"/>
            <w:noWrap/>
            <w:vAlign w:val="bottom"/>
            <w:hideMark/>
          </w:tcPr>
          <w:p w14:paraId="54E37F8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36A159D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5,189 </w:t>
            </w:r>
          </w:p>
        </w:tc>
        <w:tc>
          <w:tcPr>
            <w:tcW w:w="100" w:type="dxa"/>
            <w:tcBorders>
              <w:top w:val="nil"/>
              <w:left w:val="nil"/>
              <w:bottom w:val="nil"/>
              <w:right w:val="nil"/>
            </w:tcBorders>
            <w:shd w:val="clear" w:color="auto" w:fill="auto"/>
            <w:noWrap/>
            <w:vAlign w:val="bottom"/>
            <w:hideMark/>
          </w:tcPr>
          <w:p w14:paraId="6700F64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2AF50C30"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5,289 </w:t>
            </w:r>
          </w:p>
        </w:tc>
      </w:tr>
      <w:tr w:rsidR="008E51EC" w:rsidRPr="008E51EC" w14:paraId="736EBA92" w14:textId="77777777" w:rsidTr="007B1BF6">
        <w:trPr>
          <w:trHeight w:val="300"/>
        </w:trPr>
        <w:tc>
          <w:tcPr>
            <w:tcW w:w="3180" w:type="dxa"/>
            <w:tcBorders>
              <w:top w:val="nil"/>
              <w:left w:val="nil"/>
              <w:bottom w:val="nil"/>
              <w:right w:val="nil"/>
            </w:tcBorders>
            <w:shd w:val="clear" w:color="auto" w:fill="auto"/>
            <w:noWrap/>
            <w:vAlign w:val="bottom"/>
            <w:hideMark/>
          </w:tcPr>
          <w:p w14:paraId="0055A23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Net income (loss)</w:t>
            </w:r>
          </w:p>
        </w:tc>
        <w:tc>
          <w:tcPr>
            <w:tcW w:w="1080" w:type="dxa"/>
            <w:tcBorders>
              <w:top w:val="nil"/>
              <w:left w:val="nil"/>
              <w:bottom w:val="single" w:sz="8" w:space="0" w:color="auto"/>
              <w:right w:val="nil"/>
            </w:tcBorders>
            <w:shd w:val="clear" w:color="auto" w:fill="auto"/>
            <w:noWrap/>
            <w:vAlign w:val="bottom"/>
            <w:hideMark/>
          </w:tcPr>
          <w:p w14:paraId="703D192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4,965 </w:t>
            </w:r>
          </w:p>
        </w:tc>
        <w:tc>
          <w:tcPr>
            <w:tcW w:w="100" w:type="dxa"/>
            <w:tcBorders>
              <w:top w:val="nil"/>
              <w:left w:val="nil"/>
              <w:bottom w:val="nil"/>
              <w:right w:val="nil"/>
            </w:tcBorders>
            <w:shd w:val="clear" w:color="auto" w:fill="auto"/>
            <w:noWrap/>
            <w:vAlign w:val="bottom"/>
            <w:hideMark/>
          </w:tcPr>
          <w:p w14:paraId="72FAF31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204BABD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(492)</w:t>
            </w:r>
          </w:p>
        </w:tc>
        <w:tc>
          <w:tcPr>
            <w:tcW w:w="156" w:type="dxa"/>
            <w:tcBorders>
              <w:top w:val="nil"/>
              <w:left w:val="nil"/>
              <w:bottom w:val="nil"/>
              <w:right w:val="nil"/>
            </w:tcBorders>
            <w:shd w:val="clear" w:color="auto" w:fill="auto"/>
            <w:noWrap/>
            <w:vAlign w:val="bottom"/>
            <w:hideMark/>
          </w:tcPr>
          <w:p w14:paraId="120B464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55939AA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21,863 </w:t>
            </w:r>
          </w:p>
        </w:tc>
        <w:tc>
          <w:tcPr>
            <w:tcW w:w="100" w:type="dxa"/>
            <w:tcBorders>
              <w:top w:val="nil"/>
              <w:left w:val="nil"/>
              <w:bottom w:val="nil"/>
              <w:right w:val="nil"/>
            </w:tcBorders>
            <w:shd w:val="clear" w:color="auto" w:fill="auto"/>
            <w:noWrap/>
            <w:vAlign w:val="bottom"/>
            <w:hideMark/>
          </w:tcPr>
          <w:p w14:paraId="1AA0235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0C78054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$16,978 </w:t>
            </w:r>
          </w:p>
        </w:tc>
      </w:tr>
      <w:tr w:rsidR="008E51EC" w:rsidRPr="008E51EC" w14:paraId="6481671B" w14:textId="77777777" w:rsidTr="007B1BF6">
        <w:trPr>
          <w:trHeight w:val="285"/>
        </w:trPr>
        <w:tc>
          <w:tcPr>
            <w:tcW w:w="3180" w:type="dxa"/>
            <w:tcBorders>
              <w:top w:val="nil"/>
              <w:left w:val="nil"/>
              <w:bottom w:val="nil"/>
              <w:right w:val="nil"/>
            </w:tcBorders>
            <w:shd w:val="clear" w:color="auto" w:fill="auto"/>
            <w:noWrap/>
            <w:vAlign w:val="bottom"/>
            <w:hideMark/>
          </w:tcPr>
          <w:p w14:paraId="79F86E1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4AA38C45" w14:textId="77777777" w:rsidR="008E51EC" w:rsidRPr="008E51EC" w:rsidRDefault="008E51EC" w:rsidP="008E51EC">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7F4903E9" w14:textId="77777777" w:rsidR="008E51EC" w:rsidRPr="008E51EC" w:rsidRDefault="008E51EC" w:rsidP="008E51EC">
            <w:pPr>
              <w:spacing w:after="0" w:line="240" w:lineRule="auto"/>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F280179"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2CCD544D"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C27E38A"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1510F9C"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center"/>
            <w:hideMark/>
          </w:tcPr>
          <w:p w14:paraId="1DD08B6C" w14:textId="77777777" w:rsidR="008E51EC" w:rsidRPr="008E51EC" w:rsidRDefault="008E51EC" w:rsidP="008E51EC">
            <w:pPr>
              <w:spacing w:after="0" w:line="240" w:lineRule="auto"/>
              <w:jc w:val="right"/>
              <w:rPr>
                <w:rFonts w:ascii="Times New Roman" w:eastAsia="Times New Roman" w:hAnsi="Times New Roman"/>
                <w:sz w:val="20"/>
                <w:szCs w:val="20"/>
              </w:rPr>
            </w:pPr>
          </w:p>
        </w:tc>
      </w:tr>
      <w:tr w:rsidR="008E51EC" w:rsidRPr="008E51EC" w14:paraId="6DE31EE2" w14:textId="77777777" w:rsidTr="007B1BF6">
        <w:trPr>
          <w:trHeight w:val="285"/>
        </w:trPr>
        <w:tc>
          <w:tcPr>
            <w:tcW w:w="3180" w:type="dxa"/>
            <w:tcBorders>
              <w:top w:val="nil"/>
              <w:left w:val="nil"/>
              <w:bottom w:val="nil"/>
              <w:right w:val="nil"/>
            </w:tcBorders>
            <w:shd w:val="clear" w:color="auto" w:fill="auto"/>
            <w:noWrap/>
            <w:vAlign w:val="bottom"/>
            <w:hideMark/>
          </w:tcPr>
          <w:p w14:paraId="535D56FA"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Earnings (loss) per share:</w:t>
            </w:r>
          </w:p>
        </w:tc>
        <w:tc>
          <w:tcPr>
            <w:tcW w:w="1080" w:type="dxa"/>
            <w:tcBorders>
              <w:top w:val="nil"/>
              <w:left w:val="nil"/>
              <w:bottom w:val="nil"/>
              <w:right w:val="nil"/>
            </w:tcBorders>
            <w:shd w:val="clear" w:color="auto" w:fill="auto"/>
            <w:noWrap/>
            <w:vAlign w:val="bottom"/>
            <w:hideMark/>
          </w:tcPr>
          <w:p w14:paraId="3EDEA703"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7EB9F108" w14:textId="77777777" w:rsidR="008E51EC" w:rsidRPr="008E51EC" w:rsidRDefault="008E51EC" w:rsidP="008E51EC">
            <w:pPr>
              <w:spacing w:after="0" w:line="240" w:lineRule="auto"/>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E60C308"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2126DEF4"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B43F055"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867E7D7"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center"/>
            <w:hideMark/>
          </w:tcPr>
          <w:p w14:paraId="3535D96E" w14:textId="77777777" w:rsidR="008E51EC" w:rsidRPr="008E51EC" w:rsidRDefault="008E51EC" w:rsidP="008E51EC">
            <w:pPr>
              <w:spacing w:after="0" w:line="240" w:lineRule="auto"/>
              <w:jc w:val="right"/>
              <w:rPr>
                <w:rFonts w:ascii="Times New Roman" w:eastAsia="Times New Roman" w:hAnsi="Times New Roman"/>
                <w:sz w:val="20"/>
                <w:szCs w:val="20"/>
              </w:rPr>
            </w:pPr>
          </w:p>
        </w:tc>
      </w:tr>
      <w:tr w:rsidR="008E51EC" w:rsidRPr="008E51EC" w14:paraId="528EA01B" w14:textId="77777777" w:rsidTr="007B1BF6">
        <w:trPr>
          <w:trHeight w:val="285"/>
        </w:trPr>
        <w:tc>
          <w:tcPr>
            <w:tcW w:w="3180" w:type="dxa"/>
            <w:tcBorders>
              <w:top w:val="nil"/>
              <w:left w:val="nil"/>
              <w:bottom w:val="nil"/>
              <w:right w:val="nil"/>
            </w:tcBorders>
            <w:shd w:val="clear" w:color="auto" w:fill="auto"/>
            <w:noWrap/>
            <w:vAlign w:val="bottom"/>
            <w:hideMark/>
          </w:tcPr>
          <w:p w14:paraId="3D24C0B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4601BC4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0.59 </w:t>
            </w:r>
          </w:p>
        </w:tc>
        <w:tc>
          <w:tcPr>
            <w:tcW w:w="100" w:type="dxa"/>
            <w:tcBorders>
              <w:top w:val="nil"/>
              <w:left w:val="nil"/>
              <w:bottom w:val="nil"/>
              <w:right w:val="nil"/>
            </w:tcBorders>
            <w:shd w:val="clear" w:color="auto" w:fill="auto"/>
            <w:noWrap/>
            <w:vAlign w:val="bottom"/>
            <w:hideMark/>
          </w:tcPr>
          <w:p w14:paraId="4BA1493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583614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(0.06)</w:t>
            </w:r>
          </w:p>
        </w:tc>
        <w:tc>
          <w:tcPr>
            <w:tcW w:w="156" w:type="dxa"/>
            <w:tcBorders>
              <w:top w:val="nil"/>
              <w:left w:val="nil"/>
              <w:bottom w:val="nil"/>
              <w:right w:val="nil"/>
            </w:tcBorders>
            <w:shd w:val="clear" w:color="auto" w:fill="auto"/>
            <w:noWrap/>
            <w:vAlign w:val="bottom"/>
            <w:hideMark/>
          </w:tcPr>
          <w:p w14:paraId="1C37E2D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707451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2.61 </w:t>
            </w:r>
          </w:p>
        </w:tc>
        <w:tc>
          <w:tcPr>
            <w:tcW w:w="100" w:type="dxa"/>
            <w:tcBorders>
              <w:top w:val="nil"/>
              <w:left w:val="nil"/>
              <w:bottom w:val="nil"/>
              <w:right w:val="nil"/>
            </w:tcBorders>
            <w:shd w:val="clear" w:color="auto" w:fill="auto"/>
            <w:noWrap/>
            <w:vAlign w:val="bottom"/>
            <w:hideMark/>
          </w:tcPr>
          <w:p w14:paraId="5CF1CF5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center"/>
            <w:hideMark/>
          </w:tcPr>
          <w:p w14:paraId="43ACADA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2.02 </w:t>
            </w:r>
          </w:p>
        </w:tc>
      </w:tr>
      <w:tr w:rsidR="008E51EC" w:rsidRPr="008E51EC" w14:paraId="146096E6" w14:textId="77777777" w:rsidTr="007B1BF6">
        <w:trPr>
          <w:trHeight w:val="285"/>
        </w:trPr>
        <w:tc>
          <w:tcPr>
            <w:tcW w:w="3180" w:type="dxa"/>
            <w:tcBorders>
              <w:top w:val="nil"/>
              <w:left w:val="nil"/>
              <w:bottom w:val="nil"/>
              <w:right w:val="nil"/>
            </w:tcBorders>
            <w:shd w:val="clear" w:color="auto" w:fill="auto"/>
            <w:noWrap/>
            <w:vAlign w:val="bottom"/>
            <w:hideMark/>
          </w:tcPr>
          <w:p w14:paraId="44A10DB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7198F50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0.59 </w:t>
            </w:r>
          </w:p>
        </w:tc>
        <w:tc>
          <w:tcPr>
            <w:tcW w:w="100" w:type="dxa"/>
            <w:tcBorders>
              <w:top w:val="nil"/>
              <w:left w:val="nil"/>
              <w:bottom w:val="nil"/>
              <w:right w:val="nil"/>
            </w:tcBorders>
            <w:shd w:val="clear" w:color="auto" w:fill="auto"/>
            <w:noWrap/>
            <w:vAlign w:val="bottom"/>
            <w:hideMark/>
          </w:tcPr>
          <w:p w14:paraId="13FC366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DBFDDD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(0.06)</w:t>
            </w:r>
          </w:p>
        </w:tc>
        <w:tc>
          <w:tcPr>
            <w:tcW w:w="156" w:type="dxa"/>
            <w:tcBorders>
              <w:top w:val="nil"/>
              <w:left w:val="nil"/>
              <w:bottom w:val="nil"/>
              <w:right w:val="nil"/>
            </w:tcBorders>
            <w:shd w:val="clear" w:color="auto" w:fill="auto"/>
            <w:noWrap/>
            <w:vAlign w:val="bottom"/>
            <w:hideMark/>
          </w:tcPr>
          <w:p w14:paraId="54AD70F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CD2BB7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2.58 </w:t>
            </w:r>
          </w:p>
        </w:tc>
        <w:tc>
          <w:tcPr>
            <w:tcW w:w="100" w:type="dxa"/>
            <w:tcBorders>
              <w:top w:val="nil"/>
              <w:left w:val="nil"/>
              <w:bottom w:val="nil"/>
              <w:right w:val="nil"/>
            </w:tcBorders>
            <w:shd w:val="clear" w:color="auto" w:fill="auto"/>
            <w:noWrap/>
            <w:vAlign w:val="bottom"/>
            <w:hideMark/>
          </w:tcPr>
          <w:p w14:paraId="5B6ED65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center"/>
            <w:hideMark/>
          </w:tcPr>
          <w:p w14:paraId="4621A91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2.00 </w:t>
            </w:r>
          </w:p>
        </w:tc>
      </w:tr>
      <w:tr w:rsidR="008E51EC" w:rsidRPr="008E51EC" w14:paraId="18D1CA22" w14:textId="77777777" w:rsidTr="007B1BF6">
        <w:trPr>
          <w:trHeight w:val="285"/>
        </w:trPr>
        <w:tc>
          <w:tcPr>
            <w:tcW w:w="4260" w:type="dxa"/>
            <w:gridSpan w:val="2"/>
            <w:tcBorders>
              <w:top w:val="nil"/>
              <w:left w:val="nil"/>
              <w:bottom w:val="nil"/>
              <w:right w:val="nil"/>
            </w:tcBorders>
            <w:shd w:val="clear" w:color="auto" w:fill="auto"/>
            <w:noWrap/>
            <w:vAlign w:val="bottom"/>
            <w:hideMark/>
          </w:tcPr>
          <w:p w14:paraId="5889AA3A"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Weighted average shares outstanding:</w:t>
            </w:r>
          </w:p>
        </w:tc>
        <w:tc>
          <w:tcPr>
            <w:tcW w:w="100" w:type="dxa"/>
            <w:tcBorders>
              <w:top w:val="nil"/>
              <w:left w:val="nil"/>
              <w:bottom w:val="nil"/>
              <w:right w:val="nil"/>
            </w:tcBorders>
            <w:shd w:val="clear" w:color="auto" w:fill="auto"/>
            <w:noWrap/>
            <w:vAlign w:val="bottom"/>
            <w:hideMark/>
          </w:tcPr>
          <w:p w14:paraId="34546783"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2513CA68"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0348CC01"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AC6FC23"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EC37FEA"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center"/>
            <w:hideMark/>
          </w:tcPr>
          <w:p w14:paraId="0D0F2381" w14:textId="77777777" w:rsidR="008E51EC" w:rsidRPr="008E51EC" w:rsidRDefault="008E51EC" w:rsidP="008E51EC">
            <w:pPr>
              <w:spacing w:after="0" w:line="240" w:lineRule="auto"/>
              <w:jc w:val="right"/>
              <w:rPr>
                <w:rFonts w:ascii="Times New Roman" w:eastAsia="Times New Roman" w:hAnsi="Times New Roman"/>
                <w:sz w:val="20"/>
                <w:szCs w:val="20"/>
              </w:rPr>
            </w:pPr>
          </w:p>
        </w:tc>
      </w:tr>
      <w:tr w:rsidR="008E51EC" w:rsidRPr="008E51EC" w14:paraId="1AC46EB1" w14:textId="77777777" w:rsidTr="007B1BF6">
        <w:trPr>
          <w:trHeight w:val="285"/>
        </w:trPr>
        <w:tc>
          <w:tcPr>
            <w:tcW w:w="3180" w:type="dxa"/>
            <w:tcBorders>
              <w:top w:val="nil"/>
              <w:left w:val="nil"/>
              <w:bottom w:val="nil"/>
              <w:right w:val="nil"/>
            </w:tcBorders>
            <w:shd w:val="clear" w:color="auto" w:fill="auto"/>
            <w:noWrap/>
            <w:vAlign w:val="bottom"/>
            <w:hideMark/>
          </w:tcPr>
          <w:p w14:paraId="43442BA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294B937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8,345 </w:t>
            </w:r>
          </w:p>
        </w:tc>
        <w:tc>
          <w:tcPr>
            <w:tcW w:w="100" w:type="dxa"/>
            <w:tcBorders>
              <w:top w:val="nil"/>
              <w:left w:val="nil"/>
              <w:bottom w:val="nil"/>
              <w:right w:val="nil"/>
            </w:tcBorders>
            <w:shd w:val="clear" w:color="auto" w:fill="auto"/>
            <w:noWrap/>
            <w:vAlign w:val="bottom"/>
            <w:hideMark/>
          </w:tcPr>
          <w:p w14:paraId="53640D7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066AADC"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8,388 </w:t>
            </w:r>
          </w:p>
        </w:tc>
        <w:tc>
          <w:tcPr>
            <w:tcW w:w="156" w:type="dxa"/>
            <w:tcBorders>
              <w:top w:val="nil"/>
              <w:left w:val="nil"/>
              <w:bottom w:val="nil"/>
              <w:right w:val="nil"/>
            </w:tcBorders>
            <w:shd w:val="clear" w:color="auto" w:fill="auto"/>
            <w:noWrap/>
            <w:vAlign w:val="bottom"/>
            <w:hideMark/>
          </w:tcPr>
          <w:p w14:paraId="3DB59F1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BA47DF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8,375 </w:t>
            </w:r>
          </w:p>
        </w:tc>
        <w:tc>
          <w:tcPr>
            <w:tcW w:w="100" w:type="dxa"/>
            <w:tcBorders>
              <w:top w:val="nil"/>
              <w:left w:val="nil"/>
              <w:bottom w:val="nil"/>
              <w:right w:val="nil"/>
            </w:tcBorders>
            <w:shd w:val="clear" w:color="auto" w:fill="auto"/>
            <w:noWrap/>
            <w:vAlign w:val="bottom"/>
            <w:hideMark/>
          </w:tcPr>
          <w:p w14:paraId="7081FD7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5E5C50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8,396 </w:t>
            </w:r>
          </w:p>
        </w:tc>
      </w:tr>
      <w:tr w:rsidR="008E51EC" w:rsidRPr="008E51EC" w14:paraId="1F20E889" w14:textId="77777777" w:rsidTr="007B1BF6">
        <w:trPr>
          <w:trHeight w:val="285"/>
        </w:trPr>
        <w:tc>
          <w:tcPr>
            <w:tcW w:w="3180" w:type="dxa"/>
            <w:tcBorders>
              <w:top w:val="nil"/>
              <w:left w:val="nil"/>
              <w:bottom w:val="nil"/>
              <w:right w:val="nil"/>
            </w:tcBorders>
            <w:shd w:val="clear" w:color="auto" w:fill="auto"/>
            <w:noWrap/>
            <w:vAlign w:val="bottom"/>
            <w:hideMark/>
          </w:tcPr>
          <w:p w14:paraId="7CD74B4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6A6FA78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8,442 </w:t>
            </w:r>
          </w:p>
        </w:tc>
        <w:tc>
          <w:tcPr>
            <w:tcW w:w="100" w:type="dxa"/>
            <w:tcBorders>
              <w:top w:val="nil"/>
              <w:left w:val="nil"/>
              <w:bottom w:val="nil"/>
              <w:right w:val="nil"/>
            </w:tcBorders>
            <w:shd w:val="clear" w:color="auto" w:fill="auto"/>
            <w:noWrap/>
            <w:vAlign w:val="bottom"/>
            <w:hideMark/>
          </w:tcPr>
          <w:p w14:paraId="5879C91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3237CC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8,388 </w:t>
            </w:r>
          </w:p>
        </w:tc>
        <w:tc>
          <w:tcPr>
            <w:tcW w:w="156" w:type="dxa"/>
            <w:tcBorders>
              <w:top w:val="nil"/>
              <w:left w:val="nil"/>
              <w:bottom w:val="nil"/>
              <w:right w:val="nil"/>
            </w:tcBorders>
            <w:shd w:val="clear" w:color="auto" w:fill="auto"/>
            <w:noWrap/>
            <w:vAlign w:val="bottom"/>
            <w:hideMark/>
          </w:tcPr>
          <w:p w14:paraId="13768B7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5D18F1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8,470 </w:t>
            </w:r>
          </w:p>
        </w:tc>
        <w:tc>
          <w:tcPr>
            <w:tcW w:w="100" w:type="dxa"/>
            <w:tcBorders>
              <w:top w:val="nil"/>
              <w:left w:val="nil"/>
              <w:bottom w:val="nil"/>
              <w:right w:val="nil"/>
            </w:tcBorders>
            <w:shd w:val="clear" w:color="auto" w:fill="auto"/>
            <w:noWrap/>
            <w:vAlign w:val="bottom"/>
            <w:hideMark/>
          </w:tcPr>
          <w:p w14:paraId="136BB2B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5B4AB6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8,506 </w:t>
            </w:r>
          </w:p>
        </w:tc>
      </w:tr>
      <w:tr w:rsidR="008E51EC" w:rsidRPr="008E51EC" w14:paraId="4B15DACE" w14:textId="77777777" w:rsidTr="007B1BF6">
        <w:trPr>
          <w:trHeight w:val="570"/>
        </w:trPr>
        <w:tc>
          <w:tcPr>
            <w:tcW w:w="3180" w:type="dxa"/>
            <w:tcBorders>
              <w:top w:val="nil"/>
              <w:left w:val="nil"/>
              <w:bottom w:val="single" w:sz="4" w:space="0" w:color="auto"/>
              <w:right w:val="nil"/>
            </w:tcBorders>
            <w:shd w:val="clear" w:color="auto" w:fill="auto"/>
            <w:vAlign w:val="bottom"/>
            <w:hideMark/>
          </w:tcPr>
          <w:p w14:paraId="4C85A03E"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Cash dividends declared per</w:t>
            </w:r>
            <w:r w:rsidRPr="008E51EC">
              <w:rPr>
                <w:rFonts w:ascii="Segoe UI" w:eastAsia="Times New Roman" w:hAnsi="Segoe UI" w:cs="Segoe UI"/>
                <w:color w:val="666666"/>
                <w:sz w:val="20"/>
                <w:szCs w:val="20"/>
              </w:rPr>
              <w:br/>
              <w:t xml:space="preserve">   common share</w:t>
            </w:r>
          </w:p>
        </w:tc>
        <w:tc>
          <w:tcPr>
            <w:tcW w:w="1080" w:type="dxa"/>
            <w:tcBorders>
              <w:top w:val="nil"/>
              <w:left w:val="nil"/>
              <w:bottom w:val="single" w:sz="4" w:space="0" w:color="auto"/>
              <w:right w:val="nil"/>
            </w:tcBorders>
            <w:shd w:val="clear" w:color="auto" w:fill="auto"/>
            <w:noWrap/>
            <w:vAlign w:val="bottom"/>
            <w:hideMark/>
          </w:tcPr>
          <w:p w14:paraId="3D61478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0.23 </w:t>
            </w:r>
          </w:p>
        </w:tc>
        <w:tc>
          <w:tcPr>
            <w:tcW w:w="100" w:type="dxa"/>
            <w:tcBorders>
              <w:top w:val="nil"/>
              <w:left w:val="nil"/>
              <w:bottom w:val="single" w:sz="4" w:space="0" w:color="auto"/>
              <w:right w:val="nil"/>
            </w:tcBorders>
            <w:shd w:val="clear" w:color="auto" w:fill="auto"/>
            <w:noWrap/>
            <w:vAlign w:val="bottom"/>
            <w:hideMark/>
          </w:tcPr>
          <w:p w14:paraId="5801300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409C424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0.20 </w:t>
            </w:r>
          </w:p>
        </w:tc>
        <w:tc>
          <w:tcPr>
            <w:tcW w:w="156" w:type="dxa"/>
            <w:tcBorders>
              <w:top w:val="nil"/>
              <w:left w:val="nil"/>
              <w:bottom w:val="single" w:sz="4" w:space="0" w:color="auto"/>
              <w:right w:val="nil"/>
            </w:tcBorders>
            <w:shd w:val="clear" w:color="auto" w:fill="auto"/>
            <w:noWrap/>
            <w:vAlign w:val="bottom"/>
            <w:hideMark/>
          </w:tcPr>
          <w:p w14:paraId="45A861E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7C1DF1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0.92 </w:t>
            </w:r>
          </w:p>
        </w:tc>
        <w:tc>
          <w:tcPr>
            <w:tcW w:w="100" w:type="dxa"/>
            <w:tcBorders>
              <w:top w:val="nil"/>
              <w:left w:val="nil"/>
              <w:bottom w:val="single" w:sz="4" w:space="0" w:color="auto"/>
              <w:right w:val="nil"/>
            </w:tcBorders>
            <w:shd w:val="clear" w:color="auto" w:fill="auto"/>
            <w:noWrap/>
            <w:vAlign w:val="bottom"/>
            <w:hideMark/>
          </w:tcPr>
          <w:p w14:paraId="1399852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0396CBD2"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0.80 </w:t>
            </w:r>
          </w:p>
        </w:tc>
      </w:tr>
    </w:tbl>
    <w:p w14:paraId="66ADBB53" w14:textId="77777777" w:rsidR="0016352C" w:rsidRDefault="0016352C" w:rsidP="0016352C"/>
    <w:p w14:paraId="31F85743" w14:textId="77777777" w:rsidR="0016352C" w:rsidRDefault="0016352C" w:rsidP="0016352C">
      <w:r>
        <w:br w:type="page"/>
      </w:r>
    </w:p>
    <w:tbl>
      <w:tblPr>
        <w:tblW w:w="7636" w:type="dxa"/>
        <w:tblCellMar>
          <w:left w:w="0" w:type="dxa"/>
          <w:right w:w="0" w:type="dxa"/>
        </w:tblCellMar>
        <w:tblLook w:val="04A0" w:firstRow="1" w:lastRow="0" w:firstColumn="1" w:lastColumn="0" w:noHBand="0" w:noVBand="1"/>
      </w:tblPr>
      <w:tblGrid>
        <w:gridCol w:w="3196"/>
        <w:gridCol w:w="1096"/>
        <w:gridCol w:w="116"/>
        <w:gridCol w:w="936"/>
        <w:gridCol w:w="172"/>
        <w:gridCol w:w="1196"/>
        <w:gridCol w:w="116"/>
        <w:gridCol w:w="936"/>
      </w:tblGrid>
      <w:tr w:rsidR="008E51EC" w:rsidRPr="008E51EC" w14:paraId="36B96F06" w14:textId="77777777" w:rsidTr="007B1BF6">
        <w:trPr>
          <w:trHeight w:val="285"/>
        </w:trPr>
        <w:tc>
          <w:tcPr>
            <w:tcW w:w="3180" w:type="dxa"/>
            <w:tcBorders>
              <w:top w:val="nil"/>
              <w:left w:val="nil"/>
              <w:bottom w:val="nil"/>
              <w:right w:val="nil"/>
            </w:tcBorders>
            <w:shd w:val="clear" w:color="auto" w:fill="auto"/>
            <w:noWrap/>
            <w:vAlign w:val="bottom"/>
            <w:hideMark/>
          </w:tcPr>
          <w:p w14:paraId="42040AAD"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lastRenderedPageBreak/>
              <w:t>MICROSOFT CORPORATION</w:t>
            </w:r>
          </w:p>
        </w:tc>
        <w:tc>
          <w:tcPr>
            <w:tcW w:w="1080" w:type="dxa"/>
            <w:tcBorders>
              <w:top w:val="nil"/>
              <w:left w:val="nil"/>
              <w:bottom w:val="nil"/>
              <w:right w:val="nil"/>
            </w:tcBorders>
            <w:shd w:val="clear" w:color="auto" w:fill="auto"/>
            <w:noWrap/>
            <w:vAlign w:val="bottom"/>
            <w:hideMark/>
          </w:tcPr>
          <w:p w14:paraId="301A7859"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0287BE96"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CA72236" w14:textId="77777777" w:rsidR="008E51EC" w:rsidRPr="008E51EC" w:rsidRDefault="008E51EC" w:rsidP="008E51EC">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22D8416C"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D528182" w14:textId="77777777" w:rsidR="008E51EC" w:rsidRPr="008E51EC" w:rsidRDefault="008E51EC" w:rsidP="008E51EC">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413F37AF"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1481E26"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0D332EF0" w14:textId="77777777" w:rsidTr="007B1BF6">
        <w:trPr>
          <w:trHeight w:val="285"/>
        </w:trPr>
        <w:tc>
          <w:tcPr>
            <w:tcW w:w="3180" w:type="dxa"/>
            <w:tcBorders>
              <w:top w:val="nil"/>
              <w:left w:val="nil"/>
              <w:bottom w:val="nil"/>
              <w:right w:val="nil"/>
            </w:tcBorders>
            <w:shd w:val="clear" w:color="auto" w:fill="auto"/>
            <w:noWrap/>
            <w:vAlign w:val="bottom"/>
            <w:hideMark/>
          </w:tcPr>
          <w:p w14:paraId="02E4FD25"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5D01E41" w14:textId="77777777" w:rsidR="008E51EC" w:rsidRPr="008E51EC" w:rsidRDefault="008E51EC" w:rsidP="008E51EC">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C2564BB"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01961E7F" w14:textId="77777777" w:rsidR="008E51EC" w:rsidRPr="008E51EC" w:rsidRDefault="008E51EC" w:rsidP="008E51EC">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771CA954"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198E864" w14:textId="77777777" w:rsidR="008E51EC" w:rsidRPr="008E51EC" w:rsidRDefault="008E51EC" w:rsidP="008E51EC">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2180080"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6DD7DC81"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2FAD8EFB" w14:textId="77777777" w:rsidTr="007B1BF6">
        <w:trPr>
          <w:trHeight w:val="285"/>
        </w:trPr>
        <w:tc>
          <w:tcPr>
            <w:tcW w:w="7636" w:type="dxa"/>
            <w:gridSpan w:val="8"/>
            <w:tcBorders>
              <w:top w:val="nil"/>
              <w:left w:val="nil"/>
              <w:bottom w:val="nil"/>
              <w:right w:val="nil"/>
            </w:tcBorders>
            <w:shd w:val="clear" w:color="auto" w:fill="auto"/>
            <w:noWrap/>
            <w:vAlign w:val="bottom"/>
            <w:hideMark/>
          </w:tcPr>
          <w:p w14:paraId="7F9C7125"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COMPREHENSIVE INCOME STATEMENTS</w:t>
            </w:r>
          </w:p>
        </w:tc>
      </w:tr>
      <w:tr w:rsidR="008E51EC" w:rsidRPr="008E51EC" w14:paraId="79789B44" w14:textId="77777777" w:rsidTr="007B1BF6">
        <w:trPr>
          <w:trHeight w:val="285"/>
        </w:trPr>
        <w:tc>
          <w:tcPr>
            <w:tcW w:w="7636" w:type="dxa"/>
            <w:gridSpan w:val="8"/>
            <w:tcBorders>
              <w:top w:val="nil"/>
              <w:left w:val="nil"/>
              <w:bottom w:val="nil"/>
              <w:right w:val="nil"/>
            </w:tcBorders>
            <w:shd w:val="clear" w:color="auto" w:fill="auto"/>
            <w:noWrap/>
            <w:vAlign w:val="bottom"/>
            <w:hideMark/>
          </w:tcPr>
          <w:p w14:paraId="3052F473"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(In millions)(Unaudited)</w:t>
            </w:r>
          </w:p>
        </w:tc>
      </w:tr>
      <w:tr w:rsidR="008E51EC" w:rsidRPr="008E51EC" w14:paraId="1AE5F735" w14:textId="77777777" w:rsidTr="007B1BF6">
        <w:trPr>
          <w:trHeight w:val="285"/>
        </w:trPr>
        <w:tc>
          <w:tcPr>
            <w:tcW w:w="3180" w:type="dxa"/>
            <w:tcBorders>
              <w:top w:val="nil"/>
              <w:left w:val="nil"/>
              <w:bottom w:val="nil"/>
              <w:right w:val="nil"/>
            </w:tcBorders>
            <w:shd w:val="clear" w:color="auto" w:fill="auto"/>
            <w:noWrap/>
            <w:vAlign w:val="bottom"/>
            <w:hideMark/>
          </w:tcPr>
          <w:p w14:paraId="22E98873"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74246A48"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40E4970"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3241C24"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3B584B5F"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550617D"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7B8DA6B"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9A004D3" w14:textId="77777777" w:rsidR="008E51EC" w:rsidRPr="008E51EC" w:rsidRDefault="008E51EC" w:rsidP="008E51EC">
            <w:pPr>
              <w:spacing w:after="0" w:line="240" w:lineRule="auto"/>
              <w:jc w:val="center"/>
              <w:rPr>
                <w:rFonts w:ascii="Times New Roman" w:eastAsia="Times New Roman" w:hAnsi="Times New Roman"/>
                <w:sz w:val="20"/>
                <w:szCs w:val="20"/>
              </w:rPr>
            </w:pPr>
          </w:p>
        </w:tc>
      </w:tr>
      <w:tr w:rsidR="008E51EC" w:rsidRPr="008E51EC" w14:paraId="4E1A4592" w14:textId="77777777" w:rsidTr="007B1BF6">
        <w:trPr>
          <w:trHeight w:val="285"/>
        </w:trPr>
        <w:tc>
          <w:tcPr>
            <w:tcW w:w="3180" w:type="dxa"/>
            <w:tcBorders>
              <w:top w:val="nil"/>
              <w:left w:val="nil"/>
              <w:bottom w:val="nil"/>
              <w:right w:val="nil"/>
            </w:tcBorders>
            <w:shd w:val="clear" w:color="auto" w:fill="auto"/>
            <w:noWrap/>
            <w:vAlign w:val="bottom"/>
            <w:hideMark/>
          </w:tcPr>
          <w:p w14:paraId="03497CF5"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2100" w:type="dxa"/>
            <w:gridSpan w:val="3"/>
            <w:vMerge w:val="restart"/>
            <w:tcBorders>
              <w:top w:val="nil"/>
              <w:left w:val="nil"/>
              <w:bottom w:val="nil"/>
              <w:right w:val="nil"/>
            </w:tcBorders>
            <w:shd w:val="clear" w:color="auto" w:fill="auto"/>
            <w:vAlign w:val="bottom"/>
            <w:hideMark/>
          </w:tcPr>
          <w:p w14:paraId="354B682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Three Months Ended June 30,</w:t>
            </w:r>
          </w:p>
        </w:tc>
        <w:tc>
          <w:tcPr>
            <w:tcW w:w="156" w:type="dxa"/>
            <w:tcBorders>
              <w:top w:val="nil"/>
              <w:left w:val="nil"/>
              <w:bottom w:val="nil"/>
              <w:right w:val="nil"/>
            </w:tcBorders>
            <w:shd w:val="clear" w:color="auto" w:fill="auto"/>
            <w:vAlign w:val="bottom"/>
            <w:hideMark/>
          </w:tcPr>
          <w:p w14:paraId="28E8171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2200" w:type="dxa"/>
            <w:gridSpan w:val="3"/>
            <w:vMerge w:val="restart"/>
            <w:tcBorders>
              <w:top w:val="nil"/>
              <w:left w:val="nil"/>
              <w:bottom w:val="nil"/>
              <w:right w:val="nil"/>
            </w:tcBorders>
            <w:shd w:val="clear" w:color="auto" w:fill="auto"/>
            <w:vAlign w:val="bottom"/>
            <w:hideMark/>
          </w:tcPr>
          <w:p w14:paraId="6AC9785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Twelve Months Ended June 30,</w:t>
            </w:r>
          </w:p>
        </w:tc>
      </w:tr>
      <w:tr w:rsidR="008E51EC" w:rsidRPr="008E51EC" w14:paraId="20CE0BD1" w14:textId="77777777" w:rsidTr="007B1BF6">
        <w:trPr>
          <w:trHeight w:val="285"/>
        </w:trPr>
        <w:tc>
          <w:tcPr>
            <w:tcW w:w="3180" w:type="dxa"/>
            <w:tcBorders>
              <w:top w:val="nil"/>
              <w:left w:val="nil"/>
              <w:bottom w:val="nil"/>
              <w:right w:val="nil"/>
            </w:tcBorders>
            <w:shd w:val="clear" w:color="auto" w:fill="auto"/>
            <w:noWrap/>
            <w:vAlign w:val="bottom"/>
            <w:hideMark/>
          </w:tcPr>
          <w:p w14:paraId="60EBD31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2100" w:type="dxa"/>
            <w:gridSpan w:val="3"/>
            <w:vMerge/>
            <w:tcBorders>
              <w:top w:val="nil"/>
              <w:left w:val="nil"/>
              <w:bottom w:val="nil"/>
              <w:right w:val="nil"/>
            </w:tcBorders>
            <w:vAlign w:val="center"/>
            <w:hideMark/>
          </w:tcPr>
          <w:p w14:paraId="520D3BFE"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156" w:type="dxa"/>
            <w:tcBorders>
              <w:top w:val="nil"/>
              <w:left w:val="nil"/>
              <w:bottom w:val="nil"/>
              <w:right w:val="nil"/>
            </w:tcBorders>
            <w:shd w:val="clear" w:color="auto" w:fill="auto"/>
            <w:vAlign w:val="bottom"/>
            <w:hideMark/>
          </w:tcPr>
          <w:p w14:paraId="60C37309" w14:textId="77777777" w:rsidR="008E51EC" w:rsidRPr="008E51EC" w:rsidRDefault="008E51EC" w:rsidP="008E51EC">
            <w:pPr>
              <w:spacing w:after="0" w:line="240" w:lineRule="auto"/>
              <w:rPr>
                <w:rFonts w:ascii="Times New Roman" w:eastAsia="Times New Roman" w:hAnsi="Times New Roman"/>
                <w:sz w:val="20"/>
                <w:szCs w:val="20"/>
              </w:rPr>
            </w:pPr>
          </w:p>
        </w:tc>
        <w:tc>
          <w:tcPr>
            <w:tcW w:w="2200" w:type="dxa"/>
            <w:gridSpan w:val="3"/>
            <w:vMerge/>
            <w:tcBorders>
              <w:top w:val="nil"/>
              <w:left w:val="nil"/>
              <w:bottom w:val="nil"/>
              <w:right w:val="nil"/>
            </w:tcBorders>
            <w:vAlign w:val="center"/>
            <w:hideMark/>
          </w:tcPr>
          <w:p w14:paraId="45211276"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r>
      <w:tr w:rsidR="008E51EC" w:rsidRPr="008E51EC" w14:paraId="4D627351" w14:textId="77777777" w:rsidTr="007B1BF6">
        <w:trPr>
          <w:trHeight w:val="285"/>
        </w:trPr>
        <w:tc>
          <w:tcPr>
            <w:tcW w:w="3180" w:type="dxa"/>
            <w:tcBorders>
              <w:top w:val="nil"/>
              <w:left w:val="nil"/>
              <w:bottom w:val="single" w:sz="4" w:space="0" w:color="auto"/>
              <w:right w:val="nil"/>
            </w:tcBorders>
            <w:shd w:val="clear" w:color="auto" w:fill="auto"/>
            <w:noWrap/>
            <w:vAlign w:val="bottom"/>
            <w:hideMark/>
          </w:tcPr>
          <w:p w14:paraId="1BA80754"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182DD00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2013</w:t>
            </w:r>
          </w:p>
        </w:tc>
        <w:tc>
          <w:tcPr>
            <w:tcW w:w="100" w:type="dxa"/>
            <w:tcBorders>
              <w:top w:val="nil"/>
              <w:left w:val="nil"/>
              <w:bottom w:val="single" w:sz="4" w:space="0" w:color="auto"/>
              <w:right w:val="nil"/>
            </w:tcBorders>
            <w:shd w:val="clear" w:color="auto" w:fill="auto"/>
            <w:noWrap/>
            <w:vAlign w:val="bottom"/>
            <w:hideMark/>
          </w:tcPr>
          <w:p w14:paraId="30932E7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196B018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2012</w:t>
            </w:r>
          </w:p>
        </w:tc>
        <w:tc>
          <w:tcPr>
            <w:tcW w:w="156" w:type="dxa"/>
            <w:tcBorders>
              <w:top w:val="nil"/>
              <w:left w:val="nil"/>
              <w:bottom w:val="single" w:sz="4" w:space="0" w:color="auto"/>
              <w:right w:val="nil"/>
            </w:tcBorders>
            <w:shd w:val="clear" w:color="auto" w:fill="auto"/>
            <w:noWrap/>
            <w:vAlign w:val="bottom"/>
            <w:hideMark/>
          </w:tcPr>
          <w:p w14:paraId="3926272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7B9DDB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2013</w:t>
            </w:r>
          </w:p>
        </w:tc>
        <w:tc>
          <w:tcPr>
            <w:tcW w:w="100" w:type="dxa"/>
            <w:tcBorders>
              <w:top w:val="nil"/>
              <w:left w:val="nil"/>
              <w:bottom w:val="single" w:sz="4" w:space="0" w:color="auto"/>
              <w:right w:val="nil"/>
            </w:tcBorders>
            <w:shd w:val="clear" w:color="auto" w:fill="auto"/>
            <w:noWrap/>
            <w:vAlign w:val="bottom"/>
            <w:hideMark/>
          </w:tcPr>
          <w:p w14:paraId="007B6C5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19F7AAD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2012</w:t>
            </w:r>
          </w:p>
        </w:tc>
      </w:tr>
      <w:tr w:rsidR="008E51EC" w:rsidRPr="008E51EC" w14:paraId="70140977" w14:textId="77777777" w:rsidTr="007B1BF6">
        <w:trPr>
          <w:trHeight w:val="285"/>
        </w:trPr>
        <w:tc>
          <w:tcPr>
            <w:tcW w:w="3180" w:type="dxa"/>
            <w:tcBorders>
              <w:top w:val="nil"/>
              <w:left w:val="nil"/>
              <w:bottom w:val="nil"/>
              <w:right w:val="nil"/>
            </w:tcBorders>
            <w:shd w:val="clear" w:color="auto" w:fill="auto"/>
            <w:noWrap/>
            <w:vAlign w:val="bottom"/>
            <w:hideMark/>
          </w:tcPr>
          <w:p w14:paraId="54EED503"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Net income (loss)</w:t>
            </w:r>
          </w:p>
        </w:tc>
        <w:tc>
          <w:tcPr>
            <w:tcW w:w="1080" w:type="dxa"/>
            <w:tcBorders>
              <w:top w:val="nil"/>
              <w:left w:val="nil"/>
              <w:bottom w:val="nil"/>
              <w:right w:val="nil"/>
            </w:tcBorders>
            <w:shd w:val="clear" w:color="auto" w:fill="auto"/>
            <w:noWrap/>
            <w:vAlign w:val="bottom"/>
            <w:hideMark/>
          </w:tcPr>
          <w:p w14:paraId="696EA98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4,965 </w:t>
            </w:r>
          </w:p>
        </w:tc>
        <w:tc>
          <w:tcPr>
            <w:tcW w:w="100" w:type="dxa"/>
            <w:tcBorders>
              <w:top w:val="nil"/>
              <w:left w:val="nil"/>
              <w:bottom w:val="nil"/>
              <w:right w:val="nil"/>
            </w:tcBorders>
            <w:shd w:val="clear" w:color="auto" w:fill="auto"/>
            <w:noWrap/>
            <w:vAlign w:val="bottom"/>
            <w:hideMark/>
          </w:tcPr>
          <w:p w14:paraId="5569BCC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47B6B3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(492)</w:t>
            </w:r>
          </w:p>
        </w:tc>
        <w:tc>
          <w:tcPr>
            <w:tcW w:w="156" w:type="dxa"/>
            <w:tcBorders>
              <w:top w:val="nil"/>
              <w:left w:val="nil"/>
              <w:bottom w:val="nil"/>
              <w:right w:val="nil"/>
            </w:tcBorders>
            <w:shd w:val="clear" w:color="auto" w:fill="auto"/>
            <w:noWrap/>
            <w:vAlign w:val="bottom"/>
            <w:hideMark/>
          </w:tcPr>
          <w:p w14:paraId="1DCC154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9596D3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21,863 </w:t>
            </w:r>
          </w:p>
        </w:tc>
        <w:tc>
          <w:tcPr>
            <w:tcW w:w="100" w:type="dxa"/>
            <w:tcBorders>
              <w:top w:val="nil"/>
              <w:left w:val="nil"/>
              <w:bottom w:val="nil"/>
              <w:right w:val="nil"/>
            </w:tcBorders>
            <w:shd w:val="clear" w:color="auto" w:fill="auto"/>
            <w:noWrap/>
            <w:vAlign w:val="bottom"/>
            <w:hideMark/>
          </w:tcPr>
          <w:p w14:paraId="36C056D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BD11B6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$16,978 </w:t>
            </w:r>
          </w:p>
        </w:tc>
      </w:tr>
      <w:tr w:rsidR="008E51EC" w:rsidRPr="008E51EC" w14:paraId="35449C95" w14:textId="77777777" w:rsidTr="007B1BF6">
        <w:trPr>
          <w:trHeight w:val="285"/>
        </w:trPr>
        <w:tc>
          <w:tcPr>
            <w:tcW w:w="4260" w:type="dxa"/>
            <w:gridSpan w:val="2"/>
            <w:tcBorders>
              <w:top w:val="nil"/>
              <w:left w:val="nil"/>
              <w:bottom w:val="nil"/>
              <w:right w:val="nil"/>
            </w:tcBorders>
            <w:shd w:val="clear" w:color="auto" w:fill="auto"/>
            <w:noWrap/>
            <w:vAlign w:val="bottom"/>
            <w:hideMark/>
          </w:tcPr>
          <w:p w14:paraId="4BBC010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Other comprehensive income (loss):</w:t>
            </w:r>
          </w:p>
        </w:tc>
        <w:tc>
          <w:tcPr>
            <w:tcW w:w="100" w:type="dxa"/>
            <w:tcBorders>
              <w:top w:val="nil"/>
              <w:left w:val="nil"/>
              <w:bottom w:val="nil"/>
              <w:right w:val="nil"/>
            </w:tcBorders>
            <w:shd w:val="clear" w:color="auto" w:fill="auto"/>
            <w:noWrap/>
            <w:vAlign w:val="bottom"/>
            <w:hideMark/>
          </w:tcPr>
          <w:p w14:paraId="068071D7"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089C0818"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64EF4307"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9EB5A3B"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4F1587B"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9DC58BA" w14:textId="77777777" w:rsidR="008E51EC" w:rsidRPr="008E51EC" w:rsidRDefault="008E51EC" w:rsidP="008E51EC">
            <w:pPr>
              <w:spacing w:after="0" w:line="240" w:lineRule="auto"/>
              <w:jc w:val="right"/>
              <w:rPr>
                <w:rFonts w:ascii="Times New Roman" w:eastAsia="Times New Roman" w:hAnsi="Times New Roman"/>
                <w:sz w:val="20"/>
                <w:szCs w:val="20"/>
              </w:rPr>
            </w:pPr>
          </w:p>
        </w:tc>
      </w:tr>
      <w:tr w:rsidR="008E51EC" w:rsidRPr="008E51EC" w14:paraId="189240DC" w14:textId="77777777" w:rsidTr="007B1BF6">
        <w:trPr>
          <w:trHeight w:val="1140"/>
        </w:trPr>
        <w:tc>
          <w:tcPr>
            <w:tcW w:w="3180" w:type="dxa"/>
            <w:tcBorders>
              <w:top w:val="nil"/>
              <w:left w:val="nil"/>
              <w:bottom w:val="nil"/>
              <w:right w:val="nil"/>
            </w:tcBorders>
            <w:shd w:val="clear" w:color="auto" w:fill="auto"/>
            <w:vAlign w:val="bottom"/>
            <w:hideMark/>
          </w:tcPr>
          <w:p w14:paraId="2437BEC5" w14:textId="418A8D59" w:rsidR="008E51EC" w:rsidRPr="008E51EC" w:rsidRDefault="008E51EC" w:rsidP="00544D10">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Net unrealized gains (losses) on </w:t>
            </w:r>
            <w:r w:rsidRPr="008E51EC">
              <w:rPr>
                <w:rFonts w:ascii="Segoe UI" w:eastAsia="Times New Roman" w:hAnsi="Segoe UI" w:cs="Segoe UI"/>
                <w:color w:val="666666"/>
                <w:sz w:val="20"/>
                <w:szCs w:val="20"/>
              </w:rPr>
              <w:br/>
              <w:t xml:space="preserve">      derivatives (net of tax effects </w:t>
            </w:r>
            <w:r w:rsidRPr="008E51EC">
              <w:rPr>
                <w:rFonts w:ascii="Segoe UI" w:eastAsia="Times New Roman" w:hAnsi="Segoe UI" w:cs="Segoe UI"/>
                <w:color w:val="666666"/>
                <w:sz w:val="20"/>
                <w:szCs w:val="20"/>
              </w:rPr>
              <w:br/>
              <w:t xml:space="preserve">      of </w:t>
            </w:r>
            <w:r w:rsidRPr="008E51EC">
              <w:rPr>
                <w:rFonts w:ascii="Segoe UI" w:eastAsia="Times New Roman" w:hAnsi="Segoe UI" w:cs="Segoe UI"/>
                <w:b/>
                <w:bCs/>
                <w:color w:val="666666"/>
                <w:sz w:val="20"/>
                <w:szCs w:val="20"/>
              </w:rPr>
              <w:t>$(4)</w:t>
            </w:r>
            <w:r w:rsidR="00544D10">
              <w:rPr>
                <w:rFonts w:ascii="Segoe UI" w:eastAsia="Times New Roman" w:hAnsi="Segoe UI" w:cs="Segoe UI"/>
                <w:color w:val="666666"/>
                <w:sz w:val="20"/>
                <w:szCs w:val="20"/>
              </w:rPr>
              <w:t>, $</w:t>
            </w:r>
            <w:r w:rsidRPr="008E51EC">
              <w:rPr>
                <w:rFonts w:ascii="Segoe UI" w:eastAsia="Times New Roman" w:hAnsi="Segoe UI" w:cs="Segoe UI"/>
                <w:color w:val="666666"/>
                <w:sz w:val="20"/>
                <w:szCs w:val="20"/>
              </w:rPr>
              <w:t xml:space="preserve">34, </w:t>
            </w:r>
            <w:r w:rsidRPr="008E51EC">
              <w:rPr>
                <w:rFonts w:ascii="Segoe UI" w:eastAsia="Times New Roman" w:hAnsi="Segoe UI" w:cs="Segoe UI"/>
                <w:b/>
                <w:bCs/>
                <w:color w:val="666666"/>
                <w:sz w:val="20"/>
                <w:szCs w:val="20"/>
              </w:rPr>
              <w:t>$(14)</w:t>
            </w:r>
            <w:r w:rsidRPr="008E51EC">
              <w:rPr>
                <w:rFonts w:ascii="Segoe UI" w:eastAsia="Times New Roman" w:hAnsi="Segoe UI" w:cs="Segoe UI"/>
                <w:color w:val="666666"/>
                <w:sz w:val="20"/>
                <w:szCs w:val="20"/>
              </w:rPr>
              <w:t xml:space="preserve">, </w:t>
            </w:r>
            <w:r w:rsidRPr="008E51EC">
              <w:rPr>
                <w:rFonts w:ascii="Segoe UI" w:eastAsia="Times New Roman" w:hAnsi="Segoe UI" w:cs="Segoe UI"/>
                <w:color w:val="666666"/>
                <w:sz w:val="20"/>
                <w:szCs w:val="20"/>
              </w:rPr>
              <w:br/>
              <w:t xml:space="preserve">      and $137)</w:t>
            </w:r>
          </w:p>
        </w:tc>
        <w:tc>
          <w:tcPr>
            <w:tcW w:w="1080" w:type="dxa"/>
            <w:tcBorders>
              <w:top w:val="nil"/>
              <w:left w:val="nil"/>
              <w:bottom w:val="nil"/>
              <w:right w:val="nil"/>
            </w:tcBorders>
            <w:shd w:val="clear" w:color="auto" w:fill="auto"/>
            <w:noWrap/>
            <w:vAlign w:val="bottom"/>
            <w:hideMark/>
          </w:tcPr>
          <w:p w14:paraId="099E5FB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(7)</w:t>
            </w:r>
          </w:p>
        </w:tc>
        <w:tc>
          <w:tcPr>
            <w:tcW w:w="100" w:type="dxa"/>
            <w:tcBorders>
              <w:top w:val="nil"/>
              <w:left w:val="nil"/>
              <w:bottom w:val="nil"/>
              <w:right w:val="nil"/>
            </w:tcBorders>
            <w:shd w:val="clear" w:color="auto" w:fill="auto"/>
            <w:noWrap/>
            <w:vAlign w:val="bottom"/>
            <w:hideMark/>
          </w:tcPr>
          <w:p w14:paraId="1BCAA24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7C083D7" w14:textId="664BA363" w:rsidR="008E51EC" w:rsidRPr="008E51EC" w:rsidRDefault="008E51EC" w:rsidP="00544D10">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63</w:t>
            </w:r>
          </w:p>
        </w:tc>
        <w:tc>
          <w:tcPr>
            <w:tcW w:w="156" w:type="dxa"/>
            <w:tcBorders>
              <w:top w:val="nil"/>
              <w:left w:val="nil"/>
              <w:bottom w:val="nil"/>
              <w:right w:val="nil"/>
            </w:tcBorders>
            <w:shd w:val="clear" w:color="auto" w:fill="auto"/>
            <w:noWrap/>
            <w:vAlign w:val="bottom"/>
            <w:hideMark/>
          </w:tcPr>
          <w:p w14:paraId="3F8EA73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EB2008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(26)</w:t>
            </w:r>
          </w:p>
        </w:tc>
        <w:tc>
          <w:tcPr>
            <w:tcW w:w="100" w:type="dxa"/>
            <w:tcBorders>
              <w:top w:val="nil"/>
              <w:left w:val="nil"/>
              <w:bottom w:val="nil"/>
              <w:right w:val="nil"/>
            </w:tcBorders>
            <w:shd w:val="clear" w:color="auto" w:fill="auto"/>
            <w:noWrap/>
            <w:vAlign w:val="bottom"/>
            <w:hideMark/>
          </w:tcPr>
          <w:p w14:paraId="6DCC596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38E63A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255 </w:t>
            </w:r>
          </w:p>
        </w:tc>
      </w:tr>
      <w:tr w:rsidR="008E51EC" w:rsidRPr="008E51EC" w14:paraId="0C8CC395" w14:textId="77777777" w:rsidTr="007B1BF6">
        <w:trPr>
          <w:trHeight w:val="1140"/>
        </w:trPr>
        <w:tc>
          <w:tcPr>
            <w:tcW w:w="3180" w:type="dxa"/>
            <w:tcBorders>
              <w:top w:val="nil"/>
              <w:left w:val="nil"/>
              <w:bottom w:val="nil"/>
              <w:right w:val="nil"/>
            </w:tcBorders>
            <w:shd w:val="clear" w:color="auto" w:fill="auto"/>
            <w:vAlign w:val="bottom"/>
            <w:hideMark/>
          </w:tcPr>
          <w:p w14:paraId="3DCEF211" w14:textId="22A37DE1" w:rsidR="008E51EC" w:rsidRPr="008E51EC" w:rsidRDefault="008E51EC" w:rsidP="00544D10">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Net unrealized gains (losses) on </w:t>
            </w:r>
            <w:r w:rsidRPr="008E51EC">
              <w:rPr>
                <w:rFonts w:ascii="Segoe UI" w:eastAsia="Times New Roman" w:hAnsi="Segoe UI" w:cs="Segoe UI"/>
                <w:color w:val="666666"/>
                <w:sz w:val="20"/>
                <w:szCs w:val="20"/>
              </w:rPr>
              <w:br/>
              <w:t xml:space="preserve">      investments (net of tax </w:t>
            </w:r>
            <w:r w:rsidRPr="008E51EC">
              <w:rPr>
                <w:rFonts w:ascii="Segoe UI" w:eastAsia="Times New Roman" w:hAnsi="Segoe UI" w:cs="Segoe UI"/>
                <w:color w:val="666666"/>
                <w:sz w:val="20"/>
                <w:szCs w:val="20"/>
              </w:rPr>
              <w:br/>
              <w:t xml:space="preserve">      effects of </w:t>
            </w:r>
            <w:r w:rsidRPr="008E51EC">
              <w:rPr>
                <w:rFonts w:ascii="Segoe UI" w:eastAsia="Times New Roman" w:hAnsi="Segoe UI" w:cs="Segoe UI"/>
                <w:b/>
                <w:bCs/>
                <w:color w:val="666666"/>
                <w:sz w:val="20"/>
                <w:szCs w:val="20"/>
              </w:rPr>
              <w:t>$(206)</w:t>
            </w:r>
            <w:r w:rsidRPr="008E51EC">
              <w:rPr>
                <w:rFonts w:ascii="Segoe UI" w:eastAsia="Times New Roman" w:hAnsi="Segoe UI" w:cs="Segoe UI"/>
                <w:color w:val="666666"/>
                <w:sz w:val="20"/>
                <w:szCs w:val="20"/>
              </w:rPr>
              <w:t xml:space="preserve">, $87, </w:t>
            </w:r>
            <w:r w:rsidRPr="008E51EC">
              <w:rPr>
                <w:rFonts w:ascii="Segoe UI" w:eastAsia="Times New Roman" w:hAnsi="Segoe UI" w:cs="Segoe UI"/>
                <w:color w:val="666666"/>
                <w:sz w:val="20"/>
                <w:szCs w:val="20"/>
              </w:rPr>
              <w:br/>
              <w:t xml:space="preserve">      </w:t>
            </w:r>
            <w:r w:rsidRPr="008E51EC">
              <w:rPr>
                <w:rFonts w:ascii="Segoe UI" w:eastAsia="Times New Roman" w:hAnsi="Segoe UI" w:cs="Segoe UI"/>
                <w:b/>
                <w:bCs/>
                <w:color w:val="666666"/>
                <w:sz w:val="20"/>
                <w:szCs w:val="20"/>
              </w:rPr>
              <w:t>$195</w:t>
            </w:r>
            <w:r w:rsidRPr="008E51EC">
              <w:rPr>
                <w:rFonts w:ascii="Segoe UI" w:eastAsia="Times New Roman" w:hAnsi="Segoe UI" w:cs="Segoe UI"/>
                <w:color w:val="666666"/>
                <w:sz w:val="20"/>
                <w:szCs w:val="20"/>
              </w:rPr>
              <w:t>, and $(210))</w:t>
            </w:r>
          </w:p>
        </w:tc>
        <w:tc>
          <w:tcPr>
            <w:tcW w:w="1080" w:type="dxa"/>
            <w:tcBorders>
              <w:top w:val="nil"/>
              <w:left w:val="nil"/>
              <w:bottom w:val="nil"/>
              <w:right w:val="nil"/>
            </w:tcBorders>
            <w:shd w:val="clear" w:color="auto" w:fill="auto"/>
            <w:noWrap/>
            <w:vAlign w:val="bottom"/>
            <w:hideMark/>
          </w:tcPr>
          <w:p w14:paraId="47294E3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(381)</w:t>
            </w:r>
          </w:p>
        </w:tc>
        <w:tc>
          <w:tcPr>
            <w:tcW w:w="100" w:type="dxa"/>
            <w:tcBorders>
              <w:top w:val="nil"/>
              <w:left w:val="nil"/>
              <w:bottom w:val="nil"/>
              <w:right w:val="nil"/>
            </w:tcBorders>
            <w:shd w:val="clear" w:color="auto" w:fill="auto"/>
            <w:noWrap/>
            <w:vAlign w:val="bottom"/>
            <w:hideMark/>
          </w:tcPr>
          <w:p w14:paraId="16AA7E3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5B966A4" w14:textId="1E008C85" w:rsidR="008E51EC" w:rsidRPr="008E51EC" w:rsidRDefault="008E51EC" w:rsidP="00544D10">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161</w:t>
            </w:r>
          </w:p>
        </w:tc>
        <w:tc>
          <w:tcPr>
            <w:tcW w:w="156" w:type="dxa"/>
            <w:tcBorders>
              <w:top w:val="nil"/>
              <w:left w:val="nil"/>
              <w:bottom w:val="nil"/>
              <w:right w:val="nil"/>
            </w:tcBorders>
            <w:shd w:val="clear" w:color="auto" w:fill="auto"/>
            <w:noWrap/>
            <w:vAlign w:val="bottom"/>
            <w:hideMark/>
          </w:tcPr>
          <w:p w14:paraId="54A366D0"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BAC0D1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363 </w:t>
            </w:r>
          </w:p>
        </w:tc>
        <w:tc>
          <w:tcPr>
            <w:tcW w:w="100" w:type="dxa"/>
            <w:tcBorders>
              <w:top w:val="nil"/>
              <w:left w:val="nil"/>
              <w:bottom w:val="nil"/>
              <w:right w:val="nil"/>
            </w:tcBorders>
            <w:shd w:val="clear" w:color="auto" w:fill="auto"/>
            <w:noWrap/>
            <w:vAlign w:val="bottom"/>
            <w:hideMark/>
          </w:tcPr>
          <w:p w14:paraId="327FB2F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80114E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(390)</w:t>
            </w:r>
          </w:p>
        </w:tc>
      </w:tr>
      <w:tr w:rsidR="008E51EC" w:rsidRPr="008E51EC" w14:paraId="5BC8A299" w14:textId="77777777" w:rsidTr="007B1BF6">
        <w:trPr>
          <w:trHeight w:val="1140"/>
        </w:trPr>
        <w:tc>
          <w:tcPr>
            <w:tcW w:w="3180" w:type="dxa"/>
            <w:tcBorders>
              <w:top w:val="nil"/>
              <w:left w:val="nil"/>
              <w:bottom w:val="single" w:sz="4" w:space="0" w:color="auto"/>
              <w:right w:val="nil"/>
            </w:tcBorders>
            <w:shd w:val="clear" w:color="auto" w:fill="auto"/>
            <w:vAlign w:val="bottom"/>
            <w:hideMark/>
          </w:tcPr>
          <w:p w14:paraId="0F37EBCC" w14:textId="1CE232E4"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Translation adjustments and </w:t>
            </w:r>
            <w:r w:rsidRPr="008E51EC">
              <w:rPr>
                <w:rFonts w:ascii="Segoe UI" w:eastAsia="Times New Roman" w:hAnsi="Segoe UI" w:cs="Segoe UI"/>
                <w:color w:val="666666"/>
                <w:sz w:val="20"/>
                <w:szCs w:val="20"/>
              </w:rPr>
              <w:br/>
              <w:t xml:space="preserve">      other (net of tax effects </w:t>
            </w:r>
            <w:r w:rsidRPr="008E51EC">
              <w:rPr>
                <w:rFonts w:ascii="Segoe UI" w:eastAsia="Times New Roman" w:hAnsi="Segoe UI" w:cs="Segoe UI"/>
                <w:color w:val="666666"/>
                <w:sz w:val="20"/>
                <w:szCs w:val="20"/>
              </w:rPr>
              <w:br/>
              <w:t xml:space="preserve">      of </w:t>
            </w:r>
            <w:r w:rsidRPr="008E51EC">
              <w:rPr>
                <w:rFonts w:ascii="Segoe UI" w:eastAsia="Times New Roman" w:hAnsi="Segoe UI" w:cs="Segoe UI"/>
                <w:b/>
                <w:bCs/>
                <w:color w:val="666666"/>
                <w:sz w:val="20"/>
                <w:szCs w:val="20"/>
              </w:rPr>
              <w:t>$(40)</w:t>
            </w:r>
            <w:r w:rsidRPr="008E51EC">
              <w:rPr>
                <w:rFonts w:ascii="Segoe UI" w:eastAsia="Times New Roman" w:hAnsi="Segoe UI" w:cs="Segoe UI"/>
                <w:color w:val="666666"/>
                <w:sz w:val="20"/>
                <w:szCs w:val="20"/>
              </w:rPr>
              <w:t>, $</w:t>
            </w:r>
            <w:r w:rsidR="00544D10">
              <w:rPr>
                <w:rFonts w:ascii="Segoe UI" w:eastAsia="Times New Roman" w:hAnsi="Segoe UI" w:cs="Segoe UI"/>
                <w:color w:val="666666"/>
                <w:sz w:val="20"/>
                <w:szCs w:val="20"/>
              </w:rPr>
              <w:t>(</w:t>
            </w:r>
            <w:r w:rsidRPr="008E51EC">
              <w:rPr>
                <w:rFonts w:ascii="Segoe UI" w:eastAsia="Times New Roman" w:hAnsi="Segoe UI" w:cs="Segoe UI"/>
                <w:color w:val="666666"/>
                <w:sz w:val="20"/>
                <w:szCs w:val="20"/>
              </w:rPr>
              <w:t>72</w:t>
            </w:r>
            <w:r w:rsidR="00544D10">
              <w:rPr>
                <w:rFonts w:ascii="Segoe UI" w:eastAsia="Times New Roman" w:hAnsi="Segoe UI" w:cs="Segoe UI"/>
                <w:color w:val="666666"/>
                <w:sz w:val="20"/>
                <w:szCs w:val="20"/>
              </w:rPr>
              <w:t>)</w:t>
            </w:r>
            <w:r w:rsidRPr="008E51EC">
              <w:rPr>
                <w:rFonts w:ascii="Segoe UI" w:eastAsia="Times New Roman" w:hAnsi="Segoe UI" w:cs="Segoe UI"/>
                <w:color w:val="666666"/>
                <w:sz w:val="20"/>
                <w:szCs w:val="20"/>
              </w:rPr>
              <w:t xml:space="preserve">, </w:t>
            </w:r>
            <w:r w:rsidRPr="008E51EC">
              <w:rPr>
                <w:rFonts w:ascii="Segoe UI" w:eastAsia="Times New Roman" w:hAnsi="Segoe UI" w:cs="Segoe UI"/>
                <w:b/>
                <w:bCs/>
                <w:color w:val="666666"/>
                <w:sz w:val="20"/>
                <w:szCs w:val="20"/>
              </w:rPr>
              <w:t>$(8)</w:t>
            </w:r>
            <w:r w:rsidRPr="008E51EC">
              <w:rPr>
                <w:rFonts w:ascii="Segoe UI" w:eastAsia="Times New Roman" w:hAnsi="Segoe UI" w:cs="Segoe UI"/>
                <w:color w:val="666666"/>
                <w:sz w:val="20"/>
                <w:szCs w:val="20"/>
              </w:rPr>
              <w:t xml:space="preserve">, </w:t>
            </w:r>
            <w:r w:rsidRPr="008E51EC">
              <w:rPr>
                <w:rFonts w:ascii="Segoe UI" w:eastAsia="Times New Roman" w:hAnsi="Segoe UI" w:cs="Segoe UI"/>
                <w:color w:val="666666"/>
                <w:sz w:val="20"/>
                <w:szCs w:val="20"/>
              </w:rPr>
              <w:br/>
              <w:t xml:space="preserve">      and $(165))</w:t>
            </w:r>
          </w:p>
        </w:tc>
        <w:tc>
          <w:tcPr>
            <w:tcW w:w="1080" w:type="dxa"/>
            <w:tcBorders>
              <w:top w:val="nil"/>
              <w:left w:val="nil"/>
              <w:bottom w:val="single" w:sz="4" w:space="0" w:color="auto"/>
              <w:right w:val="nil"/>
            </w:tcBorders>
            <w:shd w:val="clear" w:color="auto" w:fill="auto"/>
            <w:noWrap/>
            <w:vAlign w:val="bottom"/>
            <w:hideMark/>
          </w:tcPr>
          <w:p w14:paraId="6F5D9B3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(74)</w:t>
            </w:r>
          </w:p>
        </w:tc>
        <w:tc>
          <w:tcPr>
            <w:tcW w:w="100" w:type="dxa"/>
            <w:tcBorders>
              <w:top w:val="nil"/>
              <w:left w:val="nil"/>
              <w:bottom w:val="nil"/>
              <w:right w:val="nil"/>
            </w:tcBorders>
            <w:shd w:val="clear" w:color="auto" w:fill="auto"/>
            <w:noWrap/>
            <w:vAlign w:val="bottom"/>
            <w:hideMark/>
          </w:tcPr>
          <w:p w14:paraId="7518905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A65D064" w14:textId="13EEA2E6" w:rsidR="008E51EC" w:rsidRPr="008E51EC" w:rsidRDefault="00544D10" w:rsidP="008E51EC">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w:t>
            </w:r>
            <w:r w:rsidR="008E51EC" w:rsidRPr="008E51EC">
              <w:rPr>
                <w:rFonts w:ascii="Segoe UI" w:eastAsia="Times New Roman" w:hAnsi="Segoe UI" w:cs="Segoe UI"/>
                <w:color w:val="666666"/>
                <w:sz w:val="20"/>
                <w:szCs w:val="20"/>
              </w:rPr>
              <w:t>134</w:t>
            </w:r>
            <w:r>
              <w:rPr>
                <w:rFonts w:ascii="Segoe UI" w:eastAsia="Times New Roman" w:hAnsi="Segoe UI" w:cs="Segoe UI"/>
                <w:color w:val="666666"/>
                <w:sz w:val="20"/>
                <w:szCs w:val="20"/>
              </w:rPr>
              <w:t>)</w:t>
            </w:r>
            <w:r w:rsidR="008E51EC" w:rsidRPr="008E51EC">
              <w:rPr>
                <w:rFonts w:ascii="Segoe UI" w:eastAsia="Times New Roman" w:hAnsi="Segoe UI" w:cs="Segoe UI"/>
                <w:color w:val="666666"/>
                <w:sz w:val="20"/>
                <w:szCs w:val="20"/>
              </w:rPr>
              <w:t xml:space="preserve"> </w:t>
            </w:r>
          </w:p>
        </w:tc>
        <w:tc>
          <w:tcPr>
            <w:tcW w:w="156" w:type="dxa"/>
            <w:tcBorders>
              <w:top w:val="nil"/>
              <w:left w:val="nil"/>
              <w:bottom w:val="nil"/>
              <w:right w:val="nil"/>
            </w:tcBorders>
            <w:shd w:val="clear" w:color="auto" w:fill="auto"/>
            <w:noWrap/>
            <w:vAlign w:val="bottom"/>
            <w:hideMark/>
          </w:tcPr>
          <w:p w14:paraId="3EF8592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588027C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(16)</w:t>
            </w:r>
          </w:p>
        </w:tc>
        <w:tc>
          <w:tcPr>
            <w:tcW w:w="100" w:type="dxa"/>
            <w:tcBorders>
              <w:top w:val="nil"/>
              <w:left w:val="nil"/>
              <w:bottom w:val="nil"/>
              <w:right w:val="nil"/>
            </w:tcBorders>
            <w:shd w:val="clear" w:color="auto" w:fill="auto"/>
            <w:noWrap/>
            <w:vAlign w:val="bottom"/>
            <w:hideMark/>
          </w:tcPr>
          <w:p w14:paraId="47838AA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C6B4F2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(306)</w:t>
            </w:r>
          </w:p>
        </w:tc>
      </w:tr>
      <w:tr w:rsidR="008E51EC" w:rsidRPr="008E51EC" w14:paraId="29496571" w14:textId="77777777" w:rsidTr="007B1BF6">
        <w:trPr>
          <w:trHeight w:val="570"/>
        </w:trPr>
        <w:tc>
          <w:tcPr>
            <w:tcW w:w="3180" w:type="dxa"/>
            <w:tcBorders>
              <w:top w:val="nil"/>
              <w:left w:val="nil"/>
              <w:bottom w:val="single" w:sz="4" w:space="0" w:color="auto"/>
              <w:right w:val="nil"/>
            </w:tcBorders>
            <w:shd w:val="clear" w:color="auto" w:fill="auto"/>
            <w:vAlign w:val="bottom"/>
            <w:hideMark/>
          </w:tcPr>
          <w:p w14:paraId="3B12A51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Other comprehensive income </w:t>
            </w:r>
            <w:r w:rsidRPr="008E51EC">
              <w:rPr>
                <w:rFonts w:ascii="Segoe UI" w:eastAsia="Times New Roman" w:hAnsi="Segoe UI" w:cs="Segoe UI"/>
                <w:color w:val="666666"/>
                <w:sz w:val="20"/>
                <w:szCs w:val="20"/>
              </w:rPr>
              <w:br/>
              <w:t xml:space="preserve">        (loss)</w:t>
            </w:r>
          </w:p>
        </w:tc>
        <w:tc>
          <w:tcPr>
            <w:tcW w:w="1080" w:type="dxa"/>
            <w:tcBorders>
              <w:top w:val="nil"/>
              <w:left w:val="nil"/>
              <w:bottom w:val="single" w:sz="4" w:space="0" w:color="auto"/>
              <w:right w:val="nil"/>
            </w:tcBorders>
            <w:shd w:val="clear" w:color="auto" w:fill="auto"/>
            <w:noWrap/>
            <w:vAlign w:val="bottom"/>
            <w:hideMark/>
          </w:tcPr>
          <w:p w14:paraId="5554579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(462)</w:t>
            </w:r>
          </w:p>
        </w:tc>
        <w:tc>
          <w:tcPr>
            <w:tcW w:w="100" w:type="dxa"/>
            <w:tcBorders>
              <w:top w:val="nil"/>
              <w:left w:val="nil"/>
              <w:bottom w:val="nil"/>
              <w:right w:val="nil"/>
            </w:tcBorders>
            <w:shd w:val="clear" w:color="auto" w:fill="auto"/>
            <w:noWrap/>
            <w:vAlign w:val="bottom"/>
            <w:hideMark/>
          </w:tcPr>
          <w:p w14:paraId="1FB04B5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9461CA5" w14:textId="5CC6B871" w:rsidR="008E51EC" w:rsidRPr="008E51EC" w:rsidRDefault="008E51EC" w:rsidP="00544D10">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90</w:t>
            </w:r>
          </w:p>
        </w:tc>
        <w:tc>
          <w:tcPr>
            <w:tcW w:w="156" w:type="dxa"/>
            <w:tcBorders>
              <w:top w:val="nil"/>
              <w:left w:val="nil"/>
              <w:bottom w:val="nil"/>
              <w:right w:val="nil"/>
            </w:tcBorders>
            <w:shd w:val="clear" w:color="auto" w:fill="auto"/>
            <w:noWrap/>
            <w:vAlign w:val="bottom"/>
            <w:hideMark/>
          </w:tcPr>
          <w:p w14:paraId="21C5C4F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3B21846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321 </w:t>
            </w:r>
          </w:p>
        </w:tc>
        <w:tc>
          <w:tcPr>
            <w:tcW w:w="100" w:type="dxa"/>
            <w:tcBorders>
              <w:top w:val="nil"/>
              <w:left w:val="nil"/>
              <w:bottom w:val="nil"/>
              <w:right w:val="nil"/>
            </w:tcBorders>
            <w:shd w:val="clear" w:color="auto" w:fill="auto"/>
            <w:noWrap/>
            <w:vAlign w:val="bottom"/>
            <w:hideMark/>
          </w:tcPr>
          <w:p w14:paraId="0FE1535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247D87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(441)</w:t>
            </w:r>
          </w:p>
        </w:tc>
      </w:tr>
      <w:tr w:rsidR="008E51EC" w:rsidRPr="008E51EC" w14:paraId="4F6CB8FF" w14:textId="77777777" w:rsidTr="007B1BF6">
        <w:trPr>
          <w:trHeight w:val="300"/>
        </w:trPr>
        <w:tc>
          <w:tcPr>
            <w:tcW w:w="3180" w:type="dxa"/>
            <w:tcBorders>
              <w:top w:val="nil"/>
              <w:left w:val="nil"/>
              <w:bottom w:val="nil"/>
              <w:right w:val="nil"/>
            </w:tcBorders>
            <w:shd w:val="clear" w:color="auto" w:fill="auto"/>
            <w:noWrap/>
            <w:vAlign w:val="bottom"/>
            <w:hideMark/>
          </w:tcPr>
          <w:p w14:paraId="7FC569B4"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Comprehensive income (loss)</w:t>
            </w:r>
          </w:p>
        </w:tc>
        <w:tc>
          <w:tcPr>
            <w:tcW w:w="1080" w:type="dxa"/>
            <w:tcBorders>
              <w:top w:val="nil"/>
              <w:left w:val="nil"/>
              <w:bottom w:val="single" w:sz="8" w:space="0" w:color="auto"/>
              <w:right w:val="nil"/>
            </w:tcBorders>
            <w:shd w:val="clear" w:color="auto" w:fill="auto"/>
            <w:noWrap/>
            <w:vAlign w:val="bottom"/>
            <w:hideMark/>
          </w:tcPr>
          <w:p w14:paraId="53750D6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4,503 </w:t>
            </w:r>
          </w:p>
        </w:tc>
        <w:tc>
          <w:tcPr>
            <w:tcW w:w="100" w:type="dxa"/>
            <w:tcBorders>
              <w:top w:val="nil"/>
              <w:left w:val="nil"/>
              <w:bottom w:val="nil"/>
              <w:right w:val="nil"/>
            </w:tcBorders>
            <w:shd w:val="clear" w:color="auto" w:fill="auto"/>
            <w:noWrap/>
            <w:vAlign w:val="bottom"/>
            <w:hideMark/>
          </w:tcPr>
          <w:p w14:paraId="4C913CA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7AD0D0FE" w14:textId="453364F2" w:rsidR="008E51EC" w:rsidRPr="008E51EC" w:rsidRDefault="008E51EC" w:rsidP="00F37EFF">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w:t>
            </w:r>
            <w:r w:rsidR="00F37EFF">
              <w:rPr>
                <w:rFonts w:ascii="Segoe UI" w:eastAsia="Times New Roman" w:hAnsi="Segoe UI" w:cs="Segoe UI"/>
                <w:color w:val="666666"/>
                <w:sz w:val="20"/>
                <w:szCs w:val="20"/>
              </w:rPr>
              <w:t>402</w:t>
            </w:r>
            <w:r w:rsidRPr="008E51EC">
              <w:rPr>
                <w:rFonts w:ascii="Segoe UI" w:eastAsia="Times New Roman" w:hAnsi="Segoe UI" w:cs="Segoe UI"/>
                <w:color w:val="666666"/>
                <w:sz w:val="20"/>
                <w:szCs w:val="20"/>
              </w:rPr>
              <w:t>)</w:t>
            </w:r>
          </w:p>
        </w:tc>
        <w:tc>
          <w:tcPr>
            <w:tcW w:w="156" w:type="dxa"/>
            <w:tcBorders>
              <w:top w:val="nil"/>
              <w:left w:val="nil"/>
              <w:bottom w:val="nil"/>
              <w:right w:val="nil"/>
            </w:tcBorders>
            <w:shd w:val="clear" w:color="auto" w:fill="auto"/>
            <w:noWrap/>
            <w:vAlign w:val="bottom"/>
            <w:hideMark/>
          </w:tcPr>
          <w:p w14:paraId="37EEA9E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59F969C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22,184 </w:t>
            </w:r>
          </w:p>
        </w:tc>
        <w:tc>
          <w:tcPr>
            <w:tcW w:w="100" w:type="dxa"/>
            <w:tcBorders>
              <w:top w:val="nil"/>
              <w:left w:val="nil"/>
              <w:bottom w:val="nil"/>
              <w:right w:val="nil"/>
            </w:tcBorders>
            <w:shd w:val="clear" w:color="auto" w:fill="auto"/>
            <w:noWrap/>
            <w:vAlign w:val="bottom"/>
            <w:hideMark/>
          </w:tcPr>
          <w:p w14:paraId="505B9CC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6599916C"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$16,537 </w:t>
            </w:r>
          </w:p>
        </w:tc>
      </w:tr>
    </w:tbl>
    <w:p w14:paraId="75F7EE83" w14:textId="77777777" w:rsidR="0016352C" w:rsidRDefault="0016352C" w:rsidP="0016352C"/>
    <w:p w14:paraId="5C0DD0B5" w14:textId="77777777" w:rsidR="00CF6D7C" w:rsidRDefault="0016352C" w:rsidP="0016352C">
      <w:r>
        <w:br w:type="page"/>
      </w:r>
    </w:p>
    <w:tbl>
      <w:tblPr>
        <w:tblW w:w="8368" w:type="dxa"/>
        <w:tblCellMar>
          <w:left w:w="0" w:type="dxa"/>
          <w:right w:w="0" w:type="dxa"/>
        </w:tblCellMar>
        <w:tblLook w:val="04A0" w:firstRow="1" w:lastRow="0" w:firstColumn="1" w:lastColumn="0" w:noHBand="0" w:noVBand="1"/>
      </w:tblPr>
      <w:tblGrid>
        <w:gridCol w:w="3292"/>
        <w:gridCol w:w="1192"/>
        <w:gridCol w:w="212"/>
        <w:gridCol w:w="616"/>
        <w:gridCol w:w="416"/>
        <w:gridCol w:w="212"/>
        <w:gridCol w:w="994"/>
        <w:gridCol w:w="300"/>
        <w:gridCol w:w="212"/>
        <w:gridCol w:w="1034"/>
      </w:tblGrid>
      <w:tr w:rsidR="008E51EC" w:rsidRPr="008E51EC" w14:paraId="2E840781"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71B8C2C7"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lastRenderedPageBreak/>
              <w:t>MICROSOFT CORPORATION</w:t>
            </w:r>
          </w:p>
        </w:tc>
        <w:tc>
          <w:tcPr>
            <w:tcW w:w="1593" w:type="dxa"/>
            <w:gridSpan w:val="3"/>
            <w:tcBorders>
              <w:top w:val="nil"/>
              <w:left w:val="nil"/>
              <w:bottom w:val="nil"/>
              <w:right w:val="nil"/>
            </w:tcBorders>
            <w:shd w:val="clear" w:color="auto" w:fill="auto"/>
            <w:noWrap/>
            <w:vAlign w:val="bottom"/>
            <w:hideMark/>
          </w:tcPr>
          <w:p w14:paraId="58155303"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284" w:type="dxa"/>
            <w:tcBorders>
              <w:top w:val="nil"/>
              <w:left w:val="nil"/>
              <w:bottom w:val="nil"/>
              <w:right w:val="nil"/>
            </w:tcBorders>
            <w:shd w:val="clear" w:color="auto" w:fill="auto"/>
            <w:noWrap/>
            <w:vAlign w:val="bottom"/>
            <w:hideMark/>
          </w:tcPr>
          <w:p w14:paraId="451E8AB5"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3FBC1BD1"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22D93A5F"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1A20ACE4"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593" w:type="dxa"/>
            <w:gridSpan w:val="3"/>
            <w:tcBorders>
              <w:top w:val="nil"/>
              <w:left w:val="nil"/>
              <w:bottom w:val="nil"/>
              <w:right w:val="nil"/>
            </w:tcBorders>
            <w:shd w:val="clear" w:color="auto" w:fill="auto"/>
            <w:noWrap/>
            <w:vAlign w:val="bottom"/>
            <w:hideMark/>
          </w:tcPr>
          <w:p w14:paraId="7295762D" w14:textId="77777777" w:rsidR="008E51EC" w:rsidRPr="008E51EC" w:rsidRDefault="008E51EC" w:rsidP="008E51EC">
            <w:pPr>
              <w:spacing w:after="0" w:line="240" w:lineRule="auto"/>
              <w:rPr>
                <w:rFonts w:ascii="Times New Roman" w:eastAsia="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6AE383E5"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3547E998"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786E1AB4" w14:textId="77777777" w:rsidTr="008A4236">
        <w:trPr>
          <w:trHeight w:val="20"/>
        </w:trPr>
        <w:tc>
          <w:tcPr>
            <w:tcW w:w="8368" w:type="dxa"/>
            <w:gridSpan w:val="10"/>
            <w:tcBorders>
              <w:top w:val="nil"/>
              <w:left w:val="nil"/>
              <w:bottom w:val="nil"/>
              <w:right w:val="nil"/>
            </w:tcBorders>
            <w:shd w:val="clear" w:color="auto" w:fill="auto"/>
            <w:noWrap/>
            <w:vAlign w:val="bottom"/>
            <w:hideMark/>
          </w:tcPr>
          <w:p w14:paraId="02A1134D"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BALANCE SHEETS</w:t>
            </w:r>
          </w:p>
        </w:tc>
      </w:tr>
      <w:tr w:rsidR="008E51EC" w:rsidRPr="008E51EC" w14:paraId="26436376" w14:textId="77777777" w:rsidTr="008A4236">
        <w:trPr>
          <w:trHeight w:val="20"/>
        </w:trPr>
        <w:tc>
          <w:tcPr>
            <w:tcW w:w="8368" w:type="dxa"/>
            <w:gridSpan w:val="10"/>
            <w:tcBorders>
              <w:top w:val="nil"/>
              <w:left w:val="nil"/>
              <w:bottom w:val="nil"/>
              <w:right w:val="nil"/>
            </w:tcBorders>
            <w:shd w:val="clear" w:color="auto" w:fill="auto"/>
            <w:noWrap/>
            <w:vAlign w:val="bottom"/>
            <w:hideMark/>
          </w:tcPr>
          <w:p w14:paraId="33037244"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(In millions)(Unaudited)</w:t>
            </w:r>
          </w:p>
        </w:tc>
      </w:tr>
      <w:tr w:rsidR="008E51EC" w:rsidRPr="008E51EC" w14:paraId="5D3DCF77"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024B67A9"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p>
        </w:tc>
        <w:tc>
          <w:tcPr>
            <w:tcW w:w="1593" w:type="dxa"/>
            <w:gridSpan w:val="3"/>
            <w:tcBorders>
              <w:top w:val="nil"/>
              <w:left w:val="nil"/>
              <w:bottom w:val="nil"/>
              <w:right w:val="nil"/>
            </w:tcBorders>
            <w:shd w:val="clear" w:color="auto" w:fill="auto"/>
            <w:noWrap/>
            <w:vAlign w:val="bottom"/>
            <w:hideMark/>
          </w:tcPr>
          <w:p w14:paraId="21D45DF1"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6B24AC16" w14:textId="77777777" w:rsidR="008E51EC" w:rsidRPr="008E51EC" w:rsidRDefault="008E51EC" w:rsidP="008E51EC">
            <w:pPr>
              <w:spacing w:after="0" w:line="240" w:lineRule="auto"/>
              <w:jc w:val="center"/>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78EAA80C" w14:textId="77777777" w:rsidR="008E51EC" w:rsidRPr="008E51EC" w:rsidRDefault="008E51EC" w:rsidP="008E51EC">
            <w:pPr>
              <w:spacing w:after="0" w:line="240" w:lineRule="auto"/>
              <w:jc w:val="center"/>
              <w:rPr>
                <w:rFonts w:ascii="Times New Roman" w:eastAsia="Times New Roman" w:hAnsi="Times New Roman"/>
                <w:sz w:val="20"/>
                <w:szCs w:val="20"/>
              </w:rPr>
            </w:pPr>
          </w:p>
        </w:tc>
      </w:tr>
      <w:tr w:rsidR="008E51EC" w:rsidRPr="008E51EC" w14:paraId="6D0A900C" w14:textId="77777777" w:rsidTr="008A4236">
        <w:trPr>
          <w:trHeight w:val="20"/>
        </w:trPr>
        <w:tc>
          <w:tcPr>
            <w:tcW w:w="5261" w:type="dxa"/>
            <w:gridSpan w:val="4"/>
            <w:tcBorders>
              <w:top w:val="nil"/>
              <w:left w:val="nil"/>
              <w:bottom w:val="single" w:sz="4" w:space="0" w:color="auto"/>
              <w:right w:val="nil"/>
            </w:tcBorders>
            <w:shd w:val="clear" w:color="auto" w:fill="auto"/>
            <w:noWrap/>
            <w:vAlign w:val="bottom"/>
            <w:hideMark/>
          </w:tcPr>
          <w:p w14:paraId="274CF2DB"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593" w:type="dxa"/>
            <w:gridSpan w:val="3"/>
            <w:tcBorders>
              <w:top w:val="nil"/>
              <w:left w:val="nil"/>
              <w:bottom w:val="single" w:sz="4" w:space="0" w:color="auto"/>
              <w:right w:val="nil"/>
            </w:tcBorders>
            <w:shd w:val="clear" w:color="auto" w:fill="auto"/>
            <w:vAlign w:val="bottom"/>
            <w:hideMark/>
          </w:tcPr>
          <w:p w14:paraId="352C741A" w14:textId="19DEAD23" w:rsidR="007B1BF6"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June 30,      </w:t>
            </w:r>
            <w:r w:rsidR="007B1BF6">
              <w:rPr>
                <w:rFonts w:ascii="Segoe UI" w:eastAsia="Times New Roman" w:hAnsi="Segoe UI" w:cs="Segoe UI"/>
                <w:b/>
                <w:bCs/>
                <w:color w:val="666666"/>
                <w:sz w:val="20"/>
                <w:szCs w:val="20"/>
              </w:rPr>
              <w:t xml:space="preserve"> </w:t>
            </w:r>
            <w:r w:rsidRPr="008E51EC">
              <w:rPr>
                <w:rFonts w:ascii="Segoe UI" w:eastAsia="Times New Roman" w:hAnsi="Segoe UI" w:cs="Segoe UI"/>
                <w:b/>
                <w:bCs/>
                <w:color w:val="666666"/>
                <w:sz w:val="20"/>
                <w:szCs w:val="20"/>
              </w:rPr>
              <w:t xml:space="preserve"> </w:t>
            </w:r>
          </w:p>
          <w:p w14:paraId="4E0D813E" w14:textId="69185EE1" w:rsidR="008E51EC" w:rsidRPr="008E51EC" w:rsidRDefault="007B1BF6" w:rsidP="008E51EC">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 xml:space="preserve">    </w:t>
            </w:r>
            <w:r w:rsidR="008E51EC" w:rsidRPr="008E51EC">
              <w:rPr>
                <w:rFonts w:ascii="Segoe UI" w:eastAsia="Times New Roman" w:hAnsi="Segoe UI" w:cs="Segoe UI"/>
                <w:b/>
                <w:bCs/>
                <w:color w:val="666666"/>
                <w:sz w:val="20"/>
                <w:szCs w:val="20"/>
              </w:rPr>
              <w:t>2013</w:t>
            </w:r>
          </w:p>
        </w:tc>
        <w:tc>
          <w:tcPr>
            <w:tcW w:w="284" w:type="dxa"/>
            <w:tcBorders>
              <w:top w:val="nil"/>
              <w:left w:val="nil"/>
              <w:bottom w:val="single" w:sz="4" w:space="0" w:color="auto"/>
              <w:right w:val="nil"/>
            </w:tcBorders>
            <w:shd w:val="clear" w:color="auto" w:fill="auto"/>
            <w:vAlign w:val="bottom"/>
            <w:hideMark/>
          </w:tcPr>
          <w:p w14:paraId="7723FE8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230" w:type="dxa"/>
            <w:gridSpan w:val="2"/>
            <w:tcBorders>
              <w:top w:val="nil"/>
              <w:left w:val="nil"/>
              <w:bottom w:val="single" w:sz="4" w:space="0" w:color="auto"/>
              <w:right w:val="nil"/>
            </w:tcBorders>
            <w:shd w:val="clear" w:color="auto" w:fill="auto"/>
            <w:vAlign w:val="bottom"/>
            <w:hideMark/>
          </w:tcPr>
          <w:p w14:paraId="3AE7E35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June 30, 2012</w:t>
            </w:r>
          </w:p>
        </w:tc>
      </w:tr>
      <w:tr w:rsidR="008E51EC" w:rsidRPr="008E51EC" w14:paraId="321AB21B"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494502B6"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Assets</w:t>
            </w:r>
          </w:p>
        </w:tc>
        <w:tc>
          <w:tcPr>
            <w:tcW w:w="1593" w:type="dxa"/>
            <w:gridSpan w:val="3"/>
            <w:tcBorders>
              <w:top w:val="nil"/>
              <w:left w:val="nil"/>
              <w:bottom w:val="nil"/>
              <w:right w:val="nil"/>
            </w:tcBorders>
            <w:shd w:val="clear" w:color="auto" w:fill="auto"/>
            <w:vAlign w:val="bottom"/>
            <w:hideMark/>
          </w:tcPr>
          <w:p w14:paraId="7785DEC0"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284" w:type="dxa"/>
            <w:tcBorders>
              <w:top w:val="nil"/>
              <w:left w:val="nil"/>
              <w:bottom w:val="nil"/>
              <w:right w:val="nil"/>
            </w:tcBorders>
            <w:shd w:val="clear" w:color="auto" w:fill="auto"/>
            <w:noWrap/>
            <w:vAlign w:val="bottom"/>
            <w:hideMark/>
          </w:tcPr>
          <w:p w14:paraId="65BF5566"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783C0863"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14F1319E"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452F7E44"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Current assets:</w:t>
            </w:r>
          </w:p>
        </w:tc>
        <w:tc>
          <w:tcPr>
            <w:tcW w:w="1593" w:type="dxa"/>
            <w:gridSpan w:val="3"/>
            <w:tcBorders>
              <w:top w:val="nil"/>
              <w:left w:val="nil"/>
              <w:bottom w:val="nil"/>
              <w:right w:val="nil"/>
            </w:tcBorders>
            <w:shd w:val="clear" w:color="auto" w:fill="auto"/>
            <w:noWrap/>
            <w:vAlign w:val="bottom"/>
            <w:hideMark/>
          </w:tcPr>
          <w:p w14:paraId="4A0BC2FB"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284" w:type="dxa"/>
            <w:tcBorders>
              <w:top w:val="nil"/>
              <w:left w:val="nil"/>
              <w:bottom w:val="nil"/>
              <w:right w:val="nil"/>
            </w:tcBorders>
            <w:shd w:val="clear" w:color="auto" w:fill="auto"/>
            <w:noWrap/>
            <w:vAlign w:val="bottom"/>
            <w:hideMark/>
          </w:tcPr>
          <w:p w14:paraId="4043ED94"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08FE0ACE"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1312BA70"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0409376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Cash and cash equivalents</w:t>
            </w:r>
          </w:p>
        </w:tc>
        <w:tc>
          <w:tcPr>
            <w:tcW w:w="1593" w:type="dxa"/>
            <w:gridSpan w:val="3"/>
            <w:tcBorders>
              <w:top w:val="nil"/>
              <w:left w:val="nil"/>
              <w:bottom w:val="nil"/>
              <w:right w:val="nil"/>
            </w:tcBorders>
            <w:shd w:val="clear" w:color="auto" w:fill="auto"/>
            <w:noWrap/>
            <w:vAlign w:val="bottom"/>
            <w:hideMark/>
          </w:tcPr>
          <w:p w14:paraId="709ECB9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3,804 </w:t>
            </w:r>
          </w:p>
        </w:tc>
        <w:tc>
          <w:tcPr>
            <w:tcW w:w="284" w:type="dxa"/>
            <w:tcBorders>
              <w:top w:val="nil"/>
              <w:left w:val="nil"/>
              <w:bottom w:val="nil"/>
              <w:right w:val="nil"/>
            </w:tcBorders>
            <w:shd w:val="clear" w:color="auto" w:fill="auto"/>
            <w:noWrap/>
            <w:vAlign w:val="bottom"/>
            <w:hideMark/>
          </w:tcPr>
          <w:p w14:paraId="16F679D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08ADEAB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6,938 </w:t>
            </w:r>
          </w:p>
        </w:tc>
      </w:tr>
      <w:tr w:rsidR="008E51EC" w:rsidRPr="008E51EC" w14:paraId="24812B6E" w14:textId="77777777" w:rsidTr="008A4236">
        <w:trPr>
          <w:trHeight w:val="20"/>
        </w:trPr>
        <w:tc>
          <w:tcPr>
            <w:tcW w:w="5261" w:type="dxa"/>
            <w:gridSpan w:val="4"/>
            <w:tcBorders>
              <w:top w:val="nil"/>
              <w:left w:val="nil"/>
              <w:bottom w:val="single" w:sz="4" w:space="0" w:color="auto"/>
              <w:right w:val="nil"/>
            </w:tcBorders>
            <w:shd w:val="clear" w:color="auto" w:fill="auto"/>
            <w:vAlign w:val="bottom"/>
            <w:hideMark/>
          </w:tcPr>
          <w:p w14:paraId="50871E7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Short-term investments (including securities</w:t>
            </w:r>
            <w:r w:rsidRPr="008E51EC">
              <w:rPr>
                <w:rFonts w:ascii="Segoe UI" w:eastAsia="Times New Roman" w:hAnsi="Segoe UI" w:cs="Segoe UI"/>
                <w:color w:val="666666"/>
                <w:sz w:val="20"/>
                <w:szCs w:val="20"/>
              </w:rPr>
              <w:br/>
              <w:t xml:space="preserve">    loaned of </w:t>
            </w:r>
            <w:r w:rsidRPr="008E51EC">
              <w:rPr>
                <w:rFonts w:ascii="Segoe UI" w:eastAsia="Times New Roman" w:hAnsi="Segoe UI" w:cs="Segoe UI"/>
                <w:b/>
                <w:bCs/>
                <w:color w:val="666666"/>
                <w:sz w:val="20"/>
                <w:szCs w:val="20"/>
              </w:rPr>
              <w:t>$579</w:t>
            </w:r>
            <w:r w:rsidRPr="008E51EC">
              <w:rPr>
                <w:rFonts w:ascii="Segoe UI" w:eastAsia="Times New Roman" w:hAnsi="Segoe UI" w:cs="Segoe UI"/>
                <w:color w:val="666666"/>
                <w:sz w:val="20"/>
                <w:szCs w:val="20"/>
              </w:rPr>
              <w:t xml:space="preserve"> and $785)</w:t>
            </w:r>
          </w:p>
        </w:tc>
        <w:tc>
          <w:tcPr>
            <w:tcW w:w="1593" w:type="dxa"/>
            <w:gridSpan w:val="3"/>
            <w:tcBorders>
              <w:top w:val="nil"/>
              <w:left w:val="nil"/>
              <w:bottom w:val="single" w:sz="4" w:space="0" w:color="auto"/>
              <w:right w:val="nil"/>
            </w:tcBorders>
            <w:shd w:val="clear" w:color="auto" w:fill="auto"/>
            <w:noWrap/>
            <w:vAlign w:val="bottom"/>
            <w:hideMark/>
          </w:tcPr>
          <w:p w14:paraId="6AA9D6B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73,218 </w:t>
            </w:r>
          </w:p>
        </w:tc>
        <w:tc>
          <w:tcPr>
            <w:tcW w:w="284" w:type="dxa"/>
            <w:tcBorders>
              <w:top w:val="nil"/>
              <w:left w:val="nil"/>
              <w:bottom w:val="nil"/>
              <w:right w:val="nil"/>
            </w:tcBorders>
            <w:shd w:val="clear" w:color="auto" w:fill="auto"/>
            <w:noWrap/>
            <w:vAlign w:val="bottom"/>
            <w:hideMark/>
          </w:tcPr>
          <w:p w14:paraId="109FDA0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4" w:space="0" w:color="auto"/>
              <w:right w:val="nil"/>
            </w:tcBorders>
            <w:shd w:val="clear" w:color="auto" w:fill="auto"/>
            <w:noWrap/>
            <w:vAlign w:val="bottom"/>
            <w:hideMark/>
          </w:tcPr>
          <w:p w14:paraId="5F7B9E9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56,102 </w:t>
            </w:r>
          </w:p>
        </w:tc>
      </w:tr>
      <w:tr w:rsidR="008E51EC" w:rsidRPr="008E51EC" w14:paraId="4EF34ED3" w14:textId="77777777" w:rsidTr="008A4236">
        <w:trPr>
          <w:trHeight w:val="20"/>
        </w:trPr>
        <w:tc>
          <w:tcPr>
            <w:tcW w:w="5261" w:type="dxa"/>
            <w:gridSpan w:val="4"/>
            <w:tcBorders>
              <w:top w:val="nil"/>
              <w:left w:val="nil"/>
              <w:bottom w:val="nil"/>
              <w:right w:val="nil"/>
            </w:tcBorders>
            <w:shd w:val="clear" w:color="auto" w:fill="auto"/>
            <w:vAlign w:val="bottom"/>
            <w:hideMark/>
          </w:tcPr>
          <w:p w14:paraId="0A6BE37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cash, cash equivalents, and short-term </w:t>
            </w:r>
            <w:r w:rsidRPr="008E51EC">
              <w:rPr>
                <w:rFonts w:ascii="Segoe UI" w:eastAsia="Times New Roman" w:hAnsi="Segoe UI" w:cs="Segoe UI"/>
                <w:color w:val="666666"/>
                <w:sz w:val="20"/>
                <w:szCs w:val="20"/>
              </w:rPr>
              <w:br/>
              <w:t xml:space="preserve">      investments</w:t>
            </w:r>
          </w:p>
        </w:tc>
        <w:tc>
          <w:tcPr>
            <w:tcW w:w="1593" w:type="dxa"/>
            <w:gridSpan w:val="3"/>
            <w:tcBorders>
              <w:top w:val="nil"/>
              <w:left w:val="nil"/>
              <w:bottom w:val="nil"/>
              <w:right w:val="nil"/>
            </w:tcBorders>
            <w:shd w:val="clear" w:color="auto" w:fill="auto"/>
            <w:noWrap/>
            <w:vAlign w:val="bottom"/>
            <w:hideMark/>
          </w:tcPr>
          <w:p w14:paraId="68032C0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77,022 </w:t>
            </w:r>
          </w:p>
        </w:tc>
        <w:tc>
          <w:tcPr>
            <w:tcW w:w="284" w:type="dxa"/>
            <w:tcBorders>
              <w:top w:val="nil"/>
              <w:left w:val="nil"/>
              <w:bottom w:val="nil"/>
              <w:right w:val="nil"/>
            </w:tcBorders>
            <w:shd w:val="clear" w:color="auto" w:fill="auto"/>
            <w:noWrap/>
            <w:vAlign w:val="bottom"/>
            <w:hideMark/>
          </w:tcPr>
          <w:p w14:paraId="5CBC8E1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48A3CCC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63,040 </w:t>
            </w:r>
          </w:p>
        </w:tc>
      </w:tr>
      <w:tr w:rsidR="008E51EC" w:rsidRPr="008E51EC" w14:paraId="466812F4" w14:textId="77777777" w:rsidTr="008A4236">
        <w:trPr>
          <w:trHeight w:val="20"/>
        </w:trPr>
        <w:tc>
          <w:tcPr>
            <w:tcW w:w="5261" w:type="dxa"/>
            <w:gridSpan w:val="4"/>
            <w:tcBorders>
              <w:top w:val="nil"/>
              <w:left w:val="nil"/>
              <w:bottom w:val="nil"/>
              <w:right w:val="nil"/>
            </w:tcBorders>
            <w:shd w:val="clear" w:color="auto" w:fill="auto"/>
            <w:vAlign w:val="bottom"/>
            <w:hideMark/>
          </w:tcPr>
          <w:p w14:paraId="6723C36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Accounts receivable, net of allowance for doubtful</w:t>
            </w:r>
            <w:r w:rsidRPr="008E51EC">
              <w:rPr>
                <w:rFonts w:ascii="Segoe UI" w:eastAsia="Times New Roman" w:hAnsi="Segoe UI" w:cs="Segoe UI"/>
                <w:color w:val="666666"/>
                <w:sz w:val="20"/>
                <w:szCs w:val="20"/>
              </w:rPr>
              <w:br/>
              <w:t xml:space="preserve">    accounts of </w:t>
            </w:r>
            <w:r w:rsidRPr="008E51EC">
              <w:rPr>
                <w:rFonts w:ascii="Segoe UI" w:eastAsia="Times New Roman" w:hAnsi="Segoe UI" w:cs="Segoe UI"/>
                <w:b/>
                <w:bCs/>
                <w:color w:val="666666"/>
                <w:sz w:val="20"/>
                <w:szCs w:val="20"/>
              </w:rPr>
              <w:t>$336</w:t>
            </w:r>
            <w:r w:rsidRPr="008E51EC">
              <w:rPr>
                <w:rFonts w:ascii="Segoe UI" w:eastAsia="Times New Roman" w:hAnsi="Segoe UI" w:cs="Segoe UI"/>
                <w:color w:val="666666"/>
                <w:sz w:val="20"/>
                <w:szCs w:val="20"/>
              </w:rPr>
              <w:t xml:space="preserve"> and $389</w:t>
            </w:r>
          </w:p>
        </w:tc>
        <w:tc>
          <w:tcPr>
            <w:tcW w:w="1593" w:type="dxa"/>
            <w:gridSpan w:val="3"/>
            <w:tcBorders>
              <w:top w:val="nil"/>
              <w:left w:val="nil"/>
              <w:bottom w:val="nil"/>
              <w:right w:val="nil"/>
            </w:tcBorders>
            <w:shd w:val="clear" w:color="auto" w:fill="auto"/>
            <w:noWrap/>
            <w:vAlign w:val="bottom"/>
            <w:hideMark/>
          </w:tcPr>
          <w:p w14:paraId="620C1C9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17,486 </w:t>
            </w:r>
          </w:p>
        </w:tc>
        <w:tc>
          <w:tcPr>
            <w:tcW w:w="284" w:type="dxa"/>
            <w:tcBorders>
              <w:top w:val="nil"/>
              <w:left w:val="nil"/>
              <w:bottom w:val="nil"/>
              <w:right w:val="nil"/>
            </w:tcBorders>
            <w:shd w:val="clear" w:color="auto" w:fill="auto"/>
            <w:noWrap/>
            <w:vAlign w:val="bottom"/>
            <w:hideMark/>
          </w:tcPr>
          <w:p w14:paraId="05B17BF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04EE560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15,780 </w:t>
            </w:r>
          </w:p>
        </w:tc>
      </w:tr>
      <w:tr w:rsidR="008E51EC" w:rsidRPr="008E51EC" w14:paraId="5E0CC1D6"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21ABF981"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Inventories</w:t>
            </w:r>
          </w:p>
        </w:tc>
        <w:tc>
          <w:tcPr>
            <w:tcW w:w="1593" w:type="dxa"/>
            <w:gridSpan w:val="3"/>
            <w:tcBorders>
              <w:top w:val="nil"/>
              <w:left w:val="nil"/>
              <w:bottom w:val="nil"/>
              <w:right w:val="nil"/>
            </w:tcBorders>
            <w:shd w:val="clear" w:color="auto" w:fill="auto"/>
            <w:noWrap/>
            <w:vAlign w:val="bottom"/>
            <w:hideMark/>
          </w:tcPr>
          <w:p w14:paraId="5D8F7BB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1,938 </w:t>
            </w:r>
          </w:p>
        </w:tc>
        <w:tc>
          <w:tcPr>
            <w:tcW w:w="284" w:type="dxa"/>
            <w:tcBorders>
              <w:top w:val="nil"/>
              <w:left w:val="nil"/>
              <w:bottom w:val="nil"/>
              <w:right w:val="nil"/>
            </w:tcBorders>
            <w:shd w:val="clear" w:color="auto" w:fill="auto"/>
            <w:noWrap/>
            <w:vAlign w:val="bottom"/>
            <w:hideMark/>
          </w:tcPr>
          <w:p w14:paraId="6489071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77E3179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1,137 </w:t>
            </w:r>
          </w:p>
        </w:tc>
      </w:tr>
      <w:tr w:rsidR="008E51EC" w:rsidRPr="008E51EC" w14:paraId="688EEF53"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2A7521C2"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Deferred income taxes</w:t>
            </w:r>
          </w:p>
        </w:tc>
        <w:tc>
          <w:tcPr>
            <w:tcW w:w="1593" w:type="dxa"/>
            <w:gridSpan w:val="3"/>
            <w:tcBorders>
              <w:top w:val="nil"/>
              <w:left w:val="nil"/>
              <w:bottom w:val="nil"/>
              <w:right w:val="nil"/>
            </w:tcBorders>
            <w:shd w:val="clear" w:color="auto" w:fill="auto"/>
            <w:noWrap/>
            <w:vAlign w:val="bottom"/>
            <w:hideMark/>
          </w:tcPr>
          <w:p w14:paraId="6A9CE25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1,632 </w:t>
            </w:r>
          </w:p>
        </w:tc>
        <w:tc>
          <w:tcPr>
            <w:tcW w:w="284" w:type="dxa"/>
            <w:tcBorders>
              <w:top w:val="nil"/>
              <w:left w:val="nil"/>
              <w:bottom w:val="nil"/>
              <w:right w:val="nil"/>
            </w:tcBorders>
            <w:shd w:val="clear" w:color="auto" w:fill="auto"/>
            <w:noWrap/>
            <w:vAlign w:val="bottom"/>
            <w:hideMark/>
          </w:tcPr>
          <w:p w14:paraId="1FA4462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7C2312A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2,035 </w:t>
            </w:r>
          </w:p>
        </w:tc>
      </w:tr>
      <w:tr w:rsidR="008E51EC" w:rsidRPr="008E51EC" w14:paraId="78A03489" w14:textId="77777777" w:rsidTr="008A4236">
        <w:trPr>
          <w:trHeight w:val="20"/>
        </w:trPr>
        <w:tc>
          <w:tcPr>
            <w:tcW w:w="5261" w:type="dxa"/>
            <w:gridSpan w:val="4"/>
            <w:tcBorders>
              <w:top w:val="nil"/>
              <w:left w:val="nil"/>
              <w:bottom w:val="single" w:sz="4" w:space="0" w:color="auto"/>
              <w:right w:val="nil"/>
            </w:tcBorders>
            <w:shd w:val="clear" w:color="auto" w:fill="auto"/>
            <w:noWrap/>
            <w:vAlign w:val="center"/>
            <w:hideMark/>
          </w:tcPr>
          <w:p w14:paraId="4E80239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Other</w:t>
            </w:r>
          </w:p>
        </w:tc>
        <w:tc>
          <w:tcPr>
            <w:tcW w:w="1593" w:type="dxa"/>
            <w:gridSpan w:val="3"/>
            <w:tcBorders>
              <w:top w:val="nil"/>
              <w:left w:val="nil"/>
              <w:bottom w:val="single" w:sz="4" w:space="0" w:color="auto"/>
              <w:right w:val="nil"/>
            </w:tcBorders>
            <w:shd w:val="clear" w:color="auto" w:fill="auto"/>
            <w:noWrap/>
            <w:vAlign w:val="bottom"/>
            <w:hideMark/>
          </w:tcPr>
          <w:p w14:paraId="24E2029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3,388 </w:t>
            </w:r>
          </w:p>
        </w:tc>
        <w:tc>
          <w:tcPr>
            <w:tcW w:w="284" w:type="dxa"/>
            <w:tcBorders>
              <w:top w:val="nil"/>
              <w:left w:val="nil"/>
              <w:bottom w:val="nil"/>
              <w:right w:val="nil"/>
            </w:tcBorders>
            <w:shd w:val="clear" w:color="auto" w:fill="auto"/>
            <w:noWrap/>
            <w:vAlign w:val="bottom"/>
            <w:hideMark/>
          </w:tcPr>
          <w:p w14:paraId="0D893CA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4" w:space="0" w:color="auto"/>
              <w:right w:val="nil"/>
            </w:tcBorders>
            <w:shd w:val="clear" w:color="auto" w:fill="auto"/>
            <w:noWrap/>
            <w:vAlign w:val="bottom"/>
            <w:hideMark/>
          </w:tcPr>
          <w:p w14:paraId="64E9CE6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3,092 </w:t>
            </w:r>
          </w:p>
        </w:tc>
      </w:tr>
      <w:tr w:rsidR="008E51EC" w:rsidRPr="008E51EC" w14:paraId="797436F0"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350C53EC"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current assets</w:t>
            </w:r>
          </w:p>
        </w:tc>
        <w:tc>
          <w:tcPr>
            <w:tcW w:w="1593" w:type="dxa"/>
            <w:gridSpan w:val="3"/>
            <w:tcBorders>
              <w:top w:val="nil"/>
              <w:left w:val="nil"/>
              <w:bottom w:val="nil"/>
              <w:right w:val="nil"/>
            </w:tcBorders>
            <w:shd w:val="clear" w:color="auto" w:fill="auto"/>
            <w:noWrap/>
            <w:vAlign w:val="bottom"/>
            <w:hideMark/>
          </w:tcPr>
          <w:p w14:paraId="34FC4AC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101,466 </w:t>
            </w:r>
          </w:p>
        </w:tc>
        <w:tc>
          <w:tcPr>
            <w:tcW w:w="284" w:type="dxa"/>
            <w:tcBorders>
              <w:top w:val="nil"/>
              <w:left w:val="nil"/>
              <w:bottom w:val="nil"/>
              <w:right w:val="nil"/>
            </w:tcBorders>
            <w:shd w:val="clear" w:color="auto" w:fill="auto"/>
            <w:noWrap/>
            <w:vAlign w:val="bottom"/>
            <w:hideMark/>
          </w:tcPr>
          <w:p w14:paraId="4DCE213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77DD222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85,084 </w:t>
            </w:r>
          </w:p>
        </w:tc>
      </w:tr>
      <w:tr w:rsidR="008E51EC" w:rsidRPr="008E51EC" w14:paraId="306F0657" w14:textId="77777777" w:rsidTr="008A4236">
        <w:trPr>
          <w:trHeight w:val="20"/>
        </w:trPr>
        <w:tc>
          <w:tcPr>
            <w:tcW w:w="5261" w:type="dxa"/>
            <w:gridSpan w:val="4"/>
            <w:tcBorders>
              <w:top w:val="nil"/>
              <w:left w:val="nil"/>
              <w:bottom w:val="nil"/>
              <w:right w:val="nil"/>
            </w:tcBorders>
            <w:shd w:val="clear" w:color="auto" w:fill="auto"/>
            <w:vAlign w:val="bottom"/>
            <w:hideMark/>
          </w:tcPr>
          <w:p w14:paraId="7A6C904B"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Property and equipment, net of accumulated</w:t>
            </w:r>
            <w:r w:rsidRPr="008E51EC">
              <w:rPr>
                <w:rFonts w:ascii="Segoe UI" w:eastAsia="Times New Roman" w:hAnsi="Segoe UI" w:cs="Segoe UI"/>
                <w:color w:val="666666"/>
                <w:sz w:val="20"/>
                <w:szCs w:val="20"/>
              </w:rPr>
              <w:br/>
              <w:t xml:space="preserve">  depreciation of </w:t>
            </w:r>
            <w:r w:rsidRPr="008E51EC">
              <w:rPr>
                <w:rFonts w:ascii="Segoe UI" w:eastAsia="Times New Roman" w:hAnsi="Segoe UI" w:cs="Segoe UI"/>
                <w:b/>
                <w:bCs/>
                <w:color w:val="666666"/>
                <w:sz w:val="20"/>
                <w:szCs w:val="20"/>
              </w:rPr>
              <w:t>$12,513</w:t>
            </w:r>
            <w:r w:rsidRPr="008E51EC">
              <w:rPr>
                <w:rFonts w:ascii="Segoe UI" w:eastAsia="Times New Roman" w:hAnsi="Segoe UI" w:cs="Segoe UI"/>
                <w:color w:val="666666"/>
                <w:sz w:val="20"/>
                <w:szCs w:val="20"/>
              </w:rPr>
              <w:t xml:space="preserve"> and $10,962</w:t>
            </w:r>
          </w:p>
        </w:tc>
        <w:tc>
          <w:tcPr>
            <w:tcW w:w="1593" w:type="dxa"/>
            <w:gridSpan w:val="3"/>
            <w:tcBorders>
              <w:top w:val="nil"/>
              <w:left w:val="nil"/>
              <w:bottom w:val="nil"/>
              <w:right w:val="nil"/>
            </w:tcBorders>
            <w:shd w:val="clear" w:color="auto" w:fill="auto"/>
            <w:noWrap/>
            <w:vAlign w:val="bottom"/>
            <w:hideMark/>
          </w:tcPr>
          <w:p w14:paraId="31E877D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9,991 </w:t>
            </w:r>
          </w:p>
        </w:tc>
        <w:tc>
          <w:tcPr>
            <w:tcW w:w="284" w:type="dxa"/>
            <w:tcBorders>
              <w:top w:val="nil"/>
              <w:left w:val="nil"/>
              <w:bottom w:val="nil"/>
              <w:right w:val="nil"/>
            </w:tcBorders>
            <w:shd w:val="clear" w:color="auto" w:fill="auto"/>
            <w:noWrap/>
            <w:vAlign w:val="bottom"/>
            <w:hideMark/>
          </w:tcPr>
          <w:p w14:paraId="3E4B6BC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6E72428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8,269 </w:t>
            </w:r>
          </w:p>
        </w:tc>
      </w:tr>
      <w:tr w:rsidR="008E51EC" w:rsidRPr="008E51EC" w14:paraId="0BCDC045"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2E53149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Equity and other investments</w:t>
            </w:r>
          </w:p>
        </w:tc>
        <w:tc>
          <w:tcPr>
            <w:tcW w:w="1593" w:type="dxa"/>
            <w:gridSpan w:val="3"/>
            <w:tcBorders>
              <w:top w:val="nil"/>
              <w:left w:val="nil"/>
              <w:bottom w:val="nil"/>
              <w:right w:val="nil"/>
            </w:tcBorders>
            <w:shd w:val="clear" w:color="auto" w:fill="auto"/>
            <w:noWrap/>
            <w:vAlign w:val="bottom"/>
            <w:hideMark/>
          </w:tcPr>
          <w:p w14:paraId="4449CEA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10,844 </w:t>
            </w:r>
          </w:p>
        </w:tc>
        <w:tc>
          <w:tcPr>
            <w:tcW w:w="284" w:type="dxa"/>
            <w:tcBorders>
              <w:top w:val="nil"/>
              <w:left w:val="nil"/>
              <w:bottom w:val="nil"/>
              <w:right w:val="nil"/>
            </w:tcBorders>
            <w:shd w:val="clear" w:color="auto" w:fill="auto"/>
            <w:noWrap/>
            <w:vAlign w:val="bottom"/>
            <w:hideMark/>
          </w:tcPr>
          <w:p w14:paraId="5E89C8C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66E8CB5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9,776 </w:t>
            </w:r>
          </w:p>
        </w:tc>
      </w:tr>
      <w:tr w:rsidR="008E51EC" w:rsidRPr="008E51EC" w14:paraId="26C57F33"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6F55CD9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Goodwill</w:t>
            </w:r>
          </w:p>
        </w:tc>
        <w:tc>
          <w:tcPr>
            <w:tcW w:w="1593" w:type="dxa"/>
            <w:gridSpan w:val="3"/>
            <w:tcBorders>
              <w:top w:val="nil"/>
              <w:left w:val="nil"/>
              <w:bottom w:val="nil"/>
              <w:right w:val="nil"/>
            </w:tcBorders>
            <w:shd w:val="clear" w:color="auto" w:fill="auto"/>
            <w:noWrap/>
            <w:vAlign w:val="bottom"/>
            <w:hideMark/>
          </w:tcPr>
          <w:p w14:paraId="49BDE2D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14,655 </w:t>
            </w:r>
          </w:p>
        </w:tc>
        <w:tc>
          <w:tcPr>
            <w:tcW w:w="284" w:type="dxa"/>
            <w:tcBorders>
              <w:top w:val="nil"/>
              <w:left w:val="nil"/>
              <w:bottom w:val="nil"/>
              <w:right w:val="nil"/>
            </w:tcBorders>
            <w:shd w:val="clear" w:color="auto" w:fill="auto"/>
            <w:noWrap/>
            <w:vAlign w:val="bottom"/>
            <w:hideMark/>
          </w:tcPr>
          <w:p w14:paraId="14B5289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04E3808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13,452 </w:t>
            </w:r>
          </w:p>
        </w:tc>
      </w:tr>
      <w:tr w:rsidR="008E51EC" w:rsidRPr="008E51EC" w14:paraId="17368722"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01AD930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Intangible assets, net</w:t>
            </w:r>
          </w:p>
        </w:tc>
        <w:tc>
          <w:tcPr>
            <w:tcW w:w="1593" w:type="dxa"/>
            <w:gridSpan w:val="3"/>
            <w:tcBorders>
              <w:top w:val="nil"/>
              <w:left w:val="nil"/>
              <w:bottom w:val="nil"/>
              <w:right w:val="nil"/>
            </w:tcBorders>
            <w:shd w:val="clear" w:color="auto" w:fill="auto"/>
            <w:noWrap/>
            <w:vAlign w:val="bottom"/>
            <w:hideMark/>
          </w:tcPr>
          <w:p w14:paraId="7AEF5D8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3,083 </w:t>
            </w:r>
          </w:p>
        </w:tc>
        <w:tc>
          <w:tcPr>
            <w:tcW w:w="284" w:type="dxa"/>
            <w:tcBorders>
              <w:top w:val="nil"/>
              <w:left w:val="nil"/>
              <w:bottom w:val="nil"/>
              <w:right w:val="nil"/>
            </w:tcBorders>
            <w:shd w:val="clear" w:color="auto" w:fill="auto"/>
            <w:noWrap/>
            <w:vAlign w:val="bottom"/>
            <w:hideMark/>
          </w:tcPr>
          <w:p w14:paraId="4BE3A49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772D12C8"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3,170 </w:t>
            </w:r>
          </w:p>
        </w:tc>
      </w:tr>
      <w:tr w:rsidR="008E51EC" w:rsidRPr="008E51EC" w14:paraId="4F399058" w14:textId="77777777" w:rsidTr="008A4236">
        <w:trPr>
          <w:trHeight w:val="20"/>
        </w:trPr>
        <w:tc>
          <w:tcPr>
            <w:tcW w:w="5261" w:type="dxa"/>
            <w:gridSpan w:val="4"/>
            <w:tcBorders>
              <w:top w:val="nil"/>
              <w:left w:val="nil"/>
              <w:bottom w:val="single" w:sz="4" w:space="0" w:color="auto"/>
              <w:right w:val="nil"/>
            </w:tcBorders>
            <w:shd w:val="clear" w:color="auto" w:fill="auto"/>
            <w:noWrap/>
            <w:vAlign w:val="bottom"/>
            <w:hideMark/>
          </w:tcPr>
          <w:p w14:paraId="21EADC3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Other long-term assets</w:t>
            </w:r>
          </w:p>
        </w:tc>
        <w:tc>
          <w:tcPr>
            <w:tcW w:w="1593" w:type="dxa"/>
            <w:gridSpan w:val="3"/>
            <w:tcBorders>
              <w:top w:val="nil"/>
              <w:left w:val="nil"/>
              <w:bottom w:val="single" w:sz="4" w:space="0" w:color="auto"/>
              <w:right w:val="nil"/>
            </w:tcBorders>
            <w:shd w:val="clear" w:color="auto" w:fill="auto"/>
            <w:noWrap/>
            <w:vAlign w:val="bottom"/>
            <w:hideMark/>
          </w:tcPr>
          <w:p w14:paraId="4A0F4B6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2,392 </w:t>
            </w:r>
          </w:p>
        </w:tc>
        <w:tc>
          <w:tcPr>
            <w:tcW w:w="284" w:type="dxa"/>
            <w:tcBorders>
              <w:top w:val="nil"/>
              <w:left w:val="nil"/>
              <w:bottom w:val="nil"/>
              <w:right w:val="nil"/>
            </w:tcBorders>
            <w:shd w:val="clear" w:color="auto" w:fill="auto"/>
            <w:noWrap/>
            <w:vAlign w:val="bottom"/>
            <w:hideMark/>
          </w:tcPr>
          <w:p w14:paraId="47CB857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4" w:space="0" w:color="auto"/>
              <w:right w:val="nil"/>
            </w:tcBorders>
            <w:shd w:val="clear" w:color="auto" w:fill="auto"/>
            <w:noWrap/>
            <w:vAlign w:val="bottom"/>
            <w:hideMark/>
          </w:tcPr>
          <w:p w14:paraId="65CB9C5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1,520 </w:t>
            </w:r>
          </w:p>
        </w:tc>
      </w:tr>
      <w:tr w:rsidR="008E51EC" w:rsidRPr="008E51EC" w14:paraId="3F8DE62F"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6E63588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assets</w:t>
            </w:r>
          </w:p>
        </w:tc>
        <w:tc>
          <w:tcPr>
            <w:tcW w:w="1593" w:type="dxa"/>
            <w:gridSpan w:val="3"/>
            <w:tcBorders>
              <w:top w:val="nil"/>
              <w:left w:val="nil"/>
              <w:bottom w:val="single" w:sz="8" w:space="0" w:color="auto"/>
              <w:right w:val="nil"/>
            </w:tcBorders>
            <w:shd w:val="clear" w:color="auto" w:fill="auto"/>
            <w:noWrap/>
            <w:vAlign w:val="bottom"/>
            <w:hideMark/>
          </w:tcPr>
          <w:p w14:paraId="74484E1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142,431 </w:t>
            </w:r>
          </w:p>
        </w:tc>
        <w:tc>
          <w:tcPr>
            <w:tcW w:w="284" w:type="dxa"/>
            <w:tcBorders>
              <w:top w:val="nil"/>
              <w:left w:val="nil"/>
              <w:bottom w:val="nil"/>
              <w:right w:val="nil"/>
            </w:tcBorders>
            <w:shd w:val="clear" w:color="auto" w:fill="auto"/>
            <w:noWrap/>
            <w:vAlign w:val="bottom"/>
            <w:hideMark/>
          </w:tcPr>
          <w:p w14:paraId="14E7DB5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8" w:space="0" w:color="auto"/>
              <w:right w:val="nil"/>
            </w:tcBorders>
            <w:shd w:val="clear" w:color="auto" w:fill="auto"/>
            <w:noWrap/>
            <w:vAlign w:val="bottom"/>
            <w:hideMark/>
          </w:tcPr>
          <w:p w14:paraId="1DD64125"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121,271 </w:t>
            </w:r>
          </w:p>
        </w:tc>
      </w:tr>
      <w:tr w:rsidR="008E51EC" w:rsidRPr="008E51EC" w14:paraId="44A4EFBF"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41C4665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p>
        </w:tc>
        <w:tc>
          <w:tcPr>
            <w:tcW w:w="1593" w:type="dxa"/>
            <w:gridSpan w:val="3"/>
            <w:tcBorders>
              <w:top w:val="nil"/>
              <w:left w:val="nil"/>
              <w:bottom w:val="nil"/>
              <w:right w:val="nil"/>
            </w:tcBorders>
            <w:shd w:val="clear" w:color="auto" w:fill="auto"/>
            <w:noWrap/>
            <w:vAlign w:val="bottom"/>
            <w:hideMark/>
          </w:tcPr>
          <w:p w14:paraId="26966269" w14:textId="77777777" w:rsidR="008E51EC" w:rsidRPr="008E51EC" w:rsidRDefault="008E51EC" w:rsidP="008E51EC">
            <w:pPr>
              <w:spacing w:after="0" w:line="240" w:lineRule="auto"/>
              <w:rPr>
                <w:rFonts w:ascii="Times New Roman" w:eastAsia="Times New Roman" w:hAnsi="Times New Roman"/>
                <w:sz w:val="20"/>
                <w:szCs w:val="20"/>
              </w:rPr>
            </w:pPr>
          </w:p>
        </w:tc>
        <w:tc>
          <w:tcPr>
            <w:tcW w:w="284" w:type="dxa"/>
            <w:tcBorders>
              <w:top w:val="nil"/>
              <w:left w:val="nil"/>
              <w:bottom w:val="nil"/>
              <w:right w:val="nil"/>
            </w:tcBorders>
            <w:shd w:val="clear" w:color="auto" w:fill="auto"/>
            <w:noWrap/>
            <w:vAlign w:val="bottom"/>
            <w:hideMark/>
          </w:tcPr>
          <w:p w14:paraId="724A0AF7"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1D93A81C"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20953111"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068E475C"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Liabilities and stockholders' equity</w:t>
            </w:r>
          </w:p>
        </w:tc>
        <w:tc>
          <w:tcPr>
            <w:tcW w:w="1593" w:type="dxa"/>
            <w:gridSpan w:val="3"/>
            <w:tcBorders>
              <w:top w:val="nil"/>
              <w:left w:val="nil"/>
              <w:bottom w:val="nil"/>
              <w:right w:val="nil"/>
            </w:tcBorders>
            <w:shd w:val="clear" w:color="auto" w:fill="auto"/>
            <w:noWrap/>
            <w:vAlign w:val="bottom"/>
            <w:hideMark/>
          </w:tcPr>
          <w:p w14:paraId="1B544727"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284" w:type="dxa"/>
            <w:tcBorders>
              <w:top w:val="nil"/>
              <w:left w:val="nil"/>
              <w:bottom w:val="nil"/>
              <w:right w:val="nil"/>
            </w:tcBorders>
            <w:shd w:val="clear" w:color="auto" w:fill="auto"/>
            <w:noWrap/>
            <w:vAlign w:val="bottom"/>
            <w:hideMark/>
          </w:tcPr>
          <w:p w14:paraId="0B3A5586"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57EFAB8D"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200DF1F8"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168821C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Current liabilities:</w:t>
            </w:r>
          </w:p>
        </w:tc>
        <w:tc>
          <w:tcPr>
            <w:tcW w:w="1593" w:type="dxa"/>
            <w:gridSpan w:val="3"/>
            <w:tcBorders>
              <w:top w:val="nil"/>
              <w:left w:val="nil"/>
              <w:bottom w:val="nil"/>
              <w:right w:val="nil"/>
            </w:tcBorders>
            <w:shd w:val="clear" w:color="auto" w:fill="auto"/>
            <w:noWrap/>
            <w:vAlign w:val="bottom"/>
            <w:hideMark/>
          </w:tcPr>
          <w:p w14:paraId="7F84CFDE"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284" w:type="dxa"/>
            <w:tcBorders>
              <w:top w:val="nil"/>
              <w:left w:val="nil"/>
              <w:bottom w:val="nil"/>
              <w:right w:val="nil"/>
            </w:tcBorders>
            <w:shd w:val="clear" w:color="auto" w:fill="auto"/>
            <w:noWrap/>
            <w:vAlign w:val="bottom"/>
            <w:hideMark/>
          </w:tcPr>
          <w:p w14:paraId="25276C2A"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746D4C1D"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35F2572E"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52086D44"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Accounts payable</w:t>
            </w:r>
          </w:p>
        </w:tc>
        <w:tc>
          <w:tcPr>
            <w:tcW w:w="1593" w:type="dxa"/>
            <w:gridSpan w:val="3"/>
            <w:tcBorders>
              <w:top w:val="nil"/>
              <w:left w:val="nil"/>
              <w:bottom w:val="nil"/>
              <w:right w:val="nil"/>
            </w:tcBorders>
            <w:shd w:val="clear" w:color="auto" w:fill="auto"/>
            <w:noWrap/>
            <w:vAlign w:val="bottom"/>
            <w:hideMark/>
          </w:tcPr>
          <w:p w14:paraId="2854B00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4,828 </w:t>
            </w:r>
          </w:p>
        </w:tc>
        <w:tc>
          <w:tcPr>
            <w:tcW w:w="284" w:type="dxa"/>
            <w:tcBorders>
              <w:top w:val="nil"/>
              <w:left w:val="nil"/>
              <w:bottom w:val="nil"/>
              <w:right w:val="nil"/>
            </w:tcBorders>
            <w:shd w:val="clear" w:color="auto" w:fill="auto"/>
            <w:noWrap/>
            <w:vAlign w:val="bottom"/>
            <w:hideMark/>
          </w:tcPr>
          <w:p w14:paraId="53F2E79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28AAA7C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4,175 </w:t>
            </w:r>
          </w:p>
        </w:tc>
      </w:tr>
      <w:tr w:rsidR="008E51EC" w:rsidRPr="008E51EC" w14:paraId="4A2FCF14"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2D073EC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Current portion of long-term debt</w:t>
            </w:r>
          </w:p>
        </w:tc>
        <w:tc>
          <w:tcPr>
            <w:tcW w:w="1593" w:type="dxa"/>
            <w:gridSpan w:val="3"/>
            <w:tcBorders>
              <w:top w:val="nil"/>
              <w:left w:val="nil"/>
              <w:bottom w:val="nil"/>
              <w:right w:val="nil"/>
            </w:tcBorders>
            <w:shd w:val="clear" w:color="auto" w:fill="auto"/>
            <w:noWrap/>
            <w:vAlign w:val="bottom"/>
            <w:hideMark/>
          </w:tcPr>
          <w:p w14:paraId="0A01161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2,999 </w:t>
            </w:r>
          </w:p>
        </w:tc>
        <w:tc>
          <w:tcPr>
            <w:tcW w:w="284" w:type="dxa"/>
            <w:tcBorders>
              <w:top w:val="nil"/>
              <w:left w:val="nil"/>
              <w:bottom w:val="nil"/>
              <w:right w:val="nil"/>
            </w:tcBorders>
            <w:shd w:val="clear" w:color="auto" w:fill="auto"/>
            <w:noWrap/>
            <w:vAlign w:val="bottom"/>
            <w:hideMark/>
          </w:tcPr>
          <w:p w14:paraId="66B84A9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47134AF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1,231 </w:t>
            </w:r>
          </w:p>
        </w:tc>
      </w:tr>
      <w:tr w:rsidR="008E51EC" w:rsidRPr="008E51EC" w14:paraId="6E2BA0F3"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27281AF1"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Accrued compensation</w:t>
            </w:r>
          </w:p>
        </w:tc>
        <w:tc>
          <w:tcPr>
            <w:tcW w:w="1593" w:type="dxa"/>
            <w:gridSpan w:val="3"/>
            <w:tcBorders>
              <w:top w:val="nil"/>
              <w:left w:val="nil"/>
              <w:bottom w:val="nil"/>
              <w:right w:val="nil"/>
            </w:tcBorders>
            <w:shd w:val="clear" w:color="auto" w:fill="auto"/>
            <w:noWrap/>
            <w:vAlign w:val="bottom"/>
            <w:hideMark/>
          </w:tcPr>
          <w:p w14:paraId="489E5FE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4,117 </w:t>
            </w:r>
          </w:p>
        </w:tc>
        <w:tc>
          <w:tcPr>
            <w:tcW w:w="284" w:type="dxa"/>
            <w:tcBorders>
              <w:top w:val="nil"/>
              <w:left w:val="nil"/>
              <w:bottom w:val="nil"/>
              <w:right w:val="nil"/>
            </w:tcBorders>
            <w:shd w:val="clear" w:color="auto" w:fill="auto"/>
            <w:noWrap/>
            <w:vAlign w:val="bottom"/>
            <w:hideMark/>
          </w:tcPr>
          <w:p w14:paraId="7ED0E36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2EB1984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3,875 </w:t>
            </w:r>
          </w:p>
        </w:tc>
      </w:tr>
      <w:tr w:rsidR="008E51EC" w:rsidRPr="008E51EC" w14:paraId="03AA9237"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1ACA7D3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Income taxes</w:t>
            </w:r>
          </w:p>
        </w:tc>
        <w:tc>
          <w:tcPr>
            <w:tcW w:w="1593" w:type="dxa"/>
            <w:gridSpan w:val="3"/>
            <w:tcBorders>
              <w:top w:val="nil"/>
              <w:left w:val="nil"/>
              <w:bottom w:val="nil"/>
              <w:right w:val="nil"/>
            </w:tcBorders>
            <w:shd w:val="clear" w:color="auto" w:fill="auto"/>
            <w:noWrap/>
            <w:vAlign w:val="bottom"/>
            <w:hideMark/>
          </w:tcPr>
          <w:p w14:paraId="6532996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592 </w:t>
            </w:r>
          </w:p>
        </w:tc>
        <w:tc>
          <w:tcPr>
            <w:tcW w:w="284" w:type="dxa"/>
            <w:tcBorders>
              <w:top w:val="nil"/>
              <w:left w:val="nil"/>
              <w:bottom w:val="nil"/>
              <w:right w:val="nil"/>
            </w:tcBorders>
            <w:shd w:val="clear" w:color="auto" w:fill="auto"/>
            <w:noWrap/>
            <w:vAlign w:val="bottom"/>
            <w:hideMark/>
          </w:tcPr>
          <w:p w14:paraId="61339F8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147C67E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789 </w:t>
            </w:r>
          </w:p>
        </w:tc>
      </w:tr>
      <w:tr w:rsidR="008E51EC" w:rsidRPr="008E51EC" w14:paraId="1D87662F"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41B7E92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Short-term unearned revenue</w:t>
            </w:r>
          </w:p>
        </w:tc>
        <w:tc>
          <w:tcPr>
            <w:tcW w:w="1593" w:type="dxa"/>
            <w:gridSpan w:val="3"/>
            <w:tcBorders>
              <w:top w:val="nil"/>
              <w:left w:val="nil"/>
              <w:bottom w:val="nil"/>
              <w:right w:val="nil"/>
            </w:tcBorders>
            <w:shd w:val="clear" w:color="auto" w:fill="auto"/>
            <w:noWrap/>
            <w:vAlign w:val="bottom"/>
            <w:hideMark/>
          </w:tcPr>
          <w:p w14:paraId="477928B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20,639 </w:t>
            </w:r>
          </w:p>
        </w:tc>
        <w:tc>
          <w:tcPr>
            <w:tcW w:w="284" w:type="dxa"/>
            <w:tcBorders>
              <w:top w:val="nil"/>
              <w:left w:val="nil"/>
              <w:bottom w:val="nil"/>
              <w:right w:val="nil"/>
            </w:tcBorders>
            <w:shd w:val="clear" w:color="auto" w:fill="auto"/>
            <w:noWrap/>
            <w:vAlign w:val="bottom"/>
            <w:hideMark/>
          </w:tcPr>
          <w:p w14:paraId="0E1C6F6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73EB1B68"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18,653 </w:t>
            </w:r>
          </w:p>
        </w:tc>
      </w:tr>
      <w:tr w:rsidR="008E51EC" w:rsidRPr="008E51EC" w14:paraId="2AB75BF5"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6E67E73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Securities lending payable</w:t>
            </w:r>
          </w:p>
        </w:tc>
        <w:tc>
          <w:tcPr>
            <w:tcW w:w="1593" w:type="dxa"/>
            <w:gridSpan w:val="3"/>
            <w:tcBorders>
              <w:top w:val="nil"/>
              <w:left w:val="nil"/>
              <w:bottom w:val="nil"/>
              <w:right w:val="nil"/>
            </w:tcBorders>
            <w:shd w:val="clear" w:color="auto" w:fill="auto"/>
            <w:noWrap/>
            <w:vAlign w:val="bottom"/>
            <w:hideMark/>
          </w:tcPr>
          <w:p w14:paraId="231E60D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645 </w:t>
            </w:r>
          </w:p>
        </w:tc>
        <w:tc>
          <w:tcPr>
            <w:tcW w:w="284" w:type="dxa"/>
            <w:tcBorders>
              <w:top w:val="nil"/>
              <w:left w:val="nil"/>
              <w:bottom w:val="nil"/>
              <w:right w:val="nil"/>
            </w:tcBorders>
            <w:shd w:val="clear" w:color="auto" w:fill="auto"/>
            <w:noWrap/>
            <w:vAlign w:val="bottom"/>
            <w:hideMark/>
          </w:tcPr>
          <w:p w14:paraId="5F7681C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605EAA4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814 </w:t>
            </w:r>
          </w:p>
        </w:tc>
      </w:tr>
      <w:tr w:rsidR="008E51EC" w:rsidRPr="008E51EC" w14:paraId="44D7A09E" w14:textId="77777777" w:rsidTr="008A4236">
        <w:trPr>
          <w:trHeight w:val="20"/>
        </w:trPr>
        <w:tc>
          <w:tcPr>
            <w:tcW w:w="5261" w:type="dxa"/>
            <w:gridSpan w:val="4"/>
            <w:tcBorders>
              <w:top w:val="nil"/>
              <w:left w:val="nil"/>
              <w:bottom w:val="single" w:sz="4" w:space="0" w:color="auto"/>
              <w:right w:val="nil"/>
            </w:tcBorders>
            <w:shd w:val="clear" w:color="auto" w:fill="auto"/>
            <w:noWrap/>
            <w:vAlign w:val="bottom"/>
            <w:hideMark/>
          </w:tcPr>
          <w:p w14:paraId="574F8AA3"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Other</w:t>
            </w:r>
          </w:p>
        </w:tc>
        <w:tc>
          <w:tcPr>
            <w:tcW w:w="1593" w:type="dxa"/>
            <w:gridSpan w:val="3"/>
            <w:tcBorders>
              <w:top w:val="nil"/>
              <w:left w:val="nil"/>
              <w:bottom w:val="single" w:sz="4" w:space="0" w:color="auto"/>
              <w:right w:val="nil"/>
            </w:tcBorders>
            <w:shd w:val="clear" w:color="auto" w:fill="auto"/>
            <w:noWrap/>
            <w:vAlign w:val="bottom"/>
            <w:hideMark/>
          </w:tcPr>
          <w:p w14:paraId="218677B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3,597 </w:t>
            </w:r>
          </w:p>
        </w:tc>
        <w:tc>
          <w:tcPr>
            <w:tcW w:w="284" w:type="dxa"/>
            <w:tcBorders>
              <w:top w:val="nil"/>
              <w:left w:val="nil"/>
              <w:bottom w:val="nil"/>
              <w:right w:val="nil"/>
            </w:tcBorders>
            <w:shd w:val="clear" w:color="auto" w:fill="auto"/>
            <w:noWrap/>
            <w:vAlign w:val="bottom"/>
            <w:hideMark/>
          </w:tcPr>
          <w:p w14:paraId="3EAC766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4" w:space="0" w:color="auto"/>
              <w:right w:val="nil"/>
            </w:tcBorders>
            <w:shd w:val="clear" w:color="auto" w:fill="auto"/>
            <w:noWrap/>
            <w:vAlign w:val="bottom"/>
            <w:hideMark/>
          </w:tcPr>
          <w:p w14:paraId="7947716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3,151 </w:t>
            </w:r>
          </w:p>
        </w:tc>
      </w:tr>
      <w:tr w:rsidR="008E51EC" w:rsidRPr="008E51EC" w14:paraId="4B377679"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1F399974"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current liabilities</w:t>
            </w:r>
          </w:p>
        </w:tc>
        <w:tc>
          <w:tcPr>
            <w:tcW w:w="1593" w:type="dxa"/>
            <w:gridSpan w:val="3"/>
            <w:tcBorders>
              <w:top w:val="nil"/>
              <w:left w:val="nil"/>
              <w:bottom w:val="nil"/>
              <w:right w:val="nil"/>
            </w:tcBorders>
            <w:shd w:val="clear" w:color="auto" w:fill="auto"/>
            <w:noWrap/>
            <w:vAlign w:val="bottom"/>
            <w:hideMark/>
          </w:tcPr>
          <w:p w14:paraId="7FC0B8A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37,417 </w:t>
            </w:r>
          </w:p>
        </w:tc>
        <w:tc>
          <w:tcPr>
            <w:tcW w:w="284" w:type="dxa"/>
            <w:tcBorders>
              <w:top w:val="nil"/>
              <w:left w:val="nil"/>
              <w:bottom w:val="nil"/>
              <w:right w:val="nil"/>
            </w:tcBorders>
            <w:shd w:val="clear" w:color="auto" w:fill="auto"/>
            <w:noWrap/>
            <w:vAlign w:val="bottom"/>
            <w:hideMark/>
          </w:tcPr>
          <w:p w14:paraId="1F77C8E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5162828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32,688 </w:t>
            </w:r>
          </w:p>
        </w:tc>
      </w:tr>
      <w:tr w:rsidR="008E51EC" w:rsidRPr="008E51EC" w14:paraId="1009FE25"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29C8E79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Long-term debt</w:t>
            </w:r>
          </w:p>
        </w:tc>
        <w:tc>
          <w:tcPr>
            <w:tcW w:w="1593" w:type="dxa"/>
            <w:gridSpan w:val="3"/>
            <w:tcBorders>
              <w:top w:val="nil"/>
              <w:left w:val="nil"/>
              <w:bottom w:val="nil"/>
              <w:right w:val="nil"/>
            </w:tcBorders>
            <w:shd w:val="clear" w:color="auto" w:fill="auto"/>
            <w:noWrap/>
            <w:vAlign w:val="bottom"/>
            <w:hideMark/>
          </w:tcPr>
          <w:p w14:paraId="1B6920F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12,601 </w:t>
            </w:r>
          </w:p>
        </w:tc>
        <w:tc>
          <w:tcPr>
            <w:tcW w:w="284" w:type="dxa"/>
            <w:tcBorders>
              <w:top w:val="nil"/>
              <w:left w:val="nil"/>
              <w:bottom w:val="nil"/>
              <w:right w:val="nil"/>
            </w:tcBorders>
            <w:shd w:val="clear" w:color="auto" w:fill="auto"/>
            <w:noWrap/>
            <w:vAlign w:val="bottom"/>
            <w:hideMark/>
          </w:tcPr>
          <w:p w14:paraId="2B2345E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033E81E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10,713 </w:t>
            </w:r>
          </w:p>
        </w:tc>
      </w:tr>
      <w:tr w:rsidR="008E51EC" w:rsidRPr="008E51EC" w14:paraId="31C4F303"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6A677DA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Long-term unearned revenue</w:t>
            </w:r>
          </w:p>
        </w:tc>
        <w:tc>
          <w:tcPr>
            <w:tcW w:w="1593" w:type="dxa"/>
            <w:gridSpan w:val="3"/>
            <w:tcBorders>
              <w:top w:val="nil"/>
              <w:left w:val="nil"/>
              <w:bottom w:val="nil"/>
              <w:right w:val="nil"/>
            </w:tcBorders>
            <w:shd w:val="clear" w:color="auto" w:fill="auto"/>
            <w:noWrap/>
            <w:vAlign w:val="bottom"/>
            <w:hideMark/>
          </w:tcPr>
          <w:p w14:paraId="1F4C409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1,760 </w:t>
            </w:r>
          </w:p>
        </w:tc>
        <w:tc>
          <w:tcPr>
            <w:tcW w:w="284" w:type="dxa"/>
            <w:tcBorders>
              <w:top w:val="nil"/>
              <w:left w:val="nil"/>
              <w:bottom w:val="nil"/>
              <w:right w:val="nil"/>
            </w:tcBorders>
            <w:shd w:val="clear" w:color="auto" w:fill="auto"/>
            <w:noWrap/>
            <w:vAlign w:val="bottom"/>
            <w:hideMark/>
          </w:tcPr>
          <w:p w14:paraId="4B56C14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5A4204F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1,406 </w:t>
            </w:r>
          </w:p>
        </w:tc>
      </w:tr>
      <w:tr w:rsidR="008E51EC" w:rsidRPr="008E51EC" w14:paraId="62544721"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6BAB82EB"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Deferred income taxes</w:t>
            </w:r>
          </w:p>
        </w:tc>
        <w:tc>
          <w:tcPr>
            <w:tcW w:w="1593" w:type="dxa"/>
            <w:gridSpan w:val="3"/>
            <w:tcBorders>
              <w:top w:val="nil"/>
              <w:left w:val="nil"/>
              <w:bottom w:val="nil"/>
              <w:right w:val="nil"/>
            </w:tcBorders>
            <w:shd w:val="clear" w:color="auto" w:fill="auto"/>
            <w:noWrap/>
            <w:vAlign w:val="bottom"/>
            <w:hideMark/>
          </w:tcPr>
          <w:p w14:paraId="2DCA607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1,709 </w:t>
            </w:r>
          </w:p>
        </w:tc>
        <w:tc>
          <w:tcPr>
            <w:tcW w:w="284" w:type="dxa"/>
            <w:tcBorders>
              <w:top w:val="nil"/>
              <w:left w:val="nil"/>
              <w:bottom w:val="nil"/>
              <w:right w:val="nil"/>
            </w:tcBorders>
            <w:shd w:val="clear" w:color="auto" w:fill="auto"/>
            <w:noWrap/>
            <w:vAlign w:val="bottom"/>
            <w:hideMark/>
          </w:tcPr>
          <w:p w14:paraId="47E483A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249AD118"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1,893 </w:t>
            </w:r>
          </w:p>
        </w:tc>
      </w:tr>
      <w:tr w:rsidR="008E51EC" w:rsidRPr="008E51EC" w14:paraId="6BA3FCB5" w14:textId="77777777" w:rsidTr="008A4236">
        <w:trPr>
          <w:trHeight w:val="20"/>
        </w:trPr>
        <w:tc>
          <w:tcPr>
            <w:tcW w:w="5261" w:type="dxa"/>
            <w:gridSpan w:val="4"/>
            <w:tcBorders>
              <w:top w:val="nil"/>
              <w:left w:val="nil"/>
              <w:bottom w:val="single" w:sz="4" w:space="0" w:color="auto"/>
              <w:right w:val="nil"/>
            </w:tcBorders>
            <w:shd w:val="clear" w:color="auto" w:fill="auto"/>
            <w:noWrap/>
            <w:vAlign w:val="bottom"/>
            <w:hideMark/>
          </w:tcPr>
          <w:p w14:paraId="5639ACC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Other long-term liabilities</w:t>
            </w:r>
          </w:p>
        </w:tc>
        <w:tc>
          <w:tcPr>
            <w:tcW w:w="1593" w:type="dxa"/>
            <w:gridSpan w:val="3"/>
            <w:tcBorders>
              <w:top w:val="nil"/>
              <w:left w:val="nil"/>
              <w:bottom w:val="single" w:sz="4" w:space="0" w:color="auto"/>
              <w:right w:val="nil"/>
            </w:tcBorders>
            <w:shd w:val="clear" w:color="auto" w:fill="auto"/>
            <w:noWrap/>
            <w:vAlign w:val="bottom"/>
            <w:hideMark/>
          </w:tcPr>
          <w:p w14:paraId="7DA64EC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10,000 </w:t>
            </w:r>
          </w:p>
        </w:tc>
        <w:tc>
          <w:tcPr>
            <w:tcW w:w="284" w:type="dxa"/>
            <w:tcBorders>
              <w:top w:val="nil"/>
              <w:left w:val="nil"/>
              <w:bottom w:val="nil"/>
              <w:right w:val="nil"/>
            </w:tcBorders>
            <w:shd w:val="clear" w:color="auto" w:fill="auto"/>
            <w:noWrap/>
            <w:vAlign w:val="bottom"/>
            <w:hideMark/>
          </w:tcPr>
          <w:p w14:paraId="7029AF4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4" w:space="0" w:color="auto"/>
              <w:right w:val="nil"/>
            </w:tcBorders>
            <w:shd w:val="clear" w:color="auto" w:fill="auto"/>
            <w:noWrap/>
            <w:vAlign w:val="bottom"/>
            <w:hideMark/>
          </w:tcPr>
          <w:p w14:paraId="0A36994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8,208 </w:t>
            </w:r>
          </w:p>
        </w:tc>
      </w:tr>
      <w:tr w:rsidR="008E51EC" w:rsidRPr="008E51EC" w14:paraId="17A05C1B" w14:textId="77777777" w:rsidTr="008A4236">
        <w:trPr>
          <w:trHeight w:val="20"/>
        </w:trPr>
        <w:tc>
          <w:tcPr>
            <w:tcW w:w="5261" w:type="dxa"/>
            <w:gridSpan w:val="4"/>
            <w:tcBorders>
              <w:top w:val="nil"/>
              <w:left w:val="nil"/>
              <w:bottom w:val="single" w:sz="4" w:space="0" w:color="auto"/>
              <w:right w:val="nil"/>
            </w:tcBorders>
            <w:shd w:val="clear" w:color="auto" w:fill="auto"/>
            <w:noWrap/>
            <w:vAlign w:val="bottom"/>
            <w:hideMark/>
          </w:tcPr>
          <w:p w14:paraId="0D228E83"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liabilities</w:t>
            </w:r>
          </w:p>
        </w:tc>
        <w:tc>
          <w:tcPr>
            <w:tcW w:w="1593" w:type="dxa"/>
            <w:gridSpan w:val="3"/>
            <w:tcBorders>
              <w:top w:val="nil"/>
              <w:left w:val="nil"/>
              <w:bottom w:val="single" w:sz="4" w:space="0" w:color="auto"/>
              <w:right w:val="nil"/>
            </w:tcBorders>
            <w:shd w:val="clear" w:color="auto" w:fill="auto"/>
            <w:noWrap/>
            <w:vAlign w:val="bottom"/>
            <w:hideMark/>
          </w:tcPr>
          <w:p w14:paraId="01C1FAA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63,487 </w:t>
            </w:r>
          </w:p>
        </w:tc>
        <w:tc>
          <w:tcPr>
            <w:tcW w:w="284" w:type="dxa"/>
            <w:tcBorders>
              <w:top w:val="nil"/>
              <w:left w:val="nil"/>
              <w:bottom w:val="nil"/>
              <w:right w:val="nil"/>
            </w:tcBorders>
            <w:shd w:val="clear" w:color="auto" w:fill="auto"/>
            <w:noWrap/>
            <w:vAlign w:val="bottom"/>
            <w:hideMark/>
          </w:tcPr>
          <w:p w14:paraId="09B9A1F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4" w:space="0" w:color="auto"/>
              <w:right w:val="nil"/>
            </w:tcBorders>
            <w:shd w:val="clear" w:color="auto" w:fill="auto"/>
            <w:noWrap/>
            <w:vAlign w:val="bottom"/>
            <w:hideMark/>
          </w:tcPr>
          <w:p w14:paraId="3186B37C"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54,908 </w:t>
            </w:r>
          </w:p>
        </w:tc>
      </w:tr>
      <w:tr w:rsidR="008E51EC" w:rsidRPr="008E51EC" w14:paraId="7C46774E"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7DFA27A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Commitments and contingencies</w:t>
            </w:r>
          </w:p>
        </w:tc>
        <w:tc>
          <w:tcPr>
            <w:tcW w:w="1593" w:type="dxa"/>
            <w:gridSpan w:val="3"/>
            <w:tcBorders>
              <w:top w:val="nil"/>
              <w:left w:val="nil"/>
              <w:bottom w:val="nil"/>
              <w:right w:val="nil"/>
            </w:tcBorders>
            <w:shd w:val="clear" w:color="auto" w:fill="auto"/>
            <w:noWrap/>
            <w:vAlign w:val="bottom"/>
            <w:hideMark/>
          </w:tcPr>
          <w:p w14:paraId="00CFF778"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284" w:type="dxa"/>
            <w:tcBorders>
              <w:top w:val="nil"/>
              <w:left w:val="nil"/>
              <w:bottom w:val="nil"/>
              <w:right w:val="nil"/>
            </w:tcBorders>
            <w:shd w:val="clear" w:color="auto" w:fill="auto"/>
            <w:noWrap/>
            <w:vAlign w:val="bottom"/>
            <w:hideMark/>
          </w:tcPr>
          <w:p w14:paraId="45555E88"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77185A20"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71AF755A"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365BEAF1"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Stockholders' equity:</w:t>
            </w:r>
          </w:p>
        </w:tc>
        <w:tc>
          <w:tcPr>
            <w:tcW w:w="1593" w:type="dxa"/>
            <w:gridSpan w:val="3"/>
            <w:tcBorders>
              <w:top w:val="nil"/>
              <w:left w:val="nil"/>
              <w:bottom w:val="nil"/>
              <w:right w:val="nil"/>
            </w:tcBorders>
            <w:shd w:val="clear" w:color="auto" w:fill="auto"/>
            <w:noWrap/>
            <w:vAlign w:val="bottom"/>
            <w:hideMark/>
          </w:tcPr>
          <w:p w14:paraId="7F50DFE9" w14:textId="77777777" w:rsidR="008E51EC" w:rsidRPr="008E51EC" w:rsidRDefault="008E51EC" w:rsidP="008E51EC">
            <w:pPr>
              <w:spacing w:after="0" w:line="240" w:lineRule="auto"/>
              <w:rPr>
                <w:rFonts w:ascii="Segoe UI" w:eastAsia="Times New Roman" w:hAnsi="Segoe UI" w:cs="Segoe UI"/>
                <w:color w:val="666666"/>
                <w:sz w:val="20"/>
                <w:szCs w:val="20"/>
              </w:rPr>
            </w:pPr>
          </w:p>
        </w:tc>
        <w:tc>
          <w:tcPr>
            <w:tcW w:w="284" w:type="dxa"/>
            <w:tcBorders>
              <w:top w:val="nil"/>
              <w:left w:val="nil"/>
              <w:bottom w:val="nil"/>
              <w:right w:val="nil"/>
            </w:tcBorders>
            <w:shd w:val="clear" w:color="auto" w:fill="auto"/>
            <w:noWrap/>
            <w:vAlign w:val="bottom"/>
            <w:hideMark/>
          </w:tcPr>
          <w:p w14:paraId="5CAAEEF8" w14:textId="77777777" w:rsidR="008E51EC" w:rsidRPr="008E51EC" w:rsidRDefault="008E51EC" w:rsidP="008E51EC">
            <w:pPr>
              <w:spacing w:after="0" w:line="240" w:lineRule="auto"/>
              <w:jc w:val="right"/>
              <w:rPr>
                <w:rFonts w:ascii="Times New Roman" w:eastAsia="Times New Roman" w:hAnsi="Times New Roman"/>
                <w:sz w:val="20"/>
                <w:szCs w:val="20"/>
              </w:rPr>
            </w:pPr>
          </w:p>
        </w:tc>
        <w:tc>
          <w:tcPr>
            <w:tcW w:w="1230" w:type="dxa"/>
            <w:gridSpan w:val="2"/>
            <w:tcBorders>
              <w:top w:val="nil"/>
              <w:left w:val="nil"/>
              <w:bottom w:val="nil"/>
              <w:right w:val="nil"/>
            </w:tcBorders>
            <w:shd w:val="clear" w:color="auto" w:fill="auto"/>
            <w:noWrap/>
            <w:vAlign w:val="bottom"/>
            <w:hideMark/>
          </w:tcPr>
          <w:p w14:paraId="249E8DB7" w14:textId="77777777" w:rsidR="008E51EC" w:rsidRPr="008E51EC" w:rsidRDefault="008E51EC" w:rsidP="008E51EC">
            <w:pPr>
              <w:spacing w:after="0" w:line="240" w:lineRule="auto"/>
              <w:rPr>
                <w:rFonts w:ascii="Times New Roman" w:eastAsia="Times New Roman" w:hAnsi="Times New Roman"/>
                <w:sz w:val="20"/>
                <w:szCs w:val="20"/>
              </w:rPr>
            </w:pPr>
          </w:p>
        </w:tc>
      </w:tr>
      <w:tr w:rsidR="008E51EC" w:rsidRPr="008E51EC" w14:paraId="2E85E354" w14:textId="77777777" w:rsidTr="008A4236">
        <w:trPr>
          <w:trHeight w:val="20"/>
        </w:trPr>
        <w:tc>
          <w:tcPr>
            <w:tcW w:w="5261" w:type="dxa"/>
            <w:gridSpan w:val="4"/>
            <w:tcBorders>
              <w:top w:val="nil"/>
              <w:left w:val="nil"/>
              <w:bottom w:val="nil"/>
              <w:right w:val="nil"/>
            </w:tcBorders>
            <w:shd w:val="clear" w:color="auto" w:fill="auto"/>
            <w:vAlign w:val="bottom"/>
            <w:hideMark/>
          </w:tcPr>
          <w:p w14:paraId="7335EFA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Common stock and paid-in capital - shares</w:t>
            </w:r>
            <w:r w:rsidRPr="008E51EC">
              <w:rPr>
                <w:rFonts w:ascii="Segoe UI" w:eastAsia="Times New Roman" w:hAnsi="Segoe UI" w:cs="Segoe UI"/>
                <w:color w:val="666666"/>
                <w:sz w:val="20"/>
                <w:szCs w:val="20"/>
              </w:rPr>
              <w:br/>
              <w:t xml:space="preserve">     authorized 24,000; outstanding </w:t>
            </w:r>
            <w:r w:rsidRPr="008E51EC">
              <w:rPr>
                <w:rFonts w:ascii="Segoe UI" w:eastAsia="Times New Roman" w:hAnsi="Segoe UI" w:cs="Segoe UI"/>
                <w:b/>
                <w:bCs/>
                <w:color w:val="666666"/>
                <w:sz w:val="20"/>
                <w:szCs w:val="20"/>
              </w:rPr>
              <w:t>8,328</w:t>
            </w:r>
            <w:r w:rsidRPr="008E51EC">
              <w:rPr>
                <w:rFonts w:ascii="Segoe UI" w:eastAsia="Times New Roman" w:hAnsi="Segoe UI" w:cs="Segoe UI"/>
                <w:color w:val="666666"/>
                <w:sz w:val="20"/>
                <w:szCs w:val="20"/>
              </w:rPr>
              <w:t xml:space="preserve"> and 8,381</w:t>
            </w:r>
          </w:p>
        </w:tc>
        <w:tc>
          <w:tcPr>
            <w:tcW w:w="1593" w:type="dxa"/>
            <w:gridSpan w:val="3"/>
            <w:tcBorders>
              <w:top w:val="nil"/>
              <w:left w:val="nil"/>
              <w:bottom w:val="nil"/>
              <w:right w:val="nil"/>
            </w:tcBorders>
            <w:shd w:val="clear" w:color="auto" w:fill="auto"/>
            <w:noWrap/>
            <w:vAlign w:val="bottom"/>
            <w:hideMark/>
          </w:tcPr>
          <w:p w14:paraId="77380AD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67,306 </w:t>
            </w:r>
          </w:p>
        </w:tc>
        <w:tc>
          <w:tcPr>
            <w:tcW w:w="284" w:type="dxa"/>
            <w:tcBorders>
              <w:top w:val="nil"/>
              <w:left w:val="nil"/>
              <w:bottom w:val="nil"/>
              <w:right w:val="nil"/>
            </w:tcBorders>
            <w:shd w:val="clear" w:color="auto" w:fill="auto"/>
            <w:noWrap/>
            <w:vAlign w:val="bottom"/>
            <w:hideMark/>
          </w:tcPr>
          <w:p w14:paraId="3C05FD2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4CCEA46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65,797 </w:t>
            </w:r>
          </w:p>
        </w:tc>
      </w:tr>
      <w:tr w:rsidR="008E51EC" w:rsidRPr="008E51EC" w14:paraId="4B004E66" w14:textId="77777777" w:rsidTr="008A4236">
        <w:trPr>
          <w:trHeight w:val="20"/>
        </w:trPr>
        <w:tc>
          <w:tcPr>
            <w:tcW w:w="5261" w:type="dxa"/>
            <w:gridSpan w:val="4"/>
            <w:tcBorders>
              <w:top w:val="nil"/>
              <w:left w:val="nil"/>
              <w:bottom w:val="nil"/>
              <w:right w:val="nil"/>
            </w:tcBorders>
            <w:shd w:val="clear" w:color="auto" w:fill="auto"/>
            <w:vAlign w:val="bottom"/>
            <w:hideMark/>
          </w:tcPr>
          <w:p w14:paraId="616ED42C"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Retained earnings (deficit)</w:t>
            </w:r>
          </w:p>
        </w:tc>
        <w:tc>
          <w:tcPr>
            <w:tcW w:w="1593" w:type="dxa"/>
            <w:gridSpan w:val="3"/>
            <w:tcBorders>
              <w:top w:val="nil"/>
              <w:left w:val="nil"/>
              <w:bottom w:val="nil"/>
              <w:right w:val="nil"/>
            </w:tcBorders>
            <w:shd w:val="clear" w:color="auto" w:fill="auto"/>
            <w:noWrap/>
            <w:vAlign w:val="bottom"/>
            <w:hideMark/>
          </w:tcPr>
          <w:p w14:paraId="73CE80D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9,895 </w:t>
            </w:r>
          </w:p>
        </w:tc>
        <w:tc>
          <w:tcPr>
            <w:tcW w:w="284" w:type="dxa"/>
            <w:tcBorders>
              <w:top w:val="nil"/>
              <w:left w:val="nil"/>
              <w:bottom w:val="nil"/>
              <w:right w:val="nil"/>
            </w:tcBorders>
            <w:shd w:val="clear" w:color="auto" w:fill="auto"/>
            <w:noWrap/>
            <w:vAlign w:val="bottom"/>
            <w:hideMark/>
          </w:tcPr>
          <w:p w14:paraId="54317E5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09C7A48C"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(856)</w:t>
            </w:r>
          </w:p>
        </w:tc>
      </w:tr>
      <w:tr w:rsidR="008E51EC" w:rsidRPr="008E51EC" w14:paraId="72177A6D" w14:textId="77777777" w:rsidTr="008A4236">
        <w:trPr>
          <w:trHeight w:val="20"/>
        </w:trPr>
        <w:tc>
          <w:tcPr>
            <w:tcW w:w="5261" w:type="dxa"/>
            <w:gridSpan w:val="4"/>
            <w:tcBorders>
              <w:top w:val="nil"/>
              <w:left w:val="nil"/>
              <w:bottom w:val="single" w:sz="4" w:space="0" w:color="auto"/>
              <w:right w:val="nil"/>
            </w:tcBorders>
            <w:shd w:val="clear" w:color="auto" w:fill="auto"/>
            <w:noWrap/>
            <w:vAlign w:val="bottom"/>
            <w:hideMark/>
          </w:tcPr>
          <w:p w14:paraId="65CC7A17"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Accumulated other comprehensive income</w:t>
            </w:r>
          </w:p>
        </w:tc>
        <w:tc>
          <w:tcPr>
            <w:tcW w:w="1593" w:type="dxa"/>
            <w:gridSpan w:val="3"/>
            <w:tcBorders>
              <w:top w:val="nil"/>
              <w:left w:val="nil"/>
              <w:bottom w:val="single" w:sz="4" w:space="0" w:color="auto"/>
              <w:right w:val="nil"/>
            </w:tcBorders>
            <w:shd w:val="clear" w:color="auto" w:fill="auto"/>
            <w:noWrap/>
            <w:vAlign w:val="bottom"/>
            <w:hideMark/>
          </w:tcPr>
          <w:p w14:paraId="7074B8C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1,743 </w:t>
            </w:r>
          </w:p>
        </w:tc>
        <w:tc>
          <w:tcPr>
            <w:tcW w:w="284" w:type="dxa"/>
            <w:tcBorders>
              <w:top w:val="nil"/>
              <w:left w:val="nil"/>
              <w:bottom w:val="nil"/>
              <w:right w:val="nil"/>
            </w:tcBorders>
            <w:shd w:val="clear" w:color="auto" w:fill="auto"/>
            <w:noWrap/>
            <w:vAlign w:val="bottom"/>
            <w:hideMark/>
          </w:tcPr>
          <w:p w14:paraId="48E227E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nil"/>
              <w:right w:val="nil"/>
            </w:tcBorders>
            <w:shd w:val="clear" w:color="auto" w:fill="auto"/>
            <w:noWrap/>
            <w:vAlign w:val="bottom"/>
            <w:hideMark/>
          </w:tcPr>
          <w:p w14:paraId="27228365"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1,422 </w:t>
            </w:r>
          </w:p>
        </w:tc>
      </w:tr>
      <w:tr w:rsidR="008E51EC" w:rsidRPr="008E51EC" w14:paraId="61722C74" w14:textId="77777777" w:rsidTr="008A4236">
        <w:trPr>
          <w:trHeight w:val="20"/>
        </w:trPr>
        <w:tc>
          <w:tcPr>
            <w:tcW w:w="5261" w:type="dxa"/>
            <w:gridSpan w:val="4"/>
            <w:tcBorders>
              <w:top w:val="nil"/>
              <w:left w:val="nil"/>
              <w:bottom w:val="single" w:sz="4" w:space="0" w:color="auto"/>
              <w:right w:val="nil"/>
            </w:tcBorders>
            <w:shd w:val="clear" w:color="auto" w:fill="auto"/>
            <w:noWrap/>
            <w:vAlign w:val="bottom"/>
            <w:hideMark/>
          </w:tcPr>
          <w:p w14:paraId="09C0A56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stockholders' equity</w:t>
            </w:r>
          </w:p>
        </w:tc>
        <w:tc>
          <w:tcPr>
            <w:tcW w:w="1593" w:type="dxa"/>
            <w:gridSpan w:val="3"/>
            <w:tcBorders>
              <w:top w:val="nil"/>
              <w:left w:val="nil"/>
              <w:bottom w:val="single" w:sz="4" w:space="0" w:color="auto"/>
              <w:right w:val="nil"/>
            </w:tcBorders>
            <w:shd w:val="clear" w:color="auto" w:fill="auto"/>
            <w:noWrap/>
            <w:vAlign w:val="bottom"/>
            <w:hideMark/>
          </w:tcPr>
          <w:p w14:paraId="3E96395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78,944 </w:t>
            </w:r>
          </w:p>
        </w:tc>
        <w:tc>
          <w:tcPr>
            <w:tcW w:w="284" w:type="dxa"/>
            <w:tcBorders>
              <w:top w:val="nil"/>
              <w:left w:val="nil"/>
              <w:bottom w:val="nil"/>
              <w:right w:val="nil"/>
            </w:tcBorders>
            <w:shd w:val="clear" w:color="auto" w:fill="auto"/>
            <w:noWrap/>
            <w:vAlign w:val="bottom"/>
            <w:hideMark/>
          </w:tcPr>
          <w:p w14:paraId="2423493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single" w:sz="4" w:space="0" w:color="auto"/>
              <w:left w:val="nil"/>
              <w:bottom w:val="single" w:sz="4" w:space="0" w:color="auto"/>
              <w:right w:val="nil"/>
            </w:tcBorders>
            <w:shd w:val="clear" w:color="auto" w:fill="auto"/>
            <w:noWrap/>
            <w:vAlign w:val="bottom"/>
            <w:hideMark/>
          </w:tcPr>
          <w:p w14:paraId="78BC0E0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66,363 </w:t>
            </w:r>
          </w:p>
        </w:tc>
      </w:tr>
      <w:tr w:rsidR="008E51EC" w:rsidRPr="008E51EC" w14:paraId="02D1264B" w14:textId="77777777" w:rsidTr="008A4236">
        <w:trPr>
          <w:trHeight w:val="20"/>
        </w:trPr>
        <w:tc>
          <w:tcPr>
            <w:tcW w:w="5261" w:type="dxa"/>
            <w:gridSpan w:val="4"/>
            <w:tcBorders>
              <w:top w:val="nil"/>
              <w:left w:val="nil"/>
              <w:bottom w:val="nil"/>
              <w:right w:val="nil"/>
            </w:tcBorders>
            <w:shd w:val="clear" w:color="auto" w:fill="auto"/>
            <w:noWrap/>
            <w:vAlign w:val="bottom"/>
            <w:hideMark/>
          </w:tcPr>
          <w:p w14:paraId="7420542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Total liabilities and stockholders' equity</w:t>
            </w:r>
          </w:p>
        </w:tc>
        <w:tc>
          <w:tcPr>
            <w:tcW w:w="1593" w:type="dxa"/>
            <w:gridSpan w:val="3"/>
            <w:tcBorders>
              <w:top w:val="nil"/>
              <w:left w:val="nil"/>
              <w:bottom w:val="single" w:sz="8" w:space="0" w:color="auto"/>
              <w:right w:val="nil"/>
            </w:tcBorders>
            <w:shd w:val="clear" w:color="auto" w:fill="auto"/>
            <w:noWrap/>
            <w:vAlign w:val="bottom"/>
            <w:hideMark/>
          </w:tcPr>
          <w:p w14:paraId="1749393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142,431 </w:t>
            </w:r>
          </w:p>
        </w:tc>
        <w:tc>
          <w:tcPr>
            <w:tcW w:w="284" w:type="dxa"/>
            <w:tcBorders>
              <w:top w:val="nil"/>
              <w:left w:val="nil"/>
              <w:bottom w:val="nil"/>
              <w:right w:val="nil"/>
            </w:tcBorders>
            <w:shd w:val="clear" w:color="auto" w:fill="auto"/>
            <w:noWrap/>
            <w:vAlign w:val="bottom"/>
            <w:hideMark/>
          </w:tcPr>
          <w:p w14:paraId="6F2556F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p>
        </w:tc>
        <w:tc>
          <w:tcPr>
            <w:tcW w:w="1230" w:type="dxa"/>
            <w:gridSpan w:val="2"/>
            <w:tcBorders>
              <w:top w:val="nil"/>
              <w:left w:val="nil"/>
              <w:bottom w:val="single" w:sz="8" w:space="0" w:color="auto"/>
              <w:right w:val="nil"/>
            </w:tcBorders>
            <w:shd w:val="clear" w:color="auto" w:fill="auto"/>
            <w:noWrap/>
            <w:vAlign w:val="bottom"/>
            <w:hideMark/>
          </w:tcPr>
          <w:p w14:paraId="0686F77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121,271 </w:t>
            </w:r>
          </w:p>
        </w:tc>
      </w:tr>
      <w:tr w:rsidR="008A4236" w:rsidRPr="008E51EC" w14:paraId="11B8A06E" w14:textId="77777777" w:rsidTr="008A4236">
        <w:trPr>
          <w:trHeight w:val="288"/>
        </w:trPr>
        <w:tc>
          <w:tcPr>
            <w:tcW w:w="3276" w:type="dxa"/>
            <w:tcBorders>
              <w:top w:val="nil"/>
              <w:left w:val="nil"/>
              <w:bottom w:val="nil"/>
              <w:right w:val="nil"/>
            </w:tcBorders>
            <w:shd w:val="clear" w:color="auto" w:fill="auto"/>
            <w:noWrap/>
            <w:vAlign w:val="bottom"/>
            <w:hideMark/>
          </w:tcPr>
          <w:p w14:paraId="208DCF16" w14:textId="16669B86" w:rsidR="008E51EC" w:rsidRPr="008A4236" w:rsidRDefault="008E51EC" w:rsidP="008E51EC">
            <w:pPr>
              <w:spacing w:after="0" w:line="240" w:lineRule="auto"/>
              <w:rPr>
                <w:rFonts w:ascii="Segoe UI" w:eastAsia="Times New Roman" w:hAnsi="Segoe UI" w:cs="Segoe UI"/>
                <w:b/>
                <w:bCs/>
                <w:color w:val="666666"/>
                <w:sz w:val="20"/>
                <w:szCs w:val="20"/>
              </w:rPr>
            </w:pPr>
            <w:bookmarkStart w:id="5" w:name="RANGE!A1:D47"/>
            <w:bookmarkEnd w:id="5"/>
            <w:r w:rsidRPr="008A4236">
              <w:rPr>
                <w:rFonts w:ascii="Segoe UI" w:eastAsia="Times New Roman" w:hAnsi="Segoe UI" w:cs="Segoe UI"/>
                <w:b/>
                <w:bCs/>
                <w:color w:val="666666"/>
                <w:sz w:val="20"/>
                <w:szCs w:val="20"/>
              </w:rPr>
              <w:lastRenderedPageBreak/>
              <w:t>MICROSOFT CORPORATION</w:t>
            </w:r>
          </w:p>
        </w:tc>
        <w:tc>
          <w:tcPr>
            <w:tcW w:w="1176" w:type="dxa"/>
            <w:tcBorders>
              <w:top w:val="nil"/>
              <w:left w:val="nil"/>
              <w:bottom w:val="nil"/>
              <w:right w:val="nil"/>
            </w:tcBorders>
            <w:shd w:val="clear" w:color="auto" w:fill="auto"/>
            <w:noWrap/>
            <w:vAlign w:val="bottom"/>
            <w:hideMark/>
          </w:tcPr>
          <w:p w14:paraId="7B4E4CD7" w14:textId="77777777" w:rsidR="008E51EC" w:rsidRPr="008A4236" w:rsidRDefault="008E51EC" w:rsidP="008E51EC">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05E6C9BF"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gridSpan w:val="2"/>
            <w:tcBorders>
              <w:top w:val="nil"/>
              <w:left w:val="nil"/>
              <w:bottom w:val="nil"/>
              <w:right w:val="nil"/>
            </w:tcBorders>
            <w:shd w:val="clear" w:color="auto" w:fill="auto"/>
            <w:noWrap/>
            <w:vAlign w:val="bottom"/>
            <w:hideMark/>
          </w:tcPr>
          <w:p w14:paraId="01D65EC3"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17FDFF10"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062EC057"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4A958493"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650BD35E" w14:textId="77777777" w:rsidR="008E51EC" w:rsidRPr="008A4236" w:rsidRDefault="008E51EC" w:rsidP="008E51EC">
            <w:pPr>
              <w:spacing w:after="0" w:line="240" w:lineRule="auto"/>
              <w:rPr>
                <w:rFonts w:ascii="Times New Roman" w:eastAsia="Times New Roman" w:hAnsi="Times New Roman"/>
                <w:sz w:val="20"/>
                <w:szCs w:val="20"/>
              </w:rPr>
            </w:pPr>
          </w:p>
        </w:tc>
      </w:tr>
      <w:tr w:rsidR="008E51EC" w:rsidRPr="008E51EC" w14:paraId="504208B1" w14:textId="77777777" w:rsidTr="008A4236">
        <w:trPr>
          <w:trHeight w:val="288"/>
        </w:trPr>
        <w:tc>
          <w:tcPr>
            <w:tcW w:w="8350" w:type="dxa"/>
            <w:gridSpan w:val="10"/>
            <w:tcBorders>
              <w:top w:val="nil"/>
              <w:left w:val="nil"/>
              <w:bottom w:val="nil"/>
              <w:right w:val="nil"/>
            </w:tcBorders>
            <w:shd w:val="clear" w:color="auto" w:fill="auto"/>
            <w:noWrap/>
            <w:vAlign w:val="bottom"/>
            <w:hideMark/>
          </w:tcPr>
          <w:p w14:paraId="7038DB4D" w14:textId="77777777" w:rsidR="008E51EC" w:rsidRPr="008A4236" w:rsidRDefault="008E51EC" w:rsidP="008E51EC">
            <w:pPr>
              <w:spacing w:after="0" w:line="240" w:lineRule="auto"/>
              <w:jc w:val="center"/>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CASH FLOW STATEMENTS</w:t>
            </w:r>
          </w:p>
        </w:tc>
      </w:tr>
      <w:tr w:rsidR="008E51EC" w:rsidRPr="008E51EC" w14:paraId="0B636A22" w14:textId="77777777" w:rsidTr="008A4236">
        <w:trPr>
          <w:trHeight w:val="288"/>
        </w:trPr>
        <w:tc>
          <w:tcPr>
            <w:tcW w:w="8350" w:type="dxa"/>
            <w:gridSpan w:val="10"/>
            <w:tcBorders>
              <w:top w:val="nil"/>
              <w:left w:val="nil"/>
              <w:bottom w:val="nil"/>
              <w:right w:val="nil"/>
            </w:tcBorders>
            <w:shd w:val="clear" w:color="auto" w:fill="auto"/>
            <w:noWrap/>
            <w:vAlign w:val="bottom"/>
            <w:hideMark/>
          </w:tcPr>
          <w:p w14:paraId="1054418D" w14:textId="77777777" w:rsidR="008E51EC" w:rsidRPr="008A4236" w:rsidRDefault="008E51EC" w:rsidP="008E51EC">
            <w:pPr>
              <w:spacing w:after="0" w:line="240" w:lineRule="auto"/>
              <w:jc w:val="center"/>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(In millions)(Unaudited)</w:t>
            </w:r>
          </w:p>
        </w:tc>
      </w:tr>
      <w:tr w:rsidR="008A4236" w:rsidRPr="008E51EC" w14:paraId="36BE6C34" w14:textId="77777777" w:rsidTr="008A4236">
        <w:trPr>
          <w:trHeight w:val="288"/>
        </w:trPr>
        <w:tc>
          <w:tcPr>
            <w:tcW w:w="3276" w:type="dxa"/>
            <w:tcBorders>
              <w:top w:val="nil"/>
              <w:left w:val="nil"/>
              <w:bottom w:val="nil"/>
              <w:right w:val="nil"/>
            </w:tcBorders>
            <w:shd w:val="clear" w:color="auto" w:fill="auto"/>
            <w:noWrap/>
            <w:vAlign w:val="bottom"/>
          </w:tcPr>
          <w:p w14:paraId="476C3152" w14:textId="77777777" w:rsidR="008A4236" w:rsidRPr="008A4236" w:rsidRDefault="008A4236" w:rsidP="008E51EC">
            <w:pPr>
              <w:spacing w:after="0" w:line="240" w:lineRule="auto"/>
              <w:jc w:val="center"/>
              <w:rPr>
                <w:rFonts w:ascii="Times New Roman" w:eastAsia="Times New Roman" w:hAnsi="Times New Roman"/>
                <w:sz w:val="20"/>
                <w:szCs w:val="20"/>
              </w:rPr>
            </w:pPr>
          </w:p>
        </w:tc>
        <w:tc>
          <w:tcPr>
            <w:tcW w:w="2388" w:type="dxa"/>
            <w:gridSpan w:val="4"/>
            <w:tcBorders>
              <w:top w:val="nil"/>
              <w:left w:val="nil"/>
              <w:bottom w:val="nil"/>
              <w:right w:val="nil"/>
            </w:tcBorders>
            <w:shd w:val="clear" w:color="auto" w:fill="auto"/>
            <w:vAlign w:val="bottom"/>
          </w:tcPr>
          <w:p w14:paraId="1CACECBC" w14:textId="77777777" w:rsidR="008A4236" w:rsidRPr="008A4236" w:rsidRDefault="008A4236" w:rsidP="008E51EC">
            <w:pPr>
              <w:spacing w:after="0" w:line="240" w:lineRule="auto"/>
              <w:jc w:val="right"/>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tcPr>
          <w:p w14:paraId="3102A8E3" w14:textId="77777777" w:rsidR="008A4236" w:rsidRPr="008A4236" w:rsidRDefault="008A4236" w:rsidP="008E51EC">
            <w:pPr>
              <w:spacing w:after="0" w:line="240" w:lineRule="auto"/>
              <w:jc w:val="right"/>
              <w:rPr>
                <w:rFonts w:ascii="Segoe UI" w:eastAsia="Times New Roman" w:hAnsi="Segoe UI" w:cs="Segoe UI"/>
                <w:b/>
                <w:bCs/>
                <w:color w:val="666666"/>
                <w:sz w:val="20"/>
                <w:szCs w:val="20"/>
              </w:rPr>
            </w:pPr>
          </w:p>
        </w:tc>
        <w:tc>
          <w:tcPr>
            <w:tcW w:w="2490" w:type="dxa"/>
            <w:gridSpan w:val="4"/>
            <w:tcBorders>
              <w:top w:val="nil"/>
              <w:left w:val="nil"/>
              <w:bottom w:val="nil"/>
              <w:right w:val="nil"/>
            </w:tcBorders>
            <w:shd w:val="clear" w:color="auto" w:fill="auto"/>
            <w:vAlign w:val="bottom"/>
          </w:tcPr>
          <w:p w14:paraId="4E15D5F8" w14:textId="77777777" w:rsidR="008A4236" w:rsidRPr="008A4236" w:rsidRDefault="008A4236" w:rsidP="008E51EC">
            <w:pPr>
              <w:spacing w:after="0" w:line="240" w:lineRule="auto"/>
              <w:jc w:val="right"/>
              <w:rPr>
                <w:rFonts w:ascii="Segoe UI" w:eastAsia="Times New Roman" w:hAnsi="Segoe UI" w:cs="Segoe UI"/>
                <w:b/>
                <w:bCs/>
                <w:color w:val="666666"/>
                <w:sz w:val="20"/>
                <w:szCs w:val="20"/>
              </w:rPr>
            </w:pPr>
          </w:p>
        </w:tc>
      </w:tr>
      <w:tr w:rsidR="008E51EC" w:rsidRPr="008E51EC" w14:paraId="2B702D73" w14:textId="77777777" w:rsidTr="008A4236">
        <w:trPr>
          <w:trHeight w:val="288"/>
        </w:trPr>
        <w:tc>
          <w:tcPr>
            <w:tcW w:w="3276" w:type="dxa"/>
            <w:tcBorders>
              <w:top w:val="nil"/>
              <w:left w:val="nil"/>
              <w:bottom w:val="nil"/>
              <w:right w:val="nil"/>
            </w:tcBorders>
            <w:shd w:val="clear" w:color="auto" w:fill="auto"/>
            <w:noWrap/>
            <w:vAlign w:val="bottom"/>
            <w:hideMark/>
          </w:tcPr>
          <w:p w14:paraId="6D5FB8A2" w14:textId="77777777" w:rsidR="008E51EC" w:rsidRPr="008A4236" w:rsidRDefault="008E51EC" w:rsidP="008E51EC">
            <w:pPr>
              <w:spacing w:after="0" w:line="240" w:lineRule="auto"/>
              <w:jc w:val="center"/>
              <w:rPr>
                <w:rFonts w:ascii="Times New Roman" w:eastAsia="Times New Roman" w:hAnsi="Times New Roman"/>
                <w:sz w:val="20"/>
                <w:szCs w:val="20"/>
              </w:rPr>
            </w:pPr>
          </w:p>
        </w:tc>
        <w:tc>
          <w:tcPr>
            <w:tcW w:w="2388" w:type="dxa"/>
            <w:gridSpan w:val="4"/>
            <w:vMerge w:val="restart"/>
            <w:tcBorders>
              <w:top w:val="nil"/>
              <w:left w:val="nil"/>
              <w:bottom w:val="nil"/>
              <w:right w:val="nil"/>
            </w:tcBorders>
            <w:shd w:val="clear" w:color="auto" w:fill="auto"/>
            <w:vAlign w:val="bottom"/>
            <w:hideMark/>
          </w:tcPr>
          <w:p w14:paraId="0C3B062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Three Months Ended June 30,</w:t>
            </w:r>
          </w:p>
        </w:tc>
        <w:tc>
          <w:tcPr>
            <w:tcW w:w="196" w:type="dxa"/>
            <w:tcBorders>
              <w:top w:val="nil"/>
              <w:left w:val="nil"/>
              <w:bottom w:val="nil"/>
              <w:right w:val="nil"/>
            </w:tcBorders>
            <w:shd w:val="clear" w:color="auto" w:fill="auto"/>
            <w:noWrap/>
            <w:vAlign w:val="bottom"/>
            <w:hideMark/>
          </w:tcPr>
          <w:p w14:paraId="4F68D8C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2490" w:type="dxa"/>
            <w:gridSpan w:val="4"/>
            <w:vMerge w:val="restart"/>
            <w:tcBorders>
              <w:top w:val="nil"/>
              <w:left w:val="nil"/>
              <w:bottom w:val="nil"/>
              <w:right w:val="nil"/>
            </w:tcBorders>
            <w:shd w:val="clear" w:color="auto" w:fill="auto"/>
            <w:vAlign w:val="bottom"/>
            <w:hideMark/>
          </w:tcPr>
          <w:p w14:paraId="0450D10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Twelve Months Ended June 30,</w:t>
            </w:r>
          </w:p>
        </w:tc>
      </w:tr>
      <w:tr w:rsidR="008E51EC" w:rsidRPr="008E51EC" w14:paraId="31E0C446" w14:textId="77777777" w:rsidTr="008A4236">
        <w:trPr>
          <w:trHeight w:val="288"/>
        </w:trPr>
        <w:tc>
          <w:tcPr>
            <w:tcW w:w="3276" w:type="dxa"/>
            <w:tcBorders>
              <w:top w:val="nil"/>
              <w:left w:val="nil"/>
              <w:bottom w:val="nil"/>
              <w:right w:val="nil"/>
            </w:tcBorders>
            <w:shd w:val="clear" w:color="auto" w:fill="auto"/>
            <w:noWrap/>
            <w:vAlign w:val="bottom"/>
            <w:hideMark/>
          </w:tcPr>
          <w:p w14:paraId="098C4CD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2388" w:type="dxa"/>
            <w:gridSpan w:val="4"/>
            <w:vMerge/>
            <w:tcBorders>
              <w:top w:val="nil"/>
              <w:left w:val="nil"/>
              <w:bottom w:val="nil"/>
              <w:right w:val="nil"/>
            </w:tcBorders>
            <w:vAlign w:val="center"/>
            <w:hideMark/>
          </w:tcPr>
          <w:p w14:paraId="666C0F65" w14:textId="77777777" w:rsidR="008E51EC" w:rsidRPr="008A4236" w:rsidRDefault="008E51EC" w:rsidP="008E51EC">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5A97803D" w14:textId="77777777" w:rsidR="008E51EC" w:rsidRPr="008A4236" w:rsidRDefault="008E51EC" w:rsidP="008E51EC">
            <w:pPr>
              <w:spacing w:after="0" w:line="240" w:lineRule="auto"/>
              <w:rPr>
                <w:rFonts w:ascii="Times New Roman" w:eastAsia="Times New Roman" w:hAnsi="Times New Roman"/>
                <w:sz w:val="20"/>
                <w:szCs w:val="20"/>
              </w:rPr>
            </w:pPr>
          </w:p>
        </w:tc>
        <w:tc>
          <w:tcPr>
            <w:tcW w:w="2490" w:type="dxa"/>
            <w:gridSpan w:val="4"/>
            <w:vMerge/>
            <w:tcBorders>
              <w:top w:val="nil"/>
              <w:left w:val="nil"/>
              <w:bottom w:val="nil"/>
              <w:right w:val="nil"/>
            </w:tcBorders>
            <w:vAlign w:val="center"/>
            <w:hideMark/>
          </w:tcPr>
          <w:p w14:paraId="011F893E" w14:textId="77777777" w:rsidR="008E51EC" w:rsidRPr="008A4236" w:rsidRDefault="008E51EC" w:rsidP="008E51EC">
            <w:pPr>
              <w:spacing w:after="0" w:line="240" w:lineRule="auto"/>
              <w:rPr>
                <w:rFonts w:ascii="Segoe UI" w:eastAsia="Times New Roman" w:hAnsi="Segoe UI" w:cs="Segoe UI"/>
                <w:b/>
                <w:bCs/>
                <w:color w:val="666666"/>
                <w:sz w:val="20"/>
                <w:szCs w:val="20"/>
              </w:rPr>
            </w:pPr>
          </w:p>
        </w:tc>
      </w:tr>
      <w:tr w:rsidR="008A4236" w:rsidRPr="008E51EC" w14:paraId="6557710E" w14:textId="77777777" w:rsidTr="008A4236">
        <w:trPr>
          <w:trHeight w:val="288"/>
        </w:trPr>
        <w:tc>
          <w:tcPr>
            <w:tcW w:w="3276" w:type="dxa"/>
            <w:tcBorders>
              <w:top w:val="nil"/>
              <w:left w:val="nil"/>
              <w:bottom w:val="single" w:sz="4" w:space="0" w:color="auto"/>
              <w:right w:val="nil"/>
            </w:tcBorders>
            <w:shd w:val="clear" w:color="auto" w:fill="auto"/>
            <w:noWrap/>
            <w:vAlign w:val="bottom"/>
            <w:hideMark/>
          </w:tcPr>
          <w:p w14:paraId="16D6867A" w14:textId="77777777" w:rsidR="008E51EC" w:rsidRPr="008A4236" w:rsidRDefault="008E51EC" w:rsidP="008E51EC">
            <w:pPr>
              <w:spacing w:after="0" w:line="240" w:lineRule="auto"/>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w:t>
            </w:r>
          </w:p>
        </w:tc>
        <w:tc>
          <w:tcPr>
            <w:tcW w:w="1176" w:type="dxa"/>
            <w:tcBorders>
              <w:top w:val="nil"/>
              <w:left w:val="nil"/>
              <w:bottom w:val="single" w:sz="4" w:space="0" w:color="auto"/>
              <w:right w:val="nil"/>
            </w:tcBorders>
            <w:shd w:val="clear" w:color="auto" w:fill="auto"/>
            <w:noWrap/>
            <w:vAlign w:val="bottom"/>
            <w:hideMark/>
          </w:tcPr>
          <w:p w14:paraId="3EF1BB8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2013</w:t>
            </w:r>
          </w:p>
        </w:tc>
        <w:tc>
          <w:tcPr>
            <w:tcW w:w="196" w:type="dxa"/>
            <w:tcBorders>
              <w:top w:val="nil"/>
              <w:left w:val="nil"/>
              <w:bottom w:val="single" w:sz="4" w:space="0" w:color="auto"/>
              <w:right w:val="nil"/>
            </w:tcBorders>
            <w:shd w:val="clear" w:color="auto" w:fill="auto"/>
            <w:noWrap/>
            <w:vAlign w:val="bottom"/>
            <w:hideMark/>
          </w:tcPr>
          <w:p w14:paraId="5AB39A3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w:t>
            </w:r>
          </w:p>
        </w:tc>
        <w:tc>
          <w:tcPr>
            <w:tcW w:w="1016" w:type="dxa"/>
            <w:gridSpan w:val="2"/>
            <w:tcBorders>
              <w:top w:val="nil"/>
              <w:left w:val="nil"/>
              <w:bottom w:val="single" w:sz="4" w:space="0" w:color="auto"/>
              <w:right w:val="nil"/>
            </w:tcBorders>
            <w:shd w:val="clear" w:color="auto" w:fill="auto"/>
            <w:noWrap/>
            <w:vAlign w:val="bottom"/>
            <w:hideMark/>
          </w:tcPr>
          <w:p w14:paraId="372F4D3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2012</w:t>
            </w:r>
          </w:p>
        </w:tc>
        <w:tc>
          <w:tcPr>
            <w:tcW w:w="196" w:type="dxa"/>
            <w:tcBorders>
              <w:top w:val="nil"/>
              <w:left w:val="nil"/>
              <w:bottom w:val="single" w:sz="4" w:space="0" w:color="auto"/>
              <w:right w:val="nil"/>
            </w:tcBorders>
            <w:shd w:val="clear" w:color="auto" w:fill="auto"/>
            <w:noWrap/>
            <w:vAlign w:val="bottom"/>
            <w:hideMark/>
          </w:tcPr>
          <w:p w14:paraId="2CB2747A" w14:textId="77777777" w:rsidR="008E51EC" w:rsidRPr="008A4236" w:rsidRDefault="008E51EC" w:rsidP="008E51EC">
            <w:pPr>
              <w:spacing w:after="0" w:line="240" w:lineRule="auto"/>
              <w:jc w:val="center"/>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w:t>
            </w:r>
          </w:p>
        </w:tc>
        <w:tc>
          <w:tcPr>
            <w:tcW w:w="1278" w:type="dxa"/>
            <w:gridSpan w:val="2"/>
            <w:tcBorders>
              <w:top w:val="nil"/>
              <w:left w:val="nil"/>
              <w:bottom w:val="single" w:sz="4" w:space="0" w:color="auto"/>
              <w:right w:val="nil"/>
            </w:tcBorders>
            <w:shd w:val="clear" w:color="auto" w:fill="auto"/>
            <w:noWrap/>
            <w:vAlign w:val="bottom"/>
            <w:hideMark/>
          </w:tcPr>
          <w:p w14:paraId="552B2DF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2013</w:t>
            </w:r>
          </w:p>
        </w:tc>
        <w:tc>
          <w:tcPr>
            <w:tcW w:w="196" w:type="dxa"/>
            <w:tcBorders>
              <w:top w:val="nil"/>
              <w:left w:val="nil"/>
              <w:bottom w:val="single" w:sz="4" w:space="0" w:color="auto"/>
              <w:right w:val="nil"/>
            </w:tcBorders>
            <w:shd w:val="clear" w:color="auto" w:fill="auto"/>
            <w:noWrap/>
            <w:vAlign w:val="bottom"/>
            <w:hideMark/>
          </w:tcPr>
          <w:p w14:paraId="748EEE5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w:t>
            </w:r>
          </w:p>
        </w:tc>
        <w:tc>
          <w:tcPr>
            <w:tcW w:w="1016" w:type="dxa"/>
            <w:tcBorders>
              <w:top w:val="nil"/>
              <w:left w:val="nil"/>
              <w:bottom w:val="single" w:sz="4" w:space="0" w:color="auto"/>
              <w:right w:val="nil"/>
            </w:tcBorders>
            <w:shd w:val="clear" w:color="auto" w:fill="auto"/>
            <w:noWrap/>
            <w:vAlign w:val="bottom"/>
            <w:hideMark/>
          </w:tcPr>
          <w:p w14:paraId="2A5A4D6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2012</w:t>
            </w:r>
          </w:p>
        </w:tc>
      </w:tr>
      <w:tr w:rsidR="008A4236" w:rsidRPr="008E51EC" w14:paraId="72F956B0" w14:textId="77777777" w:rsidTr="008A4236">
        <w:trPr>
          <w:trHeight w:val="288"/>
        </w:trPr>
        <w:tc>
          <w:tcPr>
            <w:tcW w:w="3276" w:type="dxa"/>
            <w:tcBorders>
              <w:top w:val="nil"/>
              <w:left w:val="nil"/>
              <w:bottom w:val="nil"/>
              <w:right w:val="nil"/>
            </w:tcBorders>
            <w:shd w:val="clear" w:color="auto" w:fill="auto"/>
            <w:noWrap/>
            <w:vAlign w:val="bottom"/>
            <w:hideMark/>
          </w:tcPr>
          <w:p w14:paraId="669918B9" w14:textId="77777777" w:rsidR="008E51EC" w:rsidRPr="008A4236" w:rsidRDefault="008E51EC" w:rsidP="008E51EC">
            <w:pPr>
              <w:spacing w:after="0" w:line="240" w:lineRule="auto"/>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Operations</w:t>
            </w:r>
          </w:p>
        </w:tc>
        <w:tc>
          <w:tcPr>
            <w:tcW w:w="1176" w:type="dxa"/>
            <w:tcBorders>
              <w:top w:val="nil"/>
              <w:left w:val="nil"/>
              <w:bottom w:val="nil"/>
              <w:right w:val="nil"/>
            </w:tcBorders>
            <w:shd w:val="clear" w:color="auto" w:fill="auto"/>
            <w:noWrap/>
            <w:vAlign w:val="bottom"/>
            <w:hideMark/>
          </w:tcPr>
          <w:p w14:paraId="1A566DF7" w14:textId="77777777" w:rsidR="008E51EC" w:rsidRPr="008A4236" w:rsidRDefault="008E51EC" w:rsidP="008E51EC">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00C560C5"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gridSpan w:val="2"/>
            <w:tcBorders>
              <w:top w:val="nil"/>
              <w:left w:val="nil"/>
              <w:bottom w:val="nil"/>
              <w:right w:val="nil"/>
            </w:tcBorders>
            <w:shd w:val="clear" w:color="auto" w:fill="auto"/>
            <w:noWrap/>
            <w:vAlign w:val="bottom"/>
            <w:hideMark/>
          </w:tcPr>
          <w:p w14:paraId="2F1E1659" w14:textId="77777777" w:rsidR="008E51EC" w:rsidRPr="008A4236" w:rsidRDefault="008E51EC" w:rsidP="008E51EC">
            <w:pPr>
              <w:spacing w:after="0" w:line="240" w:lineRule="auto"/>
              <w:jc w:val="center"/>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304C1153"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71417CF2" w14:textId="77777777" w:rsidR="008E51EC" w:rsidRPr="008A4236" w:rsidRDefault="008E51EC" w:rsidP="008E51EC">
            <w:pPr>
              <w:spacing w:after="0" w:line="240" w:lineRule="auto"/>
              <w:jc w:val="center"/>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786345A9"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137462A7" w14:textId="77777777" w:rsidR="008E51EC" w:rsidRPr="008A4236" w:rsidRDefault="008E51EC" w:rsidP="008E51EC">
            <w:pPr>
              <w:spacing w:after="0" w:line="240" w:lineRule="auto"/>
              <w:jc w:val="center"/>
              <w:rPr>
                <w:rFonts w:ascii="Times New Roman" w:eastAsia="Times New Roman" w:hAnsi="Times New Roman"/>
                <w:sz w:val="20"/>
                <w:szCs w:val="20"/>
              </w:rPr>
            </w:pPr>
          </w:p>
        </w:tc>
      </w:tr>
      <w:tr w:rsidR="008A4236" w:rsidRPr="008E51EC" w14:paraId="155A8AE9" w14:textId="77777777" w:rsidTr="008A4236">
        <w:trPr>
          <w:trHeight w:val="288"/>
        </w:trPr>
        <w:tc>
          <w:tcPr>
            <w:tcW w:w="3276" w:type="dxa"/>
            <w:tcBorders>
              <w:top w:val="nil"/>
              <w:left w:val="nil"/>
              <w:bottom w:val="nil"/>
              <w:right w:val="nil"/>
            </w:tcBorders>
            <w:shd w:val="clear" w:color="auto" w:fill="auto"/>
            <w:noWrap/>
            <w:vAlign w:val="bottom"/>
            <w:hideMark/>
          </w:tcPr>
          <w:p w14:paraId="627F9CB7"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Net income (loss)</w:t>
            </w:r>
          </w:p>
        </w:tc>
        <w:tc>
          <w:tcPr>
            <w:tcW w:w="1176" w:type="dxa"/>
            <w:tcBorders>
              <w:top w:val="nil"/>
              <w:left w:val="nil"/>
              <w:bottom w:val="nil"/>
              <w:right w:val="nil"/>
            </w:tcBorders>
            <w:shd w:val="clear" w:color="auto" w:fill="auto"/>
            <w:noWrap/>
            <w:vAlign w:val="bottom"/>
            <w:hideMark/>
          </w:tcPr>
          <w:p w14:paraId="54ABFF3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 $     4,965 </w:t>
            </w:r>
          </w:p>
        </w:tc>
        <w:tc>
          <w:tcPr>
            <w:tcW w:w="196" w:type="dxa"/>
            <w:tcBorders>
              <w:top w:val="nil"/>
              <w:left w:val="nil"/>
              <w:bottom w:val="nil"/>
              <w:right w:val="nil"/>
            </w:tcBorders>
            <w:shd w:val="clear" w:color="auto" w:fill="auto"/>
            <w:noWrap/>
            <w:vAlign w:val="bottom"/>
            <w:hideMark/>
          </w:tcPr>
          <w:p w14:paraId="656A6F37"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3F397E73"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    (492)</w:t>
            </w:r>
          </w:p>
        </w:tc>
        <w:tc>
          <w:tcPr>
            <w:tcW w:w="196" w:type="dxa"/>
            <w:tcBorders>
              <w:top w:val="nil"/>
              <w:left w:val="nil"/>
              <w:bottom w:val="nil"/>
              <w:right w:val="nil"/>
            </w:tcBorders>
            <w:shd w:val="clear" w:color="auto" w:fill="auto"/>
            <w:noWrap/>
            <w:vAlign w:val="bottom"/>
            <w:hideMark/>
          </w:tcPr>
          <w:p w14:paraId="1BB4EA14"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0684D51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 $    21,863 </w:t>
            </w:r>
          </w:p>
        </w:tc>
        <w:tc>
          <w:tcPr>
            <w:tcW w:w="196" w:type="dxa"/>
            <w:tcBorders>
              <w:top w:val="nil"/>
              <w:left w:val="nil"/>
              <w:bottom w:val="nil"/>
              <w:right w:val="nil"/>
            </w:tcBorders>
            <w:shd w:val="clear" w:color="auto" w:fill="auto"/>
            <w:noWrap/>
            <w:vAlign w:val="bottom"/>
            <w:hideMark/>
          </w:tcPr>
          <w:p w14:paraId="30F076D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140B6CD3"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$16,978 </w:t>
            </w:r>
          </w:p>
        </w:tc>
      </w:tr>
      <w:tr w:rsidR="008A4236" w:rsidRPr="008E51EC" w14:paraId="4385CE21" w14:textId="77777777" w:rsidTr="008A4236">
        <w:trPr>
          <w:trHeight w:val="288"/>
        </w:trPr>
        <w:tc>
          <w:tcPr>
            <w:tcW w:w="3276" w:type="dxa"/>
            <w:tcBorders>
              <w:top w:val="nil"/>
              <w:left w:val="nil"/>
              <w:bottom w:val="nil"/>
              <w:right w:val="nil"/>
            </w:tcBorders>
            <w:shd w:val="clear" w:color="auto" w:fill="auto"/>
            <w:vAlign w:val="bottom"/>
            <w:hideMark/>
          </w:tcPr>
          <w:p w14:paraId="4D8FBF38"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Adjustments to reconcile net </w:t>
            </w:r>
            <w:r w:rsidRPr="008A4236">
              <w:rPr>
                <w:rFonts w:ascii="Segoe UI" w:eastAsia="Times New Roman" w:hAnsi="Segoe UI" w:cs="Segoe UI"/>
                <w:color w:val="666666"/>
                <w:sz w:val="20"/>
                <w:szCs w:val="20"/>
              </w:rPr>
              <w:br/>
              <w:t xml:space="preserve">    income (loss) to net cash from </w:t>
            </w:r>
            <w:r w:rsidRPr="008A4236">
              <w:rPr>
                <w:rFonts w:ascii="Segoe UI" w:eastAsia="Times New Roman" w:hAnsi="Segoe UI" w:cs="Segoe UI"/>
                <w:color w:val="666666"/>
                <w:sz w:val="20"/>
                <w:szCs w:val="20"/>
              </w:rPr>
              <w:br/>
              <w:t xml:space="preserve">    operations:</w:t>
            </w:r>
          </w:p>
        </w:tc>
        <w:tc>
          <w:tcPr>
            <w:tcW w:w="1176" w:type="dxa"/>
            <w:tcBorders>
              <w:top w:val="nil"/>
              <w:left w:val="nil"/>
              <w:bottom w:val="nil"/>
              <w:right w:val="nil"/>
            </w:tcBorders>
            <w:shd w:val="clear" w:color="auto" w:fill="auto"/>
            <w:noWrap/>
            <w:vAlign w:val="bottom"/>
            <w:hideMark/>
          </w:tcPr>
          <w:p w14:paraId="1EA7B87D" w14:textId="77777777" w:rsidR="008E51EC" w:rsidRPr="008A4236" w:rsidRDefault="008E51EC" w:rsidP="008E51EC">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235D5187"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gridSpan w:val="2"/>
            <w:tcBorders>
              <w:top w:val="nil"/>
              <w:left w:val="nil"/>
              <w:bottom w:val="nil"/>
              <w:right w:val="nil"/>
            </w:tcBorders>
            <w:shd w:val="clear" w:color="auto" w:fill="auto"/>
            <w:noWrap/>
            <w:vAlign w:val="bottom"/>
            <w:hideMark/>
          </w:tcPr>
          <w:p w14:paraId="4E0D71C6"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74D28893"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4BCE72D4"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4A17F992"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14CE259E" w14:textId="77777777" w:rsidR="008E51EC" w:rsidRPr="008A4236" w:rsidRDefault="008E51EC" w:rsidP="008E51EC">
            <w:pPr>
              <w:spacing w:after="0" w:line="240" w:lineRule="auto"/>
              <w:rPr>
                <w:rFonts w:ascii="Times New Roman" w:eastAsia="Times New Roman" w:hAnsi="Times New Roman"/>
                <w:sz w:val="20"/>
                <w:szCs w:val="20"/>
              </w:rPr>
            </w:pPr>
          </w:p>
        </w:tc>
      </w:tr>
      <w:tr w:rsidR="008A4236" w:rsidRPr="008E51EC" w14:paraId="536C64FE" w14:textId="77777777" w:rsidTr="008A4236">
        <w:trPr>
          <w:trHeight w:val="288"/>
        </w:trPr>
        <w:tc>
          <w:tcPr>
            <w:tcW w:w="3276" w:type="dxa"/>
            <w:tcBorders>
              <w:top w:val="nil"/>
              <w:left w:val="nil"/>
              <w:bottom w:val="nil"/>
              <w:right w:val="nil"/>
            </w:tcBorders>
            <w:shd w:val="clear" w:color="auto" w:fill="auto"/>
            <w:vAlign w:val="bottom"/>
            <w:hideMark/>
          </w:tcPr>
          <w:p w14:paraId="7F419682"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Goodwill impairment</w:t>
            </w:r>
          </w:p>
        </w:tc>
        <w:tc>
          <w:tcPr>
            <w:tcW w:w="1176" w:type="dxa"/>
            <w:tcBorders>
              <w:top w:val="nil"/>
              <w:left w:val="nil"/>
              <w:bottom w:val="nil"/>
              <w:right w:val="nil"/>
            </w:tcBorders>
            <w:shd w:val="clear" w:color="auto" w:fill="auto"/>
            <w:noWrap/>
            <w:vAlign w:val="bottom"/>
            <w:hideMark/>
          </w:tcPr>
          <w:p w14:paraId="1238073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0 </w:t>
            </w:r>
          </w:p>
        </w:tc>
        <w:tc>
          <w:tcPr>
            <w:tcW w:w="196" w:type="dxa"/>
            <w:tcBorders>
              <w:top w:val="nil"/>
              <w:left w:val="nil"/>
              <w:bottom w:val="nil"/>
              <w:right w:val="nil"/>
            </w:tcBorders>
            <w:shd w:val="clear" w:color="auto" w:fill="auto"/>
            <w:noWrap/>
            <w:vAlign w:val="bottom"/>
            <w:hideMark/>
          </w:tcPr>
          <w:p w14:paraId="0A79AAE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789E95F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6,193 </w:t>
            </w:r>
          </w:p>
        </w:tc>
        <w:tc>
          <w:tcPr>
            <w:tcW w:w="196" w:type="dxa"/>
            <w:tcBorders>
              <w:top w:val="nil"/>
              <w:left w:val="nil"/>
              <w:bottom w:val="nil"/>
              <w:right w:val="nil"/>
            </w:tcBorders>
            <w:shd w:val="clear" w:color="auto" w:fill="auto"/>
            <w:noWrap/>
            <w:vAlign w:val="bottom"/>
            <w:hideMark/>
          </w:tcPr>
          <w:p w14:paraId="76ED19F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01094FA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0 </w:t>
            </w:r>
          </w:p>
        </w:tc>
        <w:tc>
          <w:tcPr>
            <w:tcW w:w="196" w:type="dxa"/>
            <w:tcBorders>
              <w:top w:val="nil"/>
              <w:left w:val="nil"/>
              <w:bottom w:val="nil"/>
              <w:right w:val="nil"/>
            </w:tcBorders>
            <w:shd w:val="clear" w:color="auto" w:fill="auto"/>
            <w:noWrap/>
            <w:vAlign w:val="bottom"/>
            <w:hideMark/>
          </w:tcPr>
          <w:p w14:paraId="5D4275F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59B36D13"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6,193 </w:t>
            </w:r>
          </w:p>
        </w:tc>
      </w:tr>
      <w:tr w:rsidR="008A4236" w:rsidRPr="008E51EC" w14:paraId="2EFAFF1E" w14:textId="77777777" w:rsidTr="008A4236">
        <w:trPr>
          <w:trHeight w:val="288"/>
        </w:trPr>
        <w:tc>
          <w:tcPr>
            <w:tcW w:w="3276" w:type="dxa"/>
            <w:tcBorders>
              <w:top w:val="nil"/>
              <w:left w:val="nil"/>
              <w:bottom w:val="nil"/>
              <w:right w:val="nil"/>
            </w:tcBorders>
            <w:shd w:val="clear" w:color="auto" w:fill="auto"/>
            <w:vAlign w:val="bottom"/>
            <w:hideMark/>
          </w:tcPr>
          <w:p w14:paraId="006B3E1E"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Depreciation, amortization, and</w:t>
            </w:r>
            <w:r w:rsidRPr="008A4236">
              <w:rPr>
                <w:rFonts w:ascii="Segoe UI" w:eastAsia="Times New Roman" w:hAnsi="Segoe UI" w:cs="Segoe UI"/>
                <w:color w:val="666666"/>
                <w:sz w:val="20"/>
                <w:szCs w:val="20"/>
              </w:rPr>
              <w:br/>
              <w:t xml:space="preserve">       other</w:t>
            </w:r>
          </w:p>
        </w:tc>
        <w:tc>
          <w:tcPr>
            <w:tcW w:w="1176" w:type="dxa"/>
            <w:tcBorders>
              <w:top w:val="nil"/>
              <w:left w:val="nil"/>
              <w:bottom w:val="nil"/>
              <w:right w:val="nil"/>
            </w:tcBorders>
            <w:shd w:val="clear" w:color="auto" w:fill="auto"/>
            <w:noWrap/>
            <w:vAlign w:val="bottom"/>
            <w:hideMark/>
          </w:tcPr>
          <w:p w14:paraId="2D3AB03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983 </w:t>
            </w:r>
          </w:p>
        </w:tc>
        <w:tc>
          <w:tcPr>
            <w:tcW w:w="196" w:type="dxa"/>
            <w:tcBorders>
              <w:top w:val="nil"/>
              <w:left w:val="nil"/>
              <w:bottom w:val="nil"/>
              <w:right w:val="nil"/>
            </w:tcBorders>
            <w:shd w:val="clear" w:color="auto" w:fill="auto"/>
            <w:noWrap/>
            <w:vAlign w:val="bottom"/>
            <w:hideMark/>
          </w:tcPr>
          <w:p w14:paraId="3F86BAA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2EB325AB"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797 </w:t>
            </w:r>
          </w:p>
        </w:tc>
        <w:tc>
          <w:tcPr>
            <w:tcW w:w="196" w:type="dxa"/>
            <w:tcBorders>
              <w:top w:val="nil"/>
              <w:left w:val="nil"/>
              <w:bottom w:val="nil"/>
              <w:right w:val="nil"/>
            </w:tcBorders>
            <w:shd w:val="clear" w:color="auto" w:fill="auto"/>
            <w:noWrap/>
            <w:vAlign w:val="bottom"/>
            <w:hideMark/>
          </w:tcPr>
          <w:p w14:paraId="29B8EB7C"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362ED02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3,755 </w:t>
            </w:r>
          </w:p>
        </w:tc>
        <w:tc>
          <w:tcPr>
            <w:tcW w:w="196" w:type="dxa"/>
            <w:tcBorders>
              <w:top w:val="nil"/>
              <w:left w:val="nil"/>
              <w:bottom w:val="nil"/>
              <w:right w:val="nil"/>
            </w:tcBorders>
            <w:shd w:val="clear" w:color="auto" w:fill="auto"/>
            <w:noWrap/>
            <w:vAlign w:val="bottom"/>
            <w:hideMark/>
          </w:tcPr>
          <w:p w14:paraId="3CF38B4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663233D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2,967 </w:t>
            </w:r>
          </w:p>
        </w:tc>
      </w:tr>
      <w:tr w:rsidR="008A4236" w:rsidRPr="008E51EC" w14:paraId="50AB939E" w14:textId="77777777" w:rsidTr="008A4236">
        <w:trPr>
          <w:trHeight w:val="288"/>
        </w:trPr>
        <w:tc>
          <w:tcPr>
            <w:tcW w:w="3276" w:type="dxa"/>
            <w:tcBorders>
              <w:top w:val="nil"/>
              <w:left w:val="nil"/>
              <w:bottom w:val="nil"/>
              <w:right w:val="nil"/>
            </w:tcBorders>
            <w:shd w:val="clear" w:color="auto" w:fill="auto"/>
            <w:vAlign w:val="bottom"/>
            <w:hideMark/>
          </w:tcPr>
          <w:p w14:paraId="6E19F717"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Stock-based compensation</w:t>
            </w:r>
            <w:r w:rsidRPr="008A4236">
              <w:rPr>
                <w:rFonts w:ascii="Segoe UI" w:eastAsia="Times New Roman" w:hAnsi="Segoe UI" w:cs="Segoe UI"/>
                <w:color w:val="666666"/>
                <w:sz w:val="20"/>
                <w:szCs w:val="20"/>
              </w:rPr>
              <w:br/>
              <w:t xml:space="preserve">       expense</w:t>
            </w:r>
          </w:p>
        </w:tc>
        <w:tc>
          <w:tcPr>
            <w:tcW w:w="1176" w:type="dxa"/>
            <w:tcBorders>
              <w:top w:val="nil"/>
              <w:left w:val="nil"/>
              <w:bottom w:val="nil"/>
              <w:right w:val="nil"/>
            </w:tcBorders>
            <w:shd w:val="clear" w:color="auto" w:fill="auto"/>
            <w:noWrap/>
            <w:vAlign w:val="bottom"/>
            <w:hideMark/>
          </w:tcPr>
          <w:p w14:paraId="75291B5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601 </w:t>
            </w:r>
          </w:p>
        </w:tc>
        <w:tc>
          <w:tcPr>
            <w:tcW w:w="196" w:type="dxa"/>
            <w:tcBorders>
              <w:top w:val="nil"/>
              <w:left w:val="nil"/>
              <w:bottom w:val="nil"/>
              <w:right w:val="nil"/>
            </w:tcBorders>
            <w:shd w:val="clear" w:color="auto" w:fill="auto"/>
            <w:noWrap/>
            <w:vAlign w:val="bottom"/>
            <w:hideMark/>
          </w:tcPr>
          <w:p w14:paraId="450B180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55A661CB"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520 </w:t>
            </w:r>
          </w:p>
        </w:tc>
        <w:tc>
          <w:tcPr>
            <w:tcW w:w="196" w:type="dxa"/>
            <w:tcBorders>
              <w:top w:val="nil"/>
              <w:left w:val="nil"/>
              <w:bottom w:val="nil"/>
              <w:right w:val="nil"/>
            </w:tcBorders>
            <w:shd w:val="clear" w:color="auto" w:fill="auto"/>
            <w:noWrap/>
            <w:vAlign w:val="bottom"/>
            <w:hideMark/>
          </w:tcPr>
          <w:p w14:paraId="6B0295FD"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5D4104AB"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2,406 </w:t>
            </w:r>
          </w:p>
        </w:tc>
        <w:tc>
          <w:tcPr>
            <w:tcW w:w="196" w:type="dxa"/>
            <w:tcBorders>
              <w:top w:val="nil"/>
              <w:left w:val="nil"/>
              <w:bottom w:val="nil"/>
              <w:right w:val="nil"/>
            </w:tcBorders>
            <w:shd w:val="clear" w:color="auto" w:fill="auto"/>
            <w:noWrap/>
            <w:vAlign w:val="bottom"/>
            <w:hideMark/>
          </w:tcPr>
          <w:p w14:paraId="225CF46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6318FCEA"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2,244 </w:t>
            </w:r>
          </w:p>
        </w:tc>
      </w:tr>
      <w:tr w:rsidR="008A4236" w:rsidRPr="008E51EC" w14:paraId="1C5B9658" w14:textId="77777777" w:rsidTr="008A4236">
        <w:trPr>
          <w:trHeight w:val="288"/>
        </w:trPr>
        <w:tc>
          <w:tcPr>
            <w:tcW w:w="3276" w:type="dxa"/>
            <w:tcBorders>
              <w:top w:val="nil"/>
              <w:left w:val="nil"/>
              <w:bottom w:val="nil"/>
              <w:right w:val="nil"/>
            </w:tcBorders>
            <w:shd w:val="clear" w:color="auto" w:fill="auto"/>
            <w:vAlign w:val="bottom"/>
            <w:hideMark/>
          </w:tcPr>
          <w:p w14:paraId="614B02D7"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Net recognized losses (gains)</w:t>
            </w:r>
            <w:r w:rsidRPr="008A4236">
              <w:rPr>
                <w:rFonts w:ascii="Segoe UI" w:eastAsia="Times New Roman" w:hAnsi="Segoe UI" w:cs="Segoe UI"/>
                <w:color w:val="666666"/>
                <w:sz w:val="20"/>
                <w:szCs w:val="20"/>
              </w:rPr>
              <w:br/>
              <w:t xml:space="preserve">       on investments and</w:t>
            </w:r>
            <w:r w:rsidRPr="008A4236">
              <w:rPr>
                <w:rFonts w:ascii="Segoe UI" w:eastAsia="Times New Roman" w:hAnsi="Segoe UI" w:cs="Segoe UI"/>
                <w:color w:val="666666"/>
                <w:sz w:val="20"/>
                <w:szCs w:val="20"/>
              </w:rPr>
              <w:br/>
              <w:t xml:space="preserve">       derivatives</w:t>
            </w:r>
          </w:p>
        </w:tc>
        <w:tc>
          <w:tcPr>
            <w:tcW w:w="1176" w:type="dxa"/>
            <w:tcBorders>
              <w:top w:val="nil"/>
              <w:left w:val="nil"/>
              <w:bottom w:val="nil"/>
              <w:right w:val="nil"/>
            </w:tcBorders>
            <w:shd w:val="clear" w:color="auto" w:fill="auto"/>
            <w:noWrap/>
            <w:vAlign w:val="bottom"/>
            <w:hideMark/>
          </w:tcPr>
          <w:p w14:paraId="15B8E84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99 </w:t>
            </w:r>
          </w:p>
        </w:tc>
        <w:tc>
          <w:tcPr>
            <w:tcW w:w="196" w:type="dxa"/>
            <w:tcBorders>
              <w:top w:val="nil"/>
              <w:left w:val="nil"/>
              <w:bottom w:val="nil"/>
              <w:right w:val="nil"/>
            </w:tcBorders>
            <w:shd w:val="clear" w:color="auto" w:fill="auto"/>
            <w:noWrap/>
            <w:vAlign w:val="bottom"/>
            <w:hideMark/>
          </w:tcPr>
          <w:p w14:paraId="71B363B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0A04B28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(126)</w:t>
            </w:r>
          </w:p>
        </w:tc>
        <w:tc>
          <w:tcPr>
            <w:tcW w:w="196" w:type="dxa"/>
            <w:tcBorders>
              <w:top w:val="nil"/>
              <w:left w:val="nil"/>
              <w:bottom w:val="nil"/>
              <w:right w:val="nil"/>
            </w:tcBorders>
            <w:shd w:val="clear" w:color="auto" w:fill="auto"/>
            <w:noWrap/>
            <w:vAlign w:val="bottom"/>
            <w:hideMark/>
          </w:tcPr>
          <w:p w14:paraId="7142B40B"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27020E9F"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80 </w:t>
            </w:r>
          </w:p>
        </w:tc>
        <w:tc>
          <w:tcPr>
            <w:tcW w:w="196" w:type="dxa"/>
            <w:tcBorders>
              <w:top w:val="nil"/>
              <w:left w:val="nil"/>
              <w:bottom w:val="nil"/>
              <w:right w:val="nil"/>
            </w:tcBorders>
            <w:shd w:val="clear" w:color="auto" w:fill="auto"/>
            <w:noWrap/>
            <w:vAlign w:val="bottom"/>
            <w:hideMark/>
          </w:tcPr>
          <w:p w14:paraId="14F7B0B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7D435D34"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(200)</w:t>
            </w:r>
          </w:p>
        </w:tc>
      </w:tr>
      <w:tr w:rsidR="008A4236" w:rsidRPr="008E51EC" w14:paraId="668C4A47" w14:textId="77777777" w:rsidTr="008A4236">
        <w:trPr>
          <w:trHeight w:val="288"/>
        </w:trPr>
        <w:tc>
          <w:tcPr>
            <w:tcW w:w="3276" w:type="dxa"/>
            <w:tcBorders>
              <w:top w:val="nil"/>
              <w:left w:val="nil"/>
              <w:bottom w:val="nil"/>
              <w:right w:val="nil"/>
            </w:tcBorders>
            <w:shd w:val="clear" w:color="auto" w:fill="auto"/>
            <w:vAlign w:val="bottom"/>
            <w:hideMark/>
          </w:tcPr>
          <w:p w14:paraId="00A36A97"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Excess tax benefits from</w:t>
            </w:r>
            <w:r w:rsidRPr="008A4236">
              <w:rPr>
                <w:rFonts w:ascii="Segoe UI" w:eastAsia="Times New Roman" w:hAnsi="Segoe UI" w:cs="Segoe UI"/>
                <w:color w:val="666666"/>
                <w:sz w:val="20"/>
                <w:szCs w:val="20"/>
              </w:rPr>
              <w:br/>
              <w:t xml:space="preserve">       stock-based compensation</w:t>
            </w:r>
          </w:p>
        </w:tc>
        <w:tc>
          <w:tcPr>
            <w:tcW w:w="1176" w:type="dxa"/>
            <w:tcBorders>
              <w:top w:val="nil"/>
              <w:left w:val="nil"/>
              <w:bottom w:val="nil"/>
              <w:right w:val="nil"/>
            </w:tcBorders>
            <w:shd w:val="clear" w:color="auto" w:fill="auto"/>
            <w:noWrap/>
            <w:vAlign w:val="bottom"/>
            <w:hideMark/>
          </w:tcPr>
          <w:p w14:paraId="183CD45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(17)</w:t>
            </w:r>
          </w:p>
        </w:tc>
        <w:tc>
          <w:tcPr>
            <w:tcW w:w="196" w:type="dxa"/>
            <w:tcBorders>
              <w:top w:val="nil"/>
              <w:left w:val="nil"/>
              <w:bottom w:val="nil"/>
              <w:right w:val="nil"/>
            </w:tcBorders>
            <w:shd w:val="clear" w:color="auto" w:fill="auto"/>
            <w:noWrap/>
            <w:vAlign w:val="bottom"/>
            <w:hideMark/>
          </w:tcPr>
          <w:p w14:paraId="70A9B00B"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38D37711"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(9)</w:t>
            </w:r>
          </w:p>
        </w:tc>
        <w:tc>
          <w:tcPr>
            <w:tcW w:w="196" w:type="dxa"/>
            <w:tcBorders>
              <w:top w:val="nil"/>
              <w:left w:val="nil"/>
              <w:bottom w:val="nil"/>
              <w:right w:val="nil"/>
            </w:tcBorders>
            <w:shd w:val="clear" w:color="auto" w:fill="auto"/>
            <w:noWrap/>
            <w:vAlign w:val="bottom"/>
            <w:hideMark/>
          </w:tcPr>
          <w:p w14:paraId="238B99F9"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3D9EB44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(209)</w:t>
            </w:r>
          </w:p>
        </w:tc>
        <w:tc>
          <w:tcPr>
            <w:tcW w:w="196" w:type="dxa"/>
            <w:tcBorders>
              <w:top w:val="nil"/>
              <w:left w:val="nil"/>
              <w:bottom w:val="nil"/>
              <w:right w:val="nil"/>
            </w:tcBorders>
            <w:shd w:val="clear" w:color="auto" w:fill="auto"/>
            <w:noWrap/>
            <w:vAlign w:val="bottom"/>
            <w:hideMark/>
          </w:tcPr>
          <w:p w14:paraId="0C770B4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4DF90D9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(93)</w:t>
            </w:r>
          </w:p>
        </w:tc>
      </w:tr>
      <w:tr w:rsidR="008A4236" w:rsidRPr="008E51EC" w14:paraId="57CAC989" w14:textId="77777777" w:rsidTr="008A4236">
        <w:trPr>
          <w:trHeight w:val="288"/>
        </w:trPr>
        <w:tc>
          <w:tcPr>
            <w:tcW w:w="3276" w:type="dxa"/>
            <w:tcBorders>
              <w:top w:val="nil"/>
              <w:left w:val="nil"/>
              <w:bottom w:val="nil"/>
              <w:right w:val="nil"/>
            </w:tcBorders>
            <w:shd w:val="clear" w:color="auto" w:fill="auto"/>
            <w:vAlign w:val="bottom"/>
            <w:hideMark/>
          </w:tcPr>
          <w:p w14:paraId="2F0A6481"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Deferred income taxes</w:t>
            </w:r>
          </w:p>
        </w:tc>
        <w:tc>
          <w:tcPr>
            <w:tcW w:w="1176" w:type="dxa"/>
            <w:tcBorders>
              <w:top w:val="nil"/>
              <w:left w:val="nil"/>
              <w:bottom w:val="nil"/>
              <w:right w:val="nil"/>
            </w:tcBorders>
            <w:shd w:val="clear" w:color="auto" w:fill="auto"/>
            <w:noWrap/>
            <w:vAlign w:val="bottom"/>
            <w:hideMark/>
          </w:tcPr>
          <w:p w14:paraId="3CBE731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(423)</w:t>
            </w:r>
          </w:p>
        </w:tc>
        <w:tc>
          <w:tcPr>
            <w:tcW w:w="196" w:type="dxa"/>
            <w:tcBorders>
              <w:top w:val="nil"/>
              <w:left w:val="nil"/>
              <w:bottom w:val="nil"/>
              <w:right w:val="nil"/>
            </w:tcBorders>
            <w:shd w:val="clear" w:color="auto" w:fill="auto"/>
            <w:noWrap/>
            <w:vAlign w:val="bottom"/>
            <w:hideMark/>
          </w:tcPr>
          <w:p w14:paraId="71531FF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1CFE06F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672 </w:t>
            </w:r>
          </w:p>
        </w:tc>
        <w:tc>
          <w:tcPr>
            <w:tcW w:w="196" w:type="dxa"/>
            <w:tcBorders>
              <w:top w:val="nil"/>
              <w:left w:val="nil"/>
              <w:bottom w:val="nil"/>
              <w:right w:val="nil"/>
            </w:tcBorders>
            <w:shd w:val="clear" w:color="auto" w:fill="auto"/>
            <w:noWrap/>
            <w:vAlign w:val="bottom"/>
            <w:hideMark/>
          </w:tcPr>
          <w:p w14:paraId="585D3F04"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0C4752C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(19)</w:t>
            </w:r>
          </w:p>
        </w:tc>
        <w:tc>
          <w:tcPr>
            <w:tcW w:w="196" w:type="dxa"/>
            <w:tcBorders>
              <w:top w:val="nil"/>
              <w:left w:val="nil"/>
              <w:bottom w:val="nil"/>
              <w:right w:val="nil"/>
            </w:tcBorders>
            <w:shd w:val="clear" w:color="auto" w:fill="auto"/>
            <w:noWrap/>
            <w:vAlign w:val="bottom"/>
            <w:hideMark/>
          </w:tcPr>
          <w:p w14:paraId="273F330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3E943BE6"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954 </w:t>
            </w:r>
          </w:p>
        </w:tc>
      </w:tr>
      <w:tr w:rsidR="008A4236" w:rsidRPr="008E51EC" w14:paraId="007719E3" w14:textId="77777777" w:rsidTr="008A4236">
        <w:trPr>
          <w:trHeight w:val="288"/>
        </w:trPr>
        <w:tc>
          <w:tcPr>
            <w:tcW w:w="3276" w:type="dxa"/>
            <w:tcBorders>
              <w:top w:val="nil"/>
              <w:left w:val="nil"/>
              <w:bottom w:val="nil"/>
              <w:right w:val="nil"/>
            </w:tcBorders>
            <w:shd w:val="clear" w:color="auto" w:fill="auto"/>
            <w:vAlign w:val="bottom"/>
            <w:hideMark/>
          </w:tcPr>
          <w:p w14:paraId="19A26497"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Deferral of unearned revenue</w:t>
            </w:r>
          </w:p>
        </w:tc>
        <w:tc>
          <w:tcPr>
            <w:tcW w:w="1176" w:type="dxa"/>
            <w:tcBorders>
              <w:top w:val="nil"/>
              <w:left w:val="nil"/>
              <w:bottom w:val="nil"/>
              <w:right w:val="nil"/>
            </w:tcBorders>
            <w:shd w:val="clear" w:color="auto" w:fill="auto"/>
            <w:noWrap/>
            <w:vAlign w:val="bottom"/>
            <w:hideMark/>
          </w:tcPr>
          <w:p w14:paraId="05F9A3D7"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15,621 </w:t>
            </w:r>
          </w:p>
        </w:tc>
        <w:tc>
          <w:tcPr>
            <w:tcW w:w="196" w:type="dxa"/>
            <w:tcBorders>
              <w:top w:val="nil"/>
              <w:left w:val="nil"/>
              <w:bottom w:val="nil"/>
              <w:right w:val="nil"/>
            </w:tcBorders>
            <w:shd w:val="clear" w:color="auto" w:fill="auto"/>
            <w:noWrap/>
            <w:vAlign w:val="bottom"/>
            <w:hideMark/>
          </w:tcPr>
          <w:p w14:paraId="550F1E4F"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400AA72C"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14,279 </w:t>
            </w:r>
          </w:p>
        </w:tc>
        <w:tc>
          <w:tcPr>
            <w:tcW w:w="196" w:type="dxa"/>
            <w:tcBorders>
              <w:top w:val="nil"/>
              <w:left w:val="nil"/>
              <w:bottom w:val="nil"/>
              <w:right w:val="nil"/>
            </w:tcBorders>
            <w:shd w:val="clear" w:color="auto" w:fill="auto"/>
            <w:noWrap/>
            <w:vAlign w:val="bottom"/>
            <w:hideMark/>
          </w:tcPr>
          <w:p w14:paraId="73BC2117"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134E74F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44,253 </w:t>
            </w:r>
          </w:p>
        </w:tc>
        <w:tc>
          <w:tcPr>
            <w:tcW w:w="196" w:type="dxa"/>
            <w:tcBorders>
              <w:top w:val="nil"/>
              <w:left w:val="nil"/>
              <w:bottom w:val="nil"/>
              <w:right w:val="nil"/>
            </w:tcBorders>
            <w:shd w:val="clear" w:color="auto" w:fill="auto"/>
            <w:noWrap/>
            <w:vAlign w:val="bottom"/>
            <w:hideMark/>
          </w:tcPr>
          <w:p w14:paraId="43E9896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71485F26"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36,104 </w:t>
            </w:r>
          </w:p>
        </w:tc>
      </w:tr>
      <w:tr w:rsidR="008A4236" w:rsidRPr="008E51EC" w14:paraId="1BBDD016" w14:textId="77777777" w:rsidTr="008A4236">
        <w:trPr>
          <w:trHeight w:val="288"/>
        </w:trPr>
        <w:tc>
          <w:tcPr>
            <w:tcW w:w="3276" w:type="dxa"/>
            <w:tcBorders>
              <w:top w:val="nil"/>
              <w:left w:val="nil"/>
              <w:bottom w:val="nil"/>
              <w:right w:val="nil"/>
            </w:tcBorders>
            <w:shd w:val="clear" w:color="auto" w:fill="auto"/>
            <w:vAlign w:val="bottom"/>
            <w:hideMark/>
          </w:tcPr>
          <w:p w14:paraId="7428CE49"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Recognition of unearned</w:t>
            </w:r>
            <w:r w:rsidRPr="008A4236">
              <w:rPr>
                <w:rFonts w:ascii="Segoe UI" w:eastAsia="Times New Roman" w:hAnsi="Segoe UI" w:cs="Segoe UI"/>
                <w:color w:val="666666"/>
                <w:sz w:val="20"/>
                <w:szCs w:val="20"/>
              </w:rPr>
              <w:br/>
              <w:t xml:space="preserve">       revenue</w:t>
            </w:r>
          </w:p>
        </w:tc>
        <w:tc>
          <w:tcPr>
            <w:tcW w:w="1176" w:type="dxa"/>
            <w:tcBorders>
              <w:top w:val="nil"/>
              <w:left w:val="nil"/>
              <w:bottom w:val="nil"/>
              <w:right w:val="nil"/>
            </w:tcBorders>
            <w:shd w:val="clear" w:color="auto" w:fill="auto"/>
            <w:noWrap/>
            <w:vAlign w:val="bottom"/>
            <w:hideMark/>
          </w:tcPr>
          <w:p w14:paraId="5C7EC8E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(11,069)</w:t>
            </w:r>
          </w:p>
        </w:tc>
        <w:tc>
          <w:tcPr>
            <w:tcW w:w="196" w:type="dxa"/>
            <w:tcBorders>
              <w:top w:val="nil"/>
              <w:left w:val="nil"/>
              <w:bottom w:val="nil"/>
              <w:right w:val="nil"/>
            </w:tcBorders>
            <w:shd w:val="clear" w:color="auto" w:fill="auto"/>
            <w:noWrap/>
            <w:vAlign w:val="bottom"/>
            <w:hideMark/>
          </w:tcPr>
          <w:p w14:paraId="06EDE0A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6ED0D40A"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(9,354)</w:t>
            </w:r>
          </w:p>
        </w:tc>
        <w:tc>
          <w:tcPr>
            <w:tcW w:w="196" w:type="dxa"/>
            <w:tcBorders>
              <w:top w:val="nil"/>
              <w:left w:val="nil"/>
              <w:bottom w:val="nil"/>
              <w:right w:val="nil"/>
            </w:tcBorders>
            <w:shd w:val="clear" w:color="auto" w:fill="auto"/>
            <w:noWrap/>
            <w:vAlign w:val="bottom"/>
            <w:hideMark/>
          </w:tcPr>
          <w:p w14:paraId="5C636E41"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6D899FBB"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(41,921)</w:t>
            </w:r>
          </w:p>
        </w:tc>
        <w:tc>
          <w:tcPr>
            <w:tcW w:w="196" w:type="dxa"/>
            <w:tcBorders>
              <w:top w:val="nil"/>
              <w:left w:val="nil"/>
              <w:bottom w:val="nil"/>
              <w:right w:val="nil"/>
            </w:tcBorders>
            <w:shd w:val="clear" w:color="auto" w:fill="auto"/>
            <w:noWrap/>
            <w:vAlign w:val="bottom"/>
            <w:hideMark/>
          </w:tcPr>
          <w:p w14:paraId="53C1CD4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4CEC2E6C"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(33,347)</w:t>
            </w:r>
          </w:p>
        </w:tc>
      </w:tr>
      <w:tr w:rsidR="008A4236" w:rsidRPr="008E51EC" w14:paraId="7B70E79B" w14:textId="77777777" w:rsidTr="008A4236">
        <w:trPr>
          <w:trHeight w:val="288"/>
        </w:trPr>
        <w:tc>
          <w:tcPr>
            <w:tcW w:w="3276" w:type="dxa"/>
            <w:tcBorders>
              <w:top w:val="nil"/>
              <w:left w:val="nil"/>
              <w:bottom w:val="nil"/>
              <w:right w:val="nil"/>
            </w:tcBorders>
            <w:shd w:val="clear" w:color="auto" w:fill="auto"/>
            <w:vAlign w:val="bottom"/>
            <w:hideMark/>
          </w:tcPr>
          <w:p w14:paraId="5BE49037"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Changes in operating assets</w:t>
            </w:r>
            <w:r w:rsidRPr="008A4236">
              <w:rPr>
                <w:rFonts w:ascii="Segoe UI" w:eastAsia="Times New Roman" w:hAnsi="Segoe UI" w:cs="Segoe UI"/>
                <w:color w:val="666666"/>
                <w:sz w:val="20"/>
                <w:szCs w:val="20"/>
              </w:rPr>
              <w:br/>
              <w:t xml:space="preserve">       and liabilities:</w:t>
            </w:r>
          </w:p>
        </w:tc>
        <w:tc>
          <w:tcPr>
            <w:tcW w:w="1176" w:type="dxa"/>
            <w:tcBorders>
              <w:top w:val="nil"/>
              <w:left w:val="nil"/>
              <w:bottom w:val="nil"/>
              <w:right w:val="nil"/>
            </w:tcBorders>
            <w:shd w:val="clear" w:color="auto" w:fill="auto"/>
            <w:noWrap/>
            <w:vAlign w:val="bottom"/>
            <w:hideMark/>
          </w:tcPr>
          <w:p w14:paraId="6A7D7EF8" w14:textId="77777777" w:rsidR="008E51EC" w:rsidRPr="008A4236" w:rsidRDefault="008E51EC" w:rsidP="008E51EC">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6B7CECFF"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gridSpan w:val="2"/>
            <w:tcBorders>
              <w:top w:val="nil"/>
              <w:left w:val="nil"/>
              <w:bottom w:val="nil"/>
              <w:right w:val="nil"/>
            </w:tcBorders>
            <w:shd w:val="clear" w:color="auto" w:fill="auto"/>
            <w:noWrap/>
            <w:vAlign w:val="bottom"/>
            <w:hideMark/>
          </w:tcPr>
          <w:p w14:paraId="329CEAF9"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48EF2182"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18E543E8"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2E6AE04B"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552B5BE3" w14:textId="77777777" w:rsidR="008E51EC" w:rsidRPr="008A4236" w:rsidRDefault="008E51EC" w:rsidP="008E51EC">
            <w:pPr>
              <w:spacing w:after="0" w:line="240" w:lineRule="auto"/>
              <w:rPr>
                <w:rFonts w:ascii="Times New Roman" w:eastAsia="Times New Roman" w:hAnsi="Times New Roman"/>
                <w:sz w:val="20"/>
                <w:szCs w:val="20"/>
              </w:rPr>
            </w:pPr>
          </w:p>
        </w:tc>
      </w:tr>
      <w:tr w:rsidR="008A4236" w:rsidRPr="008E51EC" w14:paraId="0DADAF4B" w14:textId="77777777" w:rsidTr="008A4236">
        <w:trPr>
          <w:trHeight w:val="288"/>
        </w:trPr>
        <w:tc>
          <w:tcPr>
            <w:tcW w:w="3276" w:type="dxa"/>
            <w:tcBorders>
              <w:top w:val="nil"/>
              <w:left w:val="nil"/>
              <w:bottom w:val="nil"/>
              <w:right w:val="nil"/>
            </w:tcBorders>
            <w:shd w:val="clear" w:color="auto" w:fill="auto"/>
            <w:vAlign w:val="bottom"/>
            <w:hideMark/>
          </w:tcPr>
          <w:p w14:paraId="357224D6"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Accounts receivable</w:t>
            </w:r>
          </w:p>
        </w:tc>
        <w:tc>
          <w:tcPr>
            <w:tcW w:w="1176" w:type="dxa"/>
            <w:tcBorders>
              <w:top w:val="nil"/>
              <w:left w:val="nil"/>
              <w:bottom w:val="nil"/>
              <w:right w:val="nil"/>
            </w:tcBorders>
            <w:shd w:val="clear" w:color="auto" w:fill="auto"/>
            <w:noWrap/>
            <w:vAlign w:val="bottom"/>
            <w:hideMark/>
          </w:tcPr>
          <w:p w14:paraId="76FC059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(5,666)</w:t>
            </w:r>
          </w:p>
        </w:tc>
        <w:tc>
          <w:tcPr>
            <w:tcW w:w="196" w:type="dxa"/>
            <w:tcBorders>
              <w:top w:val="nil"/>
              <w:left w:val="nil"/>
              <w:bottom w:val="nil"/>
              <w:right w:val="nil"/>
            </w:tcBorders>
            <w:shd w:val="clear" w:color="auto" w:fill="auto"/>
            <w:noWrap/>
            <w:vAlign w:val="bottom"/>
            <w:hideMark/>
          </w:tcPr>
          <w:p w14:paraId="3D6EBE7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5C8D5143"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(5,007)</w:t>
            </w:r>
          </w:p>
        </w:tc>
        <w:tc>
          <w:tcPr>
            <w:tcW w:w="196" w:type="dxa"/>
            <w:tcBorders>
              <w:top w:val="nil"/>
              <w:left w:val="nil"/>
              <w:bottom w:val="nil"/>
              <w:right w:val="nil"/>
            </w:tcBorders>
            <w:shd w:val="clear" w:color="auto" w:fill="auto"/>
            <w:noWrap/>
            <w:vAlign w:val="bottom"/>
            <w:hideMark/>
          </w:tcPr>
          <w:p w14:paraId="34737179"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4BD50BA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(1,807)</w:t>
            </w:r>
          </w:p>
        </w:tc>
        <w:tc>
          <w:tcPr>
            <w:tcW w:w="196" w:type="dxa"/>
            <w:tcBorders>
              <w:top w:val="nil"/>
              <w:left w:val="nil"/>
              <w:bottom w:val="nil"/>
              <w:right w:val="nil"/>
            </w:tcBorders>
            <w:shd w:val="clear" w:color="auto" w:fill="auto"/>
            <w:noWrap/>
            <w:vAlign w:val="bottom"/>
            <w:hideMark/>
          </w:tcPr>
          <w:p w14:paraId="472C86D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123EC8E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(1,156)</w:t>
            </w:r>
          </w:p>
        </w:tc>
      </w:tr>
      <w:tr w:rsidR="008A4236" w:rsidRPr="008E51EC" w14:paraId="601720CF" w14:textId="77777777" w:rsidTr="008A4236">
        <w:trPr>
          <w:trHeight w:val="288"/>
        </w:trPr>
        <w:tc>
          <w:tcPr>
            <w:tcW w:w="3276" w:type="dxa"/>
            <w:tcBorders>
              <w:top w:val="nil"/>
              <w:left w:val="nil"/>
              <w:bottom w:val="nil"/>
              <w:right w:val="nil"/>
            </w:tcBorders>
            <w:shd w:val="clear" w:color="auto" w:fill="auto"/>
            <w:vAlign w:val="bottom"/>
            <w:hideMark/>
          </w:tcPr>
          <w:p w14:paraId="5B2A8944"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Inventories</w:t>
            </w:r>
          </w:p>
        </w:tc>
        <w:tc>
          <w:tcPr>
            <w:tcW w:w="1176" w:type="dxa"/>
            <w:tcBorders>
              <w:top w:val="nil"/>
              <w:left w:val="nil"/>
              <w:bottom w:val="nil"/>
              <w:right w:val="nil"/>
            </w:tcBorders>
            <w:shd w:val="clear" w:color="auto" w:fill="auto"/>
            <w:noWrap/>
            <w:vAlign w:val="bottom"/>
            <w:hideMark/>
          </w:tcPr>
          <w:p w14:paraId="09E0D85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187 </w:t>
            </w:r>
          </w:p>
        </w:tc>
        <w:tc>
          <w:tcPr>
            <w:tcW w:w="196" w:type="dxa"/>
            <w:tcBorders>
              <w:top w:val="nil"/>
              <w:left w:val="nil"/>
              <w:bottom w:val="nil"/>
              <w:right w:val="nil"/>
            </w:tcBorders>
            <w:shd w:val="clear" w:color="auto" w:fill="auto"/>
            <w:noWrap/>
            <w:vAlign w:val="bottom"/>
            <w:hideMark/>
          </w:tcPr>
          <w:p w14:paraId="11D72A0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06748539"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263 </w:t>
            </w:r>
          </w:p>
        </w:tc>
        <w:tc>
          <w:tcPr>
            <w:tcW w:w="196" w:type="dxa"/>
            <w:tcBorders>
              <w:top w:val="nil"/>
              <w:left w:val="nil"/>
              <w:bottom w:val="nil"/>
              <w:right w:val="nil"/>
            </w:tcBorders>
            <w:shd w:val="clear" w:color="auto" w:fill="auto"/>
            <w:noWrap/>
            <w:vAlign w:val="bottom"/>
            <w:hideMark/>
          </w:tcPr>
          <w:p w14:paraId="3F27890A"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6AC11A5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(802)</w:t>
            </w:r>
          </w:p>
        </w:tc>
        <w:tc>
          <w:tcPr>
            <w:tcW w:w="196" w:type="dxa"/>
            <w:tcBorders>
              <w:top w:val="nil"/>
              <w:left w:val="nil"/>
              <w:bottom w:val="nil"/>
              <w:right w:val="nil"/>
            </w:tcBorders>
            <w:shd w:val="clear" w:color="auto" w:fill="auto"/>
            <w:noWrap/>
            <w:vAlign w:val="bottom"/>
            <w:hideMark/>
          </w:tcPr>
          <w:p w14:paraId="0D1CC0BF"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231B0EE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184 </w:t>
            </w:r>
          </w:p>
        </w:tc>
      </w:tr>
      <w:tr w:rsidR="008A4236" w:rsidRPr="008E51EC" w14:paraId="01512150" w14:textId="77777777" w:rsidTr="008A4236">
        <w:trPr>
          <w:trHeight w:val="288"/>
        </w:trPr>
        <w:tc>
          <w:tcPr>
            <w:tcW w:w="3276" w:type="dxa"/>
            <w:tcBorders>
              <w:top w:val="nil"/>
              <w:left w:val="nil"/>
              <w:bottom w:val="nil"/>
              <w:right w:val="nil"/>
            </w:tcBorders>
            <w:shd w:val="clear" w:color="auto" w:fill="auto"/>
            <w:vAlign w:val="bottom"/>
            <w:hideMark/>
          </w:tcPr>
          <w:p w14:paraId="7252992F"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Other current assets</w:t>
            </w:r>
          </w:p>
        </w:tc>
        <w:tc>
          <w:tcPr>
            <w:tcW w:w="1176" w:type="dxa"/>
            <w:tcBorders>
              <w:top w:val="nil"/>
              <w:left w:val="nil"/>
              <w:bottom w:val="nil"/>
              <w:right w:val="nil"/>
            </w:tcBorders>
            <w:shd w:val="clear" w:color="auto" w:fill="auto"/>
            <w:noWrap/>
            <w:vAlign w:val="bottom"/>
            <w:hideMark/>
          </w:tcPr>
          <w:p w14:paraId="65CBA72B"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(33)</w:t>
            </w:r>
          </w:p>
        </w:tc>
        <w:tc>
          <w:tcPr>
            <w:tcW w:w="196" w:type="dxa"/>
            <w:tcBorders>
              <w:top w:val="nil"/>
              <w:left w:val="nil"/>
              <w:bottom w:val="nil"/>
              <w:right w:val="nil"/>
            </w:tcBorders>
            <w:shd w:val="clear" w:color="auto" w:fill="auto"/>
            <w:noWrap/>
            <w:vAlign w:val="bottom"/>
            <w:hideMark/>
          </w:tcPr>
          <w:p w14:paraId="50D909A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3153BD6F"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(445)</w:t>
            </w:r>
          </w:p>
        </w:tc>
        <w:tc>
          <w:tcPr>
            <w:tcW w:w="196" w:type="dxa"/>
            <w:tcBorders>
              <w:top w:val="nil"/>
              <w:left w:val="nil"/>
              <w:bottom w:val="nil"/>
              <w:right w:val="nil"/>
            </w:tcBorders>
            <w:shd w:val="clear" w:color="auto" w:fill="auto"/>
            <w:noWrap/>
            <w:vAlign w:val="bottom"/>
            <w:hideMark/>
          </w:tcPr>
          <w:p w14:paraId="74971187"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62886FD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(129)</w:t>
            </w:r>
          </w:p>
        </w:tc>
        <w:tc>
          <w:tcPr>
            <w:tcW w:w="196" w:type="dxa"/>
            <w:tcBorders>
              <w:top w:val="nil"/>
              <w:left w:val="nil"/>
              <w:bottom w:val="nil"/>
              <w:right w:val="nil"/>
            </w:tcBorders>
            <w:shd w:val="clear" w:color="auto" w:fill="auto"/>
            <w:noWrap/>
            <w:vAlign w:val="bottom"/>
            <w:hideMark/>
          </w:tcPr>
          <w:p w14:paraId="27365D8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6BADB04B"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493 </w:t>
            </w:r>
          </w:p>
        </w:tc>
      </w:tr>
      <w:tr w:rsidR="008A4236" w:rsidRPr="008E51EC" w14:paraId="6275F200" w14:textId="77777777" w:rsidTr="008A4236">
        <w:trPr>
          <w:trHeight w:val="288"/>
        </w:trPr>
        <w:tc>
          <w:tcPr>
            <w:tcW w:w="3276" w:type="dxa"/>
            <w:tcBorders>
              <w:top w:val="nil"/>
              <w:left w:val="nil"/>
              <w:bottom w:val="nil"/>
              <w:right w:val="nil"/>
            </w:tcBorders>
            <w:shd w:val="clear" w:color="auto" w:fill="auto"/>
            <w:vAlign w:val="bottom"/>
            <w:hideMark/>
          </w:tcPr>
          <w:p w14:paraId="2077BB7A"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Other long-term assets</w:t>
            </w:r>
          </w:p>
        </w:tc>
        <w:tc>
          <w:tcPr>
            <w:tcW w:w="1176" w:type="dxa"/>
            <w:tcBorders>
              <w:top w:val="nil"/>
              <w:left w:val="nil"/>
              <w:bottom w:val="nil"/>
              <w:right w:val="nil"/>
            </w:tcBorders>
            <w:shd w:val="clear" w:color="auto" w:fill="auto"/>
            <w:noWrap/>
            <w:vAlign w:val="bottom"/>
            <w:hideMark/>
          </w:tcPr>
          <w:p w14:paraId="2C6000C1"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(152)</w:t>
            </w:r>
          </w:p>
        </w:tc>
        <w:tc>
          <w:tcPr>
            <w:tcW w:w="196" w:type="dxa"/>
            <w:tcBorders>
              <w:top w:val="nil"/>
              <w:left w:val="nil"/>
              <w:bottom w:val="nil"/>
              <w:right w:val="nil"/>
            </w:tcBorders>
            <w:shd w:val="clear" w:color="auto" w:fill="auto"/>
            <w:noWrap/>
            <w:vAlign w:val="bottom"/>
            <w:hideMark/>
          </w:tcPr>
          <w:p w14:paraId="7A09AB6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6000F128"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(212)</w:t>
            </w:r>
          </w:p>
        </w:tc>
        <w:tc>
          <w:tcPr>
            <w:tcW w:w="196" w:type="dxa"/>
            <w:tcBorders>
              <w:top w:val="nil"/>
              <w:left w:val="nil"/>
              <w:bottom w:val="nil"/>
              <w:right w:val="nil"/>
            </w:tcBorders>
            <w:shd w:val="clear" w:color="auto" w:fill="auto"/>
            <w:noWrap/>
            <w:vAlign w:val="bottom"/>
            <w:hideMark/>
          </w:tcPr>
          <w:p w14:paraId="1F307B4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21F5196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(478)</w:t>
            </w:r>
          </w:p>
        </w:tc>
        <w:tc>
          <w:tcPr>
            <w:tcW w:w="196" w:type="dxa"/>
            <w:tcBorders>
              <w:top w:val="nil"/>
              <w:left w:val="nil"/>
              <w:bottom w:val="nil"/>
              <w:right w:val="nil"/>
            </w:tcBorders>
            <w:shd w:val="clear" w:color="auto" w:fill="auto"/>
            <w:noWrap/>
            <w:vAlign w:val="bottom"/>
            <w:hideMark/>
          </w:tcPr>
          <w:p w14:paraId="52DD0F8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05A9E9AB"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(248)</w:t>
            </w:r>
          </w:p>
        </w:tc>
      </w:tr>
      <w:tr w:rsidR="008A4236" w:rsidRPr="008E51EC" w14:paraId="2C18458C" w14:textId="77777777" w:rsidTr="008A4236">
        <w:trPr>
          <w:trHeight w:val="288"/>
        </w:trPr>
        <w:tc>
          <w:tcPr>
            <w:tcW w:w="3276" w:type="dxa"/>
            <w:tcBorders>
              <w:top w:val="nil"/>
              <w:left w:val="nil"/>
              <w:bottom w:val="nil"/>
              <w:right w:val="nil"/>
            </w:tcBorders>
            <w:shd w:val="clear" w:color="auto" w:fill="auto"/>
            <w:vAlign w:val="bottom"/>
            <w:hideMark/>
          </w:tcPr>
          <w:p w14:paraId="61D1E2A2"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Accounts payable</w:t>
            </w:r>
          </w:p>
        </w:tc>
        <w:tc>
          <w:tcPr>
            <w:tcW w:w="1176" w:type="dxa"/>
            <w:tcBorders>
              <w:top w:val="nil"/>
              <w:left w:val="nil"/>
              <w:bottom w:val="nil"/>
              <w:right w:val="nil"/>
            </w:tcBorders>
            <w:shd w:val="clear" w:color="auto" w:fill="auto"/>
            <w:noWrap/>
            <w:vAlign w:val="bottom"/>
            <w:hideMark/>
          </w:tcPr>
          <w:p w14:paraId="4BF04BA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486 </w:t>
            </w:r>
          </w:p>
        </w:tc>
        <w:tc>
          <w:tcPr>
            <w:tcW w:w="196" w:type="dxa"/>
            <w:tcBorders>
              <w:top w:val="nil"/>
              <w:left w:val="nil"/>
              <w:bottom w:val="nil"/>
              <w:right w:val="nil"/>
            </w:tcBorders>
            <w:shd w:val="clear" w:color="auto" w:fill="auto"/>
            <w:noWrap/>
            <w:vAlign w:val="bottom"/>
            <w:hideMark/>
          </w:tcPr>
          <w:p w14:paraId="5C920CB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69FFCA2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349 </w:t>
            </w:r>
          </w:p>
        </w:tc>
        <w:tc>
          <w:tcPr>
            <w:tcW w:w="196" w:type="dxa"/>
            <w:tcBorders>
              <w:top w:val="nil"/>
              <w:left w:val="nil"/>
              <w:bottom w:val="nil"/>
              <w:right w:val="nil"/>
            </w:tcBorders>
            <w:shd w:val="clear" w:color="auto" w:fill="auto"/>
            <w:noWrap/>
            <w:vAlign w:val="bottom"/>
            <w:hideMark/>
          </w:tcPr>
          <w:p w14:paraId="14FA76E3"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67AF919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537 </w:t>
            </w:r>
          </w:p>
        </w:tc>
        <w:tc>
          <w:tcPr>
            <w:tcW w:w="196" w:type="dxa"/>
            <w:tcBorders>
              <w:top w:val="nil"/>
              <w:left w:val="nil"/>
              <w:bottom w:val="nil"/>
              <w:right w:val="nil"/>
            </w:tcBorders>
            <w:shd w:val="clear" w:color="auto" w:fill="auto"/>
            <w:noWrap/>
            <w:vAlign w:val="bottom"/>
            <w:hideMark/>
          </w:tcPr>
          <w:p w14:paraId="557157B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783F366F"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(31)</w:t>
            </w:r>
          </w:p>
        </w:tc>
      </w:tr>
      <w:tr w:rsidR="008A4236" w:rsidRPr="008E51EC" w14:paraId="5FB4057F" w14:textId="77777777" w:rsidTr="008A4236">
        <w:trPr>
          <w:trHeight w:val="288"/>
        </w:trPr>
        <w:tc>
          <w:tcPr>
            <w:tcW w:w="3276" w:type="dxa"/>
            <w:tcBorders>
              <w:top w:val="nil"/>
              <w:left w:val="nil"/>
              <w:bottom w:val="nil"/>
              <w:right w:val="nil"/>
            </w:tcBorders>
            <w:shd w:val="clear" w:color="auto" w:fill="auto"/>
            <w:vAlign w:val="bottom"/>
            <w:hideMark/>
          </w:tcPr>
          <w:p w14:paraId="3A30E433"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Other current liabilities</w:t>
            </w:r>
          </w:p>
        </w:tc>
        <w:tc>
          <w:tcPr>
            <w:tcW w:w="1176" w:type="dxa"/>
            <w:tcBorders>
              <w:top w:val="nil"/>
              <w:left w:val="nil"/>
              <w:bottom w:val="nil"/>
              <w:right w:val="nil"/>
            </w:tcBorders>
            <w:shd w:val="clear" w:color="auto" w:fill="auto"/>
            <w:noWrap/>
            <w:vAlign w:val="bottom"/>
            <w:hideMark/>
          </w:tcPr>
          <w:p w14:paraId="00AF584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27 </w:t>
            </w:r>
          </w:p>
        </w:tc>
        <w:tc>
          <w:tcPr>
            <w:tcW w:w="196" w:type="dxa"/>
            <w:tcBorders>
              <w:top w:val="nil"/>
              <w:left w:val="nil"/>
              <w:bottom w:val="nil"/>
              <w:right w:val="nil"/>
            </w:tcBorders>
            <w:shd w:val="clear" w:color="auto" w:fill="auto"/>
            <w:noWrap/>
            <w:vAlign w:val="bottom"/>
            <w:hideMark/>
          </w:tcPr>
          <w:p w14:paraId="61DAC79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21284C0B"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517 </w:t>
            </w:r>
          </w:p>
        </w:tc>
        <w:tc>
          <w:tcPr>
            <w:tcW w:w="196" w:type="dxa"/>
            <w:tcBorders>
              <w:top w:val="nil"/>
              <w:left w:val="nil"/>
              <w:bottom w:val="nil"/>
              <w:right w:val="nil"/>
            </w:tcBorders>
            <w:shd w:val="clear" w:color="auto" w:fill="auto"/>
            <w:noWrap/>
            <w:vAlign w:val="bottom"/>
            <w:hideMark/>
          </w:tcPr>
          <w:p w14:paraId="21FA12EC"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11B4A1CF"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146 </w:t>
            </w:r>
          </w:p>
        </w:tc>
        <w:tc>
          <w:tcPr>
            <w:tcW w:w="196" w:type="dxa"/>
            <w:tcBorders>
              <w:top w:val="nil"/>
              <w:left w:val="nil"/>
              <w:bottom w:val="nil"/>
              <w:right w:val="nil"/>
            </w:tcBorders>
            <w:shd w:val="clear" w:color="auto" w:fill="auto"/>
            <w:noWrap/>
            <w:vAlign w:val="bottom"/>
            <w:hideMark/>
          </w:tcPr>
          <w:p w14:paraId="59B02CE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56B7AEA6"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410 </w:t>
            </w:r>
          </w:p>
        </w:tc>
      </w:tr>
      <w:tr w:rsidR="008A4236" w:rsidRPr="008E51EC" w14:paraId="1E0634E2" w14:textId="77777777" w:rsidTr="008A4236">
        <w:trPr>
          <w:trHeight w:val="288"/>
        </w:trPr>
        <w:tc>
          <w:tcPr>
            <w:tcW w:w="3276" w:type="dxa"/>
            <w:tcBorders>
              <w:top w:val="nil"/>
              <w:left w:val="nil"/>
              <w:bottom w:val="single" w:sz="4" w:space="0" w:color="auto"/>
              <w:right w:val="nil"/>
            </w:tcBorders>
            <w:shd w:val="clear" w:color="auto" w:fill="auto"/>
            <w:noWrap/>
            <w:vAlign w:val="bottom"/>
            <w:hideMark/>
          </w:tcPr>
          <w:p w14:paraId="1843C842"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Other long-term liabilities</w:t>
            </w:r>
          </w:p>
        </w:tc>
        <w:tc>
          <w:tcPr>
            <w:tcW w:w="1176" w:type="dxa"/>
            <w:tcBorders>
              <w:top w:val="nil"/>
              <w:left w:val="nil"/>
              <w:bottom w:val="single" w:sz="4" w:space="0" w:color="auto"/>
              <w:right w:val="nil"/>
            </w:tcBorders>
            <w:shd w:val="clear" w:color="auto" w:fill="auto"/>
            <w:noWrap/>
            <w:vAlign w:val="bottom"/>
            <w:hideMark/>
          </w:tcPr>
          <w:p w14:paraId="7B664DC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294 </w:t>
            </w:r>
          </w:p>
        </w:tc>
        <w:tc>
          <w:tcPr>
            <w:tcW w:w="196" w:type="dxa"/>
            <w:tcBorders>
              <w:top w:val="nil"/>
              <w:left w:val="nil"/>
              <w:bottom w:val="nil"/>
              <w:right w:val="nil"/>
            </w:tcBorders>
            <w:shd w:val="clear" w:color="auto" w:fill="auto"/>
            <w:noWrap/>
            <w:vAlign w:val="bottom"/>
            <w:hideMark/>
          </w:tcPr>
          <w:p w14:paraId="1EC21E1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180A042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(268)</w:t>
            </w:r>
          </w:p>
        </w:tc>
        <w:tc>
          <w:tcPr>
            <w:tcW w:w="196" w:type="dxa"/>
            <w:tcBorders>
              <w:top w:val="nil"/>
              <w:left w:val="nil"/>
              <w:bottom w:val="nil"/>
              <w:right w:val="nil"/>
            </w:tcBorders>
            <w:shd w:val="clear" w:color="auto" w:fill="auto"/>
            <w:noWrap/>
            <w:vAlign w:val="bottom"/>
            <w:hideMark/>
          </w:tcPr>
          <w:p w14:paraId="534DCF77"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6B1CE1C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1,158 </w:t>
            </w:r>
          </w:p>
        </w:tc>
        <w:tc>
          <w:tcPr>
            <w:tcW w:w="196" w:type="dxa"/>
            <w:tcBorders>
              <w:top w:val="nil"/>
              <w:left w:val="nil"/>
              <w:bottom w:val="nil"/>
              <w:right w:val="nil"/>
            </w:tcBorders>
            <w:shd w:val="clear" w:color="auto" w:fill="auto"/>
            <w:noWrap/>
            <w:vAlign w:val="bottom"/>
            <w:hideMark/>
          </w:tcPr>
          <w:p w14:paraId="4E0E1EB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0EBDAF99"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174 </w:t>
            </w:r>
          </w:p>
        </w:tc>
      </w:tr>
      <w:tr w:rsidR="008A4236" w:rsidRPr="008E51EC" w14:paraId="2F68511A" w14:textId="77777777" w:rsidTr="008A4236">
        <w:trPr>
          <w:trHeight w:val="288"/>
        </w:trPr>
        <w:tc>
          <w:tcPr>
            <w:tcW w:w="3276" w:type="dxa"/>
            <w:tcBorders>
              <w:top w:val="nil"/>
              <w:left w:val="nil"/>
              <w:bottom w:val="single" w:sz="4" w:space="0" w:color="auto"/>
              <w:right w:val="nil"/>
            </w:tcBorders>
            <w:shd w:val="clear" w:color="auto" w:fill="auto"/>
            <w:vAlign w:val="bottom"/>
            <w:hideMark/>
          </w:tcPr>
          <w:p w14:paraId="6F2793B2"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Net cash from</w:t>
            </w:r>
            <w:r w:rsidRPr="008A4236">
              <w:rPr>
                <w:rFonts w:ascii="Segoe UI" w:eastAsia="Times New Roman" w:hAnsi="Segoe UI" w:cs="Segoe UI"/>
                <w:color w:val="666666"/>
                <w:sz w:val="20"/>
                <w:szCs w:val="20"/>
              </w:rPr>
              <w:br/>
              <w:t xml:space="preserve">                operations</w:t>
            </w:r>
          </w:p>
        </w:tc>
        <w:tc>
          <w:tcPr>
            <w:tcW w:w="1176" w:type="dxa"/>
            <w:tcBorders>
              <w:top w:val="nil"/>
              <w:left w:val="nil"/>
              <w:bottom w:val="single" w:sz="4" w:space="0" w:color="auto"/>
              <w:right w:val="nil"/>
            </w:tcBorders>
            <w:shd w:val="clear" w:color="auto" w:fill="auto"/>
            <w:noWrap/>
            <w:vAlign w:val="bottom"/>
            <w:hideMark/>
          </w:tcPr>
          <w:p w14:paraId="5C5A0C7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5,903 </w:t>
            </w:r>
          </w:p>
        </w:tc>
        <w:tc>
          <w:tcPr>
            <w:tcW w:w="196" w:type="dxa"/>
            <w:tcBorders>
              <w:top w:val="nil"/>
              <w:left w:val="nil"/>
              <w:bottom w:val="nil"/>
              <w:right w:val="nil"/>
            </w:tcBorders>
            <w:shd w:val="clear" w:color="auto" w:fill="auto"/>
            <w:noWrap/>
            <w:vAlign w:val="bottom"/>
            <w:hideMark/>
          </w:tcPr>
          <w:p w14:paraId="059C6A21"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5CA0190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7,677 </w:t>
            </w:r>
          </w:p>
        </w:tc>
        <w:tc>
          <w:tcPr>
            <w:tcW w:w="196" w:type="dxa"/>
            <w:tcBorders>
              <w:top w:val="nil"/>
              <w:left w:val="nil"/>
              <w:bottom w:val="nil"/>
              <w:right w:val="nil"/>
            </w:tcBorders>
            <w:shd w:val="clear" w:color="auto" w:fill="auto"/>
            <w:noWrap/>
            <w:vAlign w:val="bottom"/>
            <w:hideMark/>
          </w:tcPr>
          <w:p w14:paraId="04EC0AD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6E698F6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28,833 </w:t>
            </w:r>
          </w:p>
        </w:tc>
        <w:tc>
          <w:tcPr>
            <w:tcW w:w="196" w:type="dxa"/>
            <w:tcBorders>
              <w:top w:val="nil"/>
              <w:left w:val="nil"/>
              <w:bottom w:val="nil"/>
              <w:right w:val="nil"/>
            </w:tcBorders>
            <w:shd w:val="clear" w:color="auto" w:fill="auto"/>
            <w:noWrap/>
            <w:vAlign w:val="bottom"/>
            <w:hideMark/>
          </w:tcPr>
          <w:p w14:paraId="62AF81C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021309B7"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31,626 </w:t>
            </w:r>
          </w:p>
        </w:tc>
      </w:tr>
      <w:tr w:rsidR="008A4236" w:rsidRPr="008E51EC" w14:paraId="5095CDB7" w14:textId="77777777" w:rsidTr="008A4236">
        <w:trPr>
          <w:trHeight w:val="288"/>
        </w:trPr>
        <w:tc>
          <w:tcPr>
            <w:tcW w:w="3276" w:type="dxa"/>
            <w:tcBorders>
              <w:top w:val="nil"/>
              <w:left w:val="nil"/>
              <w:bottom w:val="nil"/>
              <w:right w:val="nil"/>
            </w:tcBorders>
            <w:shd w:val="clear" w:color="auto" w:fill="auto"/>
            <w:noWrap/>
            <w:vAlign w:val="bottom"/>
            <w:hideMark/>
          </w:tcPr>
          <w:p w14:paraId="4FFC1EF3" w14:textId="77777777" w:rsidR="008E51EC" w:rsidRPr="008A4236" w:rsidRDefault="008E51EC" w:rsidP="008E51EC">
            <w:pPr>
              <w:spacing w:after="0" w:line="240" w:lineRule="auto"/>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Financing</w:t>
            </w:r>
          </w:p>
        </w:tc>
        <w:tc>
          <w:tcPr>
            <w:tcW w:w="1176" w:type="dxa"/>
            <w:tcBorders>
              <w:top w:val="nil"/>
              <w:left w:val="nil"/>
              <w:bottom w:val="nil"/>
              <w:right w:val="nil"/>
            </w:tcBorders>
            <w:shd w:val="clear" w:color="auto" w:fill="auto"/>
            <w:noWrap/>
            <w:vAlign w:val="bottom"/>
            <w:hideMark/>
          </w:tcPr>
          <w:p w14:paraId="163C2C38" w14:textId="77777777" w:rsidR="008E51EC" w:rsidRPr="008A4236" w:rsidRDefault="008E51EC" w:rsidP="008E51EC">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1D790EF4"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gridSpan w:val="2"/>
            <w:tcBorders>
              <w:top w:val="nil"/>
              <w:left w:val="nil"/>
              <w:bottom w:val="nil"/>
              <w:right w:val="nil"/>
            </w:tcBorders>
            <w:shd w:val="clear" w:color="auto" w:fill="auto"/>
            <w:noWrap/>
            <w:vAlign w:val="bottom"/>
            <w:hideMark/>
          </w:tcPr>
          <w:p w14:paraId="483F595E"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415443DD"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58BC5185"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4B904C28"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79C6897F" w14:textId="77777777" w:rsidR="008E51EC" w:rsidRPr="008A4236" w:rsidRDefault="008E51EC" w:rsidP="008E51EC">
            <w:pPr>
              <w:spacing w:after="0" w:line="240" w:lineRule="auto"/>
              <w:rPr>
                <w:rFonts w:ascii="Times New Roman" w:eastAsia="Times New Roman" w:hAnsi="Times New Roman"/>
                <w:sz w:val="20"/>
                <w:szCs w:val="20"/>
              </w:rPr>
            </w:pPr>
          </w:p>
        </w:tc>
      </w:tr>
      <w:tr w:rsidR="008A4236" w:rsidRPr="008E51EC" w14:paraId="5F773E88" w14:textId="77777777" w:rsidTr="008A4236">
        <w:trPr>
          <w:trHeight w:val="288"/>
        </w:trPr>
        <w:tc>
          <w:tcPr>
            <w:tcW w:w="3276" w:type="dxa"/>
            <w:tcBorders>
              <w:top w:val="nil"/>
              <w:left w:val="nil"/>
              <w:bottom w:val="nil"/>
              <w:right w:val="nil"/>
            </w:tcBorders>
            <w:shd w:val="clear" w:color="auto" w:fill="auto"/>
            <w:vAlign w:val="bottom"/>
            <w:hideMark/>
          </w:tcPr>
          <w:p w14:paraId="1E01B3A2"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Proceeds from issuance of debt</w:t>
            </w:r>
          </w:p>
        </w:tc>
        <w:tc>
          <w:tcPr>
            <w:tcW w:w="1176" w:type="dxa"/>
            <w:tcBorders>
              <w:top w:val="nil"/>
              <w:left w:val="nil"/>
              <w:bottom w:val="nil"/>
              <w:right w:val="nil"/>
            </w:tcBorders>
            <w:shd w:val="clear" w:color="auto" w:fill="auto"/>
            <w:noWrap/>
            <w:vAlign w:val="bottom"/>
            <w:hideMark/>
          </w:tcPr>
          <w:p w14:paraId="425512A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2,651 </w:t>
            </w:r>
          </w:p>
        </w:tc>
        <w:tc>
          <w:tcPr>
            <w:tcW w:w="196" w:type="dxa"/>
            <w:tcBorders>
              <w:top w:val="nil"/>
              <w:left w:val="nil"/>
              <w:bottom w:val="nil"/>
              <w:right w:val="nil"/>
            </w:tcBorders>
            <w:shd w:val="clear" w:color="auto" w:fill="auto"/>
            <w:noWrap/>
            <w:vAlign w:val="bottom"/>
            <w:hideMark/>
          </w:tcPr>
          <w:p w14:paraId="54B8C75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4FC3289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0 </w:t>
            </w:r>
          </w:p>
        </w:tc>
        <w:tc>
          <w:tcPr>
            <w:tcW w:w="196" w:type="dxa"/>
            <w:tcBorders>
              <w:top w:val="nil"/>
              <w:left w:val="nil"/>
              <w:bottom w:val="nil"/>
              <w:right w:val="nil"/>
            </w:tcBorders>
            <w:shd w:val="clear" w:color="auto" w:fill="auto"/>
            <w:noWrap/>
            <w:vAlign w:val="bottom"/>
            <w:hideMark/>
          </w:tcPr>
          <w:p w14:paraId="0CF8411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2AE5868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4,883 </w:t>
            </w:r>
          </w:p>
        </w:tc>
        <w:tc>
          <w:tcPr>
            <w:tcW w:w="196" w:type="dxa"/>
            <w:tcBorders>
              <w:top w:val="nil"/>
              <w:left w:val="nil"/>
              <w:bottom w:val="nil"/>
              <w:right w:val="nil"/>
            </w:tcBorders>
            <w:shd w:val="clear" w:color="auto" w:fill="auto"/>
            <w:noWrap/>
            <w:vAlign w:val="bottom"/>
            <w:hideMark/>
          </w:tcPr>
          <w:p w14:paraId="42663F2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6791CD2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0 </w:t>
            </w:r>
          </w:p>
        </w:tc>
      </w:tr>
      <w:tr w:rsidR="008A4236" w:rsidRPr="008E51EC" w14:paraId="1B4A786A" w14:textId="77777777" w:rsidTr="008A4236">
        <w:trPr>
          <w:trHeight w:val="288"/>
        </w:trPr>
        <w:tc>
          <w:tcPr>
            <w:tcW w:w="3276" w:type="dxa"/>
            <w:tcBorders>
              <w:top w:val="nil"/>
              <w:left w:val="nil"/>
              <w:bottom w:val="nil"/>
              <w:right w:val="nil"/>
            </w:tcBorders>
            <w:shd w:val="clear" w:color="auto" w:fill="auto"/>
            <w:vAlign w:val="bottom"/>
            <w:hideMark/>
          </w:tcPr>
          <w:p w14:paraId="7CA6D58C"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Repayments of debt</w:t>
            </w:r>
          </w:p>
        </w:tc>
        <w:tc>
          <w:tcPr>
            <w:tcW w:w="1176" w:type="dxa"/>
            <w:tcBorders>
              <w:top w:val="nil"/>
              <w:left w:val="nil"/>
              <w:bottom w:val="nil"/>
              <w:right w:val="nil"/>
            </w:tcBorders>
            <w:shd w:val="clear" w:color="auto" w:fill="auto"/>
            <w:noWrap/>
            <w:vAlign w:val="bottom"/>
            <w:hideMark/>
          </w:tcPr>
          <w:p w14:paraId="275B5C8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(1,346)</w:t>
            </w:r>
          </w:p>
        </w:tc>
        <w:tc>
          <w:tcPr>
            <w:tcW w:w="196" w:type="dxa"/>
            <w:tcBorders>
              <w:top w:val="nil"/>
              <w:left w:val="nil"/>
              <w:bottom w:val="nil"/>
              <w:right w:val="nil"/>
            </w:tcBorders>
            <w:shd w:val="clear" w:color="auto" w:fill="auto"/>
            <w:noWrap/>
            <w:vAlign w:val="bottom"/>
            <w:hideMark/>
          </w:tcPr>
          <w:p w14:paraId="76F8E2C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452100A7"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0 </w:t>
            </w:r>
          </w:p>
        </w:tc>
        <w:tc>
          <w:tcPr>
            <w:tcW w:w="196" w:type="dxa"/>
            <w:tcBorders>
              <w:top w:val="nil"/>
              <w:left w:val="nil"/>
              <w:bottom w:val="nil"/>
              <w:right w:val="nil"/>
            </w:tcBorders>
            <w:shd w:val="clear" w:color="auto" w:fill="auto"/>
            <w:noWrap/>
            <w:vAlign w:val="bottom"/>
            <w:hideMark/>
          </w:tcPr>
          <w:p w14:paraId="1E22D306"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3906442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(1,346)</w:t>
            </w:r>
          </w:p>
        </w:tc>
        <w:tc>
          <w:tcPr>
            <w:tcW w:w="196" w:type="dxa"/>
            <w:tcBorders>
              <w:top w:val="nil"/>
              <w:left w:val="nil"/>
              <w:bottom w:val="nil"/>
              <w:right w:val="nil"/>
            </w:tcBorders>
            <w:shd w:val="clear" w:color="auto" w:fill="auto"/>
            <w:noWrap/>
            <w:vAlign w:val="bottom"/>
            <w:hideMark/>
          </w:tcPr>
          <w:p w14:paraId="407258A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7DBEC9A3"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0 </w:t>
            </w:r>
          </w:p>
        </w:tc>
      </w:tr>
      <w:tr w:rsidR="008A4236" w:rsidRPr="008E51EC" w14:paraId="1399D6F5" w14:textId="77777777" w:rsidTr="008A4236">
        <w:trPr>
          <w:trHeight w:val="288"/>
        </w:trPr>
        <w:tc>
          <w:tcPr>
            <w:tcW w:w="3276" w:type="dxa"/>
            <w:tcBorders>
              <w:top w:val="nil"/>
              <w:left w:val="nil"/>
              <w:bottom w:val="nil"/>
              <w:right w:val="nil"/>
            </w:tcBorders>
            <w:shd w:val="clear" w:color="auto" w:fill="auto"/>
            <w:noWrap/>
            <w:vAlign w:val="bottom"/>
            <w:hideMark/>
          </w:tcPr>
          <w:p w14:paraId="12FA3A46"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Common stock issued</w:t>
            </w:r>
          </w:p>
        </w:tc>
        <w:tc>
          <w:tcPr>
            <w:tcW w:w="1176" w:type="dxa"/>
            <w:tcBorders>
              <w:top w:val="nil"/>
              <w:left w:val="nil"/>
              <w:bottom w:val="nil"/>
              <w:right w:val="nil"/>
            </w:tcBorders>
            <w:shd w:val="clear" w:color="auto" w:fill="auto"/>
            <w:noWrap/>
            <w:vAlign w:val="bottom"/>
            <w:hideMark/>
          </w:tcPr>
          <w:p w14:paraId="249A590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166 </w:t>
            </w:r>
          </w:p>
        </w:tc>
        <w:tc>
          <w:tcPr>
            <w:tcW w:w="196" w:type="dxa"/>
            <w:tcBorders>
              <w:top w:val="nil"/>
              <w:left w:val="nil"/>
              <w:bottom w:val="nil"/>
              <w:right w:val="nil"/>
            </w:tcBorders>
            <w:shd w:val="clear" w:color="auto" w:fill="auto"/>
            <w:noWrap/>
            <w:vAlign w:val="bottom"/>
            <w:hideMark/>
          </w:tcPr>
          <w:p w14:paraId="505589C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7C9462C6"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278 </w:t>
            </w:r>
          </w:p>
        </w:tc>
        <w:tc>
          <w:tcPr>
            <w:tcW w:w="196" w:type="dxa"/>
            <w:tcBorders>
              <w:top w:val="nil"/>
              <w:left w:val="nil"/>
              <w:bottom w:val="nil"/>
              <w:right w:val="nil"/>
            </w:tcBorders>
            <w:shd w:val="clear" w:color="auto" w:fill="auto"/>
            <w:noWrap/>
            <w:vAlign w:val="bottom"/>
            <w:hideMark/>
          </w:tcPr>
          <w:p w14:paraId="639E35F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4788740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931 </w:t>
            </w:r>
          </w:p>
        </w:tc>
        <w:tc>
          <w:tcPr>
            <w:tcW w:w="196" w:type="dxa"/>
            <w:tcBorders>
              <w:top w:val="nil"/>
              <w:left w:val="nil"/>
              <w:bottom w:val="nil"/>
              <w:right w:val="nil"/>
            </w:tcBorders>
            <w:shd w:val="clear" w:color="auto" w:fill="auto"/>
            <w:noWrap/>
            <w:vAlign w:val="bottom"/>
            <w:hideMark/>
          </w:tcPr>
          <w:p w14:paraId="58D83F0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7AF7E85B"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1,913 </w:t>
            </w:r>
          </w:p>
        </w:tc>
      </w:tr>
      <w:tr w:rsidR="008A4236" w:rsidRPr="008E51EC" w14:paraId="6FCFCA75" w14:textId="77777777" w:rsidTr="008A4236">
        <w:trPr>
          <w:trHeight w:val="288"/>
        </w:trPr>
        <w:tc>
          <w:tcPr>
            <w:tcW w:w="3276" w:type="dxa"/>
            <w:tcBorders>
              <w:top w:val="nil"/>
              <w:left w:val="nil"/>
              <w:bottom w:val="nil"/>
              <w:right w:val="nil"/>
            </w:tcBorders>
            <w:shd w:val="clear" w:color="auto" w:fill="auto"/>
            <w:noWrap/>
            <w:vAlign w:val="bottom"/>
            <w:hideMark/>
          </w:tcPr>
          <w:p w14:paraId="0FD83E10"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Common stock repurchased</w:t>
            </w:r>
          </w:p>
        </w:tc>
        <w:tc>
          <w:tcPr>
            <w:tcW w:w="1176" w:type="dxa"/>
            <w:tcBorders>
              <w:top w:val="nil"/>
              <w:left w:val="nil"/>
              <w:bottom w:val="nil"/>
              <w:right w:val="nil"/>
            </w:tcBorders>
            <w:shd w:val="clear" w:color="auto" w:fill="auto"/>
            <w:noWrap/>
            <w:vAlign w:val="bottom"/>
            <w:hideMark/>
          </w:tcPr>
          <w:p w14:paraId="75D1A31B"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(1,042)</w:t>
            </w:r>
          </w:p>
        </w:tc>
        <w:tc>
          <w:tcPr>
            <w:tcW w:w="196" w:type="dxa"/>
            <w:tcBorders>
              <w:top w:val="nil"/>
              <w:left w:val="nil"/>
              <w:bottom w:val="nil"/>
              <w:right w:val="nil"/>
            </w:tcBorders>
            <w:shd w:val="clear" w:color="auto" w:fill="auto"/>
            <w:noWrap/>
            <w:vAlign w:val="bottom"/>
            <w:hideMark/>
          </w:tcPr>
          <w:p w14:paraId="066B44F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5C415879"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(1,030)</w:t>
            </w:r>
          </w:p>
        </w:tc>
        <w:tc>
          <w:tcPr>
            <w:tcW w:w="196" w:type="dxa"/>
            <w:tcBorders>
              <w:top w:val="nil"/>
              <w:left w:val="nil"/>
              <w:bottom w:val="nil"/>
              <w:right w:val="nil"/>
            </w:tcBorders>
            <w:shd w:val="clear" w:color="auto" w:fill="auto"/>
            <w:noWrap/>
            <w:vAlign w:val="bottom"/>
            <w:hideMark/>
          </w:tcPr>
          <w:p w14:paraId="51EC024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661F71D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(5,360)</w:t>
            </w:r>
          </w:p>
        </w:tc>
        <w:tc>
          <w:tcPr>
            <w:tcW w:w="196" w:type="dxa"/>
            <w:tcBorders>
              <w:top w:val="nil"/>
              <w:left w:val="nil"/>
              <w:bottom w:val="nil"/>
              <w:right w:val="nil"/>
            </w:tcBorders>
            <w:shd w:val="clear" w:color="auto" w:fill="auto"/>
            <w:noWrap/>
            <w:vAlign w:val="bottom"/>
            <w:hideMark/>
          </w:tcPr>
          <w:p w14:paraId="5F5E68F1"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43ECD5B8"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(5,029)</w:t>
            </w:r>
          </w:p>
        </w:tc>
      </w:tr>
      <w:tr w:rsidR="008A4236" w:rsidRPr="008E51EC" w14:paraId="7E9EFF9A" w14:textId="77777777" w:rsidTr="008A4236">
        <w:trPr>
          <w:trHeight w:val="288"/>
        </w:trPr>
        <w:tc>
          <w:tcPr>
            <w:tcW w:w="3276" w:type="dxa"/>
            <w:tcBorders>
              <w:top w:val="nil"/>
              <w:left w:val="nil"/>
              <w:bottom w:val="nil"/>
              <w:right w:val="nil"/>
            </w:tcBorders>
            <w:shd w:val="clear" w:color="auto" w:fill="auto"/>
            <w:noWrap/>
            <w:vAlign w:val="bottom"/>
            <w:hideMark/>
          </w:tcPr>
          <w:p w14:paraId="1196E9CF"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Common stock cash dividends paid</w:t>
            </w:r>
          </w:p>
        </w:tc>
        <w:tc>
          <w:tcPr>
            <w:tcW w:w="1176" w:type="dxa"/>
            <w:tcBorders>
              <w:top w:val="nil"/>
              <w:left w:val="nil"/>
              <w:bottom w:val="nil"/>
              <w:right w:val="nil"/>
            </w:tcBorders>
            <w:shd w:val="clear" w:color="auto" w:fill="auto"/>
            <w:noWrap/>
            <w:vAlign w:val="bottom"/>
            <w:hideMark/>
          </w:tcPr>
          <w:p w14:paraId="6594750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(1,921)</w:t>
            </w:r>
          </w:p>
        </w:tc>
        <w:tc>
          <w:tcPr>
            <w:tcW w:w="196" w:type="dxa"/>
            <w:tcBorders>
              <w:top w:val="nil"/>
              <w:left w:val="nil"/>
              <w:bottom w:val="nil"/>
              <w:right w:val="nil"/>
            </w:tcBorders>
            <w:shd w:val="clear" w:color="auto" w:fill="auto"/>
            <w:noWrap/>
            <w:vAlign w:val="bottom"/>
            <w:hideMark/>
          </w:tcPr>
          <w:p w14:paraId="0B5B5F2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4B5EE098"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(1,678)</w:t>
            </w:r>
          </w:p>
        </w:tc>
        <w:tc>
          <w:tcPr>
            <w:tcW w:w="196" w:type="dxa"/>
            <w:tcBorders>
              <w:top w:val="nil"/>
              <w:left w:val="nil"/>
              <w:bottom w:val="nil"/>
              <w:right w:val="nil"/>
            </w:tcBorders>
            <w:shd w:val="clear" w:color="auto" w:fill="auto"/>
            <w:noWrap/>
            <w:vAlign w:val="bottom"/>
            <w:hideMark/>
          </w:tcPr>
          <w:p w14:paraId="11DAF73F"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184BDF11"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(7,455)</w:t>
            </w:r>
          </w:p>
        </w:tc>
        <w:tc>
          <w:tcPr>
            <w:tcW w:w="196" w:type="dxa"/>
            <w:tcBorders>
              <w:top w:val="nil"/>
              <w:left w:val="nil"/>
              <w:bottom w:val="nil"/>
              <w:right w:val="nil"/>
            </w:tcBorders>
            <w:shd w:val="clear" w:color="auto" w:fill="auto"/>
            <w:noWrap/>
            <w:vAlign w:val="bottom"/>
            <w:hideMark/>
          </w:tcPr>
          <w:p w14:paraId="31B944F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2B97EE5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(6,385)</w:t>
            </w:r>
          </w:p>
        </w:tc>
      </w:tr>
      <w:tr w:rsidR="008A4236" w:rsidRPr="008E51EC" w14:paraId="4DAC879D" w14:textId="77777777" w:rsidTr="008A4236">
        <w:trPr>
          <w:trHeight w:val="288"/>
        </w:trPr>
        <w:tc>
          <w:tcPr>
            <w:tcW w:w="3276" w:type="dxa"/>
            <w:tcBorders>
              <w:top w:val="nil"/>
              <w:left w:val="nil"/>
              <w:bottom w:val="nil"/>
              <w:right w:val="nil"/>
            </w:tcBorders>
            <w:shd w:val="clear" w:color="auto" w:fill="auto"/>
            <w:vAlign w:val="bottom"/>
            <w:hideMark/>
          </w:tcPr>
          <w:p w14:paraId="34C0B726"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Excess tax benefits from</w:t>
            </w:r>
            <w:r w:rsidRPr="008A4236">
              <w:rPr>
                <w:rFonts w:ascii="Segoe UI" w:eastAsia="Times New Roman" w:hAnsi="Segoe UI" w:cs="Segoe UI"/>
                <w:color w:val="666666"/>
                <w:sz w:val="20"/>
                <w:szCs w:val="20"/>
              </w:rPr>
              <w:br/>
              <w:t xml:space="preserve">    stock-based compensation</w:t>
            </w:r>
          </w:p>
        </w:tc>
        <w:tc>
          <w:tcPr>
            <w:tcW w:w="1176" w:type="dxa"/>
            <w:tcBorders>
              <w:top w:val="nil"/>
              <w:left w:val="nil"/>
              <w:bottom w:val="nil"/>
              <w:right w:val="nil"/>
            </w:tcBorders>
            <w:shd w:val="clear" w:color="auto" w:fill="auto"/>
            <w:noWrap/>
            <w:vAlign w:val="bottom"/>
            <w:hideMark/>
          </w:tcPr>
          <w:p w14:paraId="603EFE8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17 </w:t>
            </w:r>
          </w:p>
        </w:tc>
        <w:tc>
          <w:tcPr>
            <w:tcW w:w="196" w:type="dxa"/>
            <w:tcBorders>
              <w:top w:val="nil"/>
              <w:left w:val="nil"/>
              <w:bottom w:val="nil"/>
              <w:right w:val="nil"/>
            </w:tcBorders>
            <w:shd w:val="clear" w:color="auto" w:fill="auto"/>
            <w:noWrap/>
            <w:vAlign w:val="bottom"/>
            <w:hideMark/>
          </w:tcPr>
          <w:p w14:paraId="6BB8479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179EE93C"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9 </w:t>
            </w:r>
          </w:p>
        </w:tc>
        <w:tc>
          <w:tcPr>
            <w:tcW w:w="196" w:type="dxa"/>
            <w:tcBorders>
              <w:top w:val="nil"/>
              <w:left w:val="nil"/>
              <w:bottom w:val="nil"/>
              <w:right w:val="nil"/>
            </w:tcBorders>
            <w:shd w:val="clear" w:color="auto" w:fill="auto"/>
            <w:noWrap/>
            <w:vAlign w:val="bottom"/>
            <w:hideMark/>
          </w:tcPr>
          <w:p w14:paraId="46666F0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62BD226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209 </w:t>
            </w:r>
          </w:p>
        </w:tc>
        <w:tc>
          <w:tcPr>
            <w:tcW w:w="196" w:type="dxa"/>
            <w:tcBorders>
              <w:top w:val="nil"/>
              <w:left w:val="nil"/>
              <w:bottom w:val="nil"/>
              <w:right w:val="nil"/>
            </w:tcBorders>
            <w:shd w:val="clear" w:color="auto" w:fill="auto"/>
            <w:noWrap/>
            <w:vAlign w:val="bottom"/>
            <w:hideMark/>
          </w:tcPr>
          <w:p w14:paraId="0CDE77C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4DA4FDE1"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93 </w:t>
            </w:r>
          </w:p>
        </w:tc>
      </w:tr>
      <w:tr w:rsidR="008A4236" w:rsidRPr="008E51EC" w14:paraId="4339172C" w14:textId="77777777" w:rsidTr="008A4236">
        <w:trPr>
          <w:trHeight w:val="288"/>
        </w:trPr>
        <w:tc>
          <w:tcPr>
            <w:tcW w:w="3276" w:type="dxa"/>
            <w:tcBorders>
              <w:top w:val="nil"/>
              <w:left w:val="nil"/>
              <w:bottom w:val="single" w:sz="4" w:space="0" w:color="auto"/>
              <w:right w:val="nil"/>
            </w:tcBorders>
            <w:shd w:val="clear" w:color="auto" w:fill="auto"/>
            <w:vAlign w:val="bottom"/>
            <w:hideMark/>
          </w:tcPr>
          <w:p w14:paraId="6EDB7AEF"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Other</w:t>
            </w:r>
          </w:p>
        </w:tc>
        <w:tc>
          <w:tcPr>
            <w:tcW w:w="1176" w:type="dxa"/>
            <w:tcBorders>
              <w:top w:val="nil"/>
              <w:left w:val="nil"/>
              <w:bottom w:val="single" w:sz="4" w:space="0" w:color="auto"/>
              <w:right w:val="nil"/>
            </w:tcBorders>
            <w:shd w:val="clear" w:color="auto" w:fill="auto"/>
            <w:noWrap/>
            <w:vAlign w:val="bottom"/>
            <w:hideMark/>
          </w:tcPr>
          <w:p w14:paraId="7508080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6 </w:t>
            </w:r>
          </w:p>
        </w:tc>
        <w:tc>
          <w:tcPr>
            <w:tcW w:w="196" w:type="dxa"/>
            <w:tcBorders>
              <w:top w:val="nil"/>
              <w:left w:val="nil"/>
              <w:bottom w:val="nil"/>
              <w:right w:val="nil"/>
            </w:tcBorders>
            <w:shd w:val="clear" w:color="auto" w:fill="auto"/>
            <w:noWrap/>
            <w:vAlign w:val="bottom"/>
            <w:hideMark/>
          </w:tcPr>
          <w:p w14:paraId="5029C3D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6D4B2FAD"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0 </w:t>
            </w:r>
          </w:p>
        </w:tc>
        <w:tc>
          <w:tcPr>
            <w:tcW w:w="196" w:type="dxa"/>
            <w:tcBorders>
              <w:top w:val="nil"/>
              <w:left w:val="nil"/>
              <w:bottom w:val="nil"/>
              <w:right w:val="nil"/>
            </w:tcBorders>
            <w:shd w:val="clear" w:color="auto" w:fill="auto"/>
            <w:noWrap/>
            <w:vAlign w:val="bottom"/>
            <w:hideMark/>
          </w:tcPr>
          <w:p w14:paraId="7870E38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1DD495D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(10)</w:t>
            </w:r>
          </w:p>
        </w:tc>
        <w:tc>
          <w:tcPr>
            <w:tcW w:w="196" w:type="dxa"/>
            <w:tcBorders>
              <w:top w:val="nil"/>
              <w:left w:val="nil"/>
              <w:bottom w:val="nil"/>
              <w:right w:val="nil"/>
            </w:tcBorders>
            <w:shd w:val="clear" w:color="auto" w:fill="auto"/>
            <w:noWrap/>
            <w:vAlign w:val="bottom"/>
            <w:hideMark/>
          </w:tcPr>
          <w:p w14:paraId="7F84578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131FBA41"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0 </w:t>
            </w:r>
          </w:p>
        </w:tc>
      </w:tr>
      <w:tr w:rsidR="008A4236" w:rsidRPr="008E51EC" w14:paraId="4A6C5CC2" w14:textId="77777777" w:rsidTr="008A4236">
        <w:trPr>
          <w:trHeight w:val="288"/>
        </w:trPr>
        <w:tc>
          <w:tcPr>
            <w:tcW w:w="3276" w:type="dxa"/>
            <w:tcBorders>
              <w:top w:val="nil"/>
              <w:left w:val="nil"/>
              <w:bottom w:val="single" w:sz="4" w:space="0" w:color="auto"/>
              <w:right w:val="nil"/>
            </w:tcBorders>
            <w:shd w:val="clear" w:color="auto" w:fill="auto"/>
            <w:vAlign w:val="bottom"/>
            <w:hideMark/>
          </w:tcPr>
          <w:p w14:paraId="003AB85F"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Net cash used in financing</w:t>
            </w:r>
          </w:p>
        </w:tc>
        <w:tc>
          <w:tcPr>
            <w:tcW w:w="1176" w:type="dxa"/>
            <w:tcBorders>
              <w:top w:val="nil"/>
              <w:left w:val="nil"/>
              <w:bottom w:val="single" w:sz="4" w:space="0" w:color="auto"/>
              <w:right w:val="nil"/>
            </w:tcBorders>
            <w:shd w:val="clear" w:color="auto" w:fill="auto"/>
            <w:noWrap/>
            <w:vAlign w:val="bottom"/>
            <w:hideMark/>
          </w:tcPr>
          <w:p w14:paraId="67BFCFA1"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(1,469)</w:t>
            </w:r>
          </w:p>
        </w:tc>
        <w:tc>
          <w:tcPr>
            <w:tcW w:w="196" w:type="dxa"/>
            <w:tcBorders>
              <w:top w:val="nil"/>
              <w:left w:val="nil"/>
              <w:bottom w:val="nil"/>
              <w:right w:val="nil"/>
            </w:tcBorders>
            <w:shd w:val="clear" w:color="auto" w:fill="auto"/>
            <w:noWrap/>
            <w:vAlign w:val="bottom"/>
            <w:hideMark/>
          </w:tcPr>
          <w:p w14:paraId="448D396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78DF9AC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(2,421)</w:t>
            </w:r>
          </w:p>
        </w:tc>
        <w:tc>
          <w:tcPr>
            <w:tcW w:w="196" w:type="dxa"/>
            <w:tcBorders>
              <w:top w:val="nil"/>
              <w:left w:val="nil"/>
              <w:bottom w:val="nil"/>
              <w:right w:val="nil"/>
            </w:tcBorders>
            <w:shd w:val="clear" w:color="auto" w:fill="auto"/>
            <w:noWrap/>
            <w:vAlign w:val="bottom"/>
            <w:hideMark/>
          </w:tcPr>
          <w:p w14:paraId="3540A76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0C629A0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(8,148)</w:t>
            </w:r>
          </w:p>
        </w:tc>
        <w:tc>
          <w:tcPr>
            <w:tcW w:w="196" w:type="dxa"/>
            <w:tcBorders>
              <w:top w:val="nil"/>
              <w:left w:val="nil"/>
              <w:bottom w:val="nil"/>
              <w:right w:val="nil"/>
            </w:tcBorders>
            <w:shd w:val="clear" w:color="auto" w:fill="auto"/>
            <w:noWrap/>
            <w:vAlign w:val="bottom"/>
            <w:hideMark/>
          </w:tcPr>
          <w:p w14:paraId="3DBC755B"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01EF0A57"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(9,408)</w:t>
            </w:r>
          </w:p>
        </w:tc>
      </w:tr>
      <w:tr w:rsidR="008A4236" w:rsidRPr="008E51EC" w14:paraId="7F8081E2" w14:textId="77777777" w:rsidTr="008A4236">
        <w:trPr>
          <w:trHeight w:val="288"/>
        </w:trPr>
        <w:tc>
          <w:tcPr>
            <w:tcW w:w="3276" w:type="dxa"/>
            <w:tcBorders>
              <w:top w:val="nil"/>
              <w:left w:val="nil"/>
              <w:bottom w:val="nil"/>
              <w:right w:val="nil"/>
            </w:tcBorders>
            <w:shd w:val="clear" w:color="auto" w:fill="auto"/>
            <w:noWrap/>
            <w:vAlign w:val="bottom"/>
            <w:hideMark/>
          </w:tcPr>
          <w:p w14:paraId="3A2F5E50" w14:textId="77777777" w:rsidR="008E51EC" w:rsidRPr="008A4236" w:rsidRDefault="008E51EC" w:rsidP="008E51EC">
            <w:pPr>
              <w:spacing w:after="0" w:line="240" w:lineRule="auto"/>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Investing</w:t>
            </w:r>
          </w:p>
        </w:tc>
        <w:tc>
          <w:tcPr>
            <w:tcW w:w="1176" w:type="dxa"/>
            <w:tcBorders>
              <w:top w:val="nil"/>
              <w:left w:val="nil"/>
              <w:bottom w:val="nil"/>
              <w:right w:val="nil"/>
            </w:tcBorders>
            <w:shd w:val="clear" w:color="auto" w:fill="auto"/>
            <w:noWrap/>
            <w:vAlign w:val="bottom"/>
            <w:hideMark/>
          </w:tcPr>
          <w:p w14:paraId="4641F9C1" w14:textId="77777777" w:rsidR="008E51EC" w:rsidRPr="008A4236" w:rsidRDefault="008E51EC" w:rsidP="008E51EC">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6C174105"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gridSpan w:val="2"/>
            <w:tcBorders>
              <w:top w:val="nil"/>
              <w:left w:val="nil"/>
              <w:bottom w:val="nil"/>
              <w:right w:val="nil"/>
            </w:tcBorders>
            <w:shd w:val="clear" w:color="auto" w:fill="auto"/>
            <w:noWrap/>
            <w:vAlign w:val="bottom"/>
            <w:hideMark/>
          </w:tcPr>
          <w:p w14:paraId="532649D6"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7EEB7BAB"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2AF442AA" w14:textId="77777777" w:rsidR="008E51EC" w:rsidRPr="008A4236" w:rsidRDefault="008E51EC" w:rsidP="008E51EC">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77AE2AD4" w14:textId="77777777" w:rsidR="008E51EC" w:rsidRPr="008A4236" w:rsidRDefault="008E51EC" w:rsidP="008E51EC">
            <w:pPr>
              <w:spacing w:after="0" w:line="240" w:lineRule="auto"/>
              <w:jc w:val="right"/>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6FADF442" w14:textId="77777777" w:rsidR="008E51EC" w:rsidRPr="008A4236" w:rsidRDefault="008E51EC" w:rsidP="008E51EC">
            <w:pPr>
              <w:spacing w:after="0" w:line="240" w:lineRule="auto"/>
              <w:rPr>
                <w:rFonts w:ascii="Times New Roman" w:eastAsia="Times New Roman" w:hAnsi="Times New Roman"/>
                <w:sz w:val="20"/>
                <w:szCs w:val="20"/>
              </w:rPr>
            </w:pPr>
          </w:p>
        </w:tc>
      </w:tr>
      <w:tr w:rsidR="008A4236" w:rsidRPr="008E51EC" w14:paraId="4B8741D8" w14:textId="77777777" w:rsidTr="008A4236">
        <w:trPr>
          <w:trHeight w:val="288"/>
        </w:trPr>
        <w:tc>
          <w:tcPr>
            <w:tcW w:w="3276" w:type="dxa"/>
            <w:tcBorders>
              <w:top w:val="nil"/>
              <w:left w:val="nil"/>
              <w:bottom w:val="nil"/>
              <w:right w:val="nil"/>
            </w:tcBorders>
            <w:shd w:val="clear" w:color="auto" w:fill="auto"/>
            <w:vAlign w:val="bottom"/>
            <w:hideMark/>
          </w:tcPr>
          <w:p w14:paraId="0003A953"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lastRenderedPageBreak/>
              <w:t>Additions to property and</w:t>
            </w:r>
            <w:r w:rsidRPr="008A4236">
              <w:rPr>
                <w:rFonts w:ascii="Segoe UI" w:eastAsia="Times New Roman" w:hAnsi="Segoe UI" w:cs="Segoe UI"/>
                <w:color w:val="666666"/>
                <w:sz w:val="20"/>
                <w:szCs w:val="20"/>
              </w:rPr>
              <w:br/>
              <w:t xml:space="preserve">    equipment</w:t>
            </w:r>
          </w:p>
        </w:tc>
        <w:tc>
          <w:tcPr>
            <w:tcW w:w="1176" w:type="dxa"/>
            <w:tcBorders>
              <w:top w:val="nil"/>
              <w:left w:val="nil"/>
              <w:bottom w:val="nil"/>
              <w:right w:val="nil"/>
            </w:tcBorders>
            <w:shd w:val="clear" w:color="auto" w:fill="auto"/>
            <w:noWrap/>
            <w:vAlign w:val="bottom"/>
            <w:hideMark/>
          </w:tcPr>
          <w:p w14:paraId="2783901F"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(1,794)</w:t>
            </w:r>
          </w:p>
        </w:tc>
        <w:tc>
          <w:tcPr>
            <w:tcW w:w="196" w:type="dxa"/>
            <w:tcBorders>
              <w:top w:val="nil"/>
              <w:left w:val="nil"/>
              <w:bottom w:val="nil"/>
              <w:right w:val="nil"/>
            </w:tcBorders>
            <w:shd w:val="clear" w:color="auto" w:fill="auto"/>
            <w:noWrap/>
            <w:vAlign w:val="bottom"/>
            <w:hideMark/>
          </w:tcPr>
          <w:p w14:paraId="7D3CCD3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209A1B2D"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(622)</w:t>
            </w:r>
          </w:p>
        </w:tc>
        <w:tc>
          <w:tcPr>
            <w:tcW w:w="196" w:type="dxa"/>
            <w:tcBorders>
              <w:top w:val="nil"/>
              <w:left w:val="nil"/>
              <w:bottom w:val="nil"/>
              <w:right w:val="nil"/>
            </w:tcBorders>
            <w:shd w:val="clear" w:color="auto" w:fill="auto"/>
            <w:noWrap/>
            <w:vAlign w:val="bottom"/>
            <w:hideMark/>
          </w:tcPr>
          <w:p w14:paraId="53115B33"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5BE482C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(4,257)</w:t>
            </w:r>
          </w:p>
        </w:tc>
        <w:tc>
          <w:tcPr>
            <w:tcW w:w="196" w:type="dxa"/>
            <w:tcBorders>
              <w:top w:val="nil"/>
              <w:left w:val="nil"/>
              <w:bottom w:val="nil"/>
              <w:right w:val="nil"/>
            </w:tcBorders>
            <w:shd w:val="clear" w:color="auto" w:fill="auto"/>
            <w:noWrap/>
            <w:vAlign w:val="bottom"/>
            <w:hideMark/>
          </w:tcPr>
          <w:p w14:paraId="687AD30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4AFF9F18"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(2,305)</w:t>
            </w:r>
          </w:p>
        </w:tc>
      </w:tr>
      <w:tr w:rsidR="008A4236" w:rsidRPr="008E51EC" w14:paraId="1F246178" w14:textId="77777777" w:rsidTr="008A4236">
        <w:trPr>
          <w:trHeight w:val="288"/>
        </w:trPr>
        <w:tc>
          <w:tcPr>
            <w:tcW w:w="3276" w:type="dxa"/>
            <w:tcBorders>
              <w:top w:val="nil"/>
              <w:left w:val="nil"/>
              <w:bottom w:val="nil"/>
              <w:right w:val="nil"/>
            </w:tcBorders>
            <w:shd w:val="clear" w:color="auto" w:fill="auto"/>
            <w:vAlign w:val="bottom"/>
            <w:hideMark/>
          </w:tcPr>
          <w:p w14:paraId="1EF5EB6A"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Acquisition of companies, net of</w:t>
            </w:r>
            <w:r w:rsidRPr="008A4236">
              <w:rPr>
                <w:rFonts w:ascii="Segoe UI" w:eastAsia="Times New Roman" w:hAnsi="Segoe UI" w:cs="Segoe UI"/>
                <w:color w:val="666666"/>
                <w:sz w:val="20"/>
                <w:szCs w:val="20"/>
              </w:rPr>
              <w:br/>
              <w:t xml:space="preserve">    cash acquired, and purchases of</w:t>
            </w:r>
            <w:r w:rsidRPr="008A4236">
              <w:rPr>
                <w:rFonts w:ascii="Segoe UI" w:eastAsia="Times New Roman" w:hAnsi="Segoe UI" w:cs="Segoe UI"/>
                <w:color w:val="666666"/>
                <w:sz w:val="20"/>
                <w:szCs w:val="20"/>
              </w:rPr>
              <w:br/>
              <w:t xml:space="preserve">    intangible and other assets</w:t>
            </w:r>
          </w:p>
        </w:tc>
        <w:tc>
          <w:tcPr>
            <w:tcW w:w="1176" w:type="dxa"/>
            <w:tcBorders>
              <w:top w:val="nil"/>
              <w:left w:val="nil"/>
              <w:bottom w:val="nil"/>
              <w:right w:val="nil"/>
            </w:tcBorders>
            <w:shd w:val="clear" w:color="auto" w:fill="auto"/>
            <w:noWrap/>
            <w:vAlign w:val="bottom"/>
            <w:hideMark/>
          </w:tcPr>
          <w:p w14:paraId="5B55033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(20)</w:t>
            </w:r>
          </w:p>
        </w:tc>
        <w:tc>
          <w:tcPr>
            <w:tcW w:w="196" w:type="dxa"/>
            <w:tcBorders>
              <w:top w:val="nil"/>
              <w:left w:val="nil"/>
              <w:bottom w:val="nil"/>
              <w:right w:val="nil"/>
            </w:tcBorders>
            <w:shd w:val="clear" w:color="auto" w:fill="auto"/>
            <w:noWrap/>
            <w:vAlign w:val="bottom"/>
            <w:hideMark/>
          </w:tcPr>
          <w:p w14:paraId="676960A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50AD89F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(526)</w:t>
            </w:r>
          </w:p>
        </w:tc>
        <w:tc>
          <w:tcPr>
            <w:tcW w:w="196" w:type="dxa"/>
            <w:tcBorders>
              <w:top w:val="nil"/>
              <w:left w:val="nil"/>
              <w:bottom w:val="nil"/>
              <w:right w:val="nil"/>
            </w:tcBorders>
            <w:shd w:val="clear" w:color="auto" w:fill="auto"/>
            <w:noWrap/>
            <w:vAlign w:val="bottom"/>
            <w:hideMark/>
          </w:tcPr>
          <w:p w14:paraId="2C926B0D"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08218C8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(1,584)</w:t>
            </w:r>
          </w:p>
        </w:tc>
        <w:tc>
          <w:tcPr>
            <w:tcW w:w="196" w:type="dxa"/>
            <w:tcBorders>
              <w:top w:val="nil"/>
              <w:left w:val="nil"/>
              <w:bottom w:val="nil"/>
              <w:right w:val="nil"/>
            </w:tcBorders>
            <w:shd w:val="clear" w:color="auto" w:fill="auto"/>
            <w:noWrap/>
            <w:vAlign w:val="bottom"/>
            <w:hideMark/>
          </w:tcPr>
          <w:p w14:paraId="0A197A87"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0E7E523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(10,112)</w:t>
            </w:r>
          </w:p>
        </w:tc>
      </w:tr>
      <w:tr w:rsidR="008A4236" w:rsidRPr="008E51EC" w14:paraId="2AF80DD7" w14:textId="77777777" w:rsidTr="008A4236">
        <w:trPr>
          <w:trHeight w:val="288"/>
        </w:trPr>
        <w:tc>
          <w:tcPr>
            <w:tcW w:w="3276" w:type="dxa"/>
            <w:tcBorders>
              <w:top w:val="nil"/>
              <w:left w:val="nil"/>
              <w:bottom w:val="nil"/>
              <w:right w:val="nil"/>
            </w:tcBorders>
            <w:shd w:val="clear" w:color="auto" w:fill="auto"/>
            <w:noWrap/>
            <w:vAlign w:val="bottom"/>
            <w:hideMark/>
          </w:tcPr>
          <w:p w14:paraId="51BC047F"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Purchases of investments</w:t>
            </w:r>
          </w:p>
        </w:tc>
        <w:tc>
          <w:tcPr>
            <w:tcW w:w="1176" w:type="dxa"/>
            <w:tcBorders>
              <w:top w:val="nil"/>
              <w:left w:val="nil"/>
              <w:bottom w:val="nil"/>
              <w:right w:val="nil"/>
            </w:tcBorders>
            <w:shd w:val="clear" w:color="auto" w:fill="auto"/>
            <w:noWrap/>
            <w:vAlign w:val="bottom"/>
            <w:hideMark/>
          </w:tcPr>
          <w:p w14:paraId="3505560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(27,024)</w:t>
            </w:r>
          </w:p>
        </w:tc>
        <w:tc>
          <w:tcPr>
            <w:tcW w:w="196" w:type="dxa"/>
            <w:tcBorders>
              <w:top w:val="nil"/>
              <w:left w:val="nil"/>
              <w:bottom w:val="nil"/>
              <w:right w:val="nil"/>
            </w:tcBorders>
            <w:shd w:val="clear" w:color="auto" w:fill="auto"/>
            <w:noWrap/>
            <w:vAlign w:val="bottom"/>
            <w:hideMark/>
          </w:tcPr>
          <w:p w14:paraId="28C3095D"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5D4B0A0D"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(11,953)</w:t>
            </w:r>
          </w:p>
        </w:tc>
        <w:tc>
          <w:tcPr>
            <w:tcW w:w="196" w:type="dxa"/>
            <w:tcBorders>
              <w:top w:val="nil"/>
              <w:left w:val="nil"/>
              <w:bottom w:val="nil"/>
              <w:right w:val="nil"/>
            </w:tcBorders>
            <w:shd w:val="clear" w:color="auto" w:fill="auto"/>
            <w:noWrap/>
            <w:vAlign w:val="bottom"/>
            <w:hideMark/>
          </w:tcPr>
          <w:p w14:paraId="22CD89B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4227ED2B"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(75,396)</w:t>
            </w:r>
          </w:p>
        </w:tc>
        <w:tc>
          <w:tcPr>
            <w:tcW w:w="196" w:type="dxa"/>
            <w:tcBorders>
              <w:top w:val="nil"/>
              <w:left w:val="nil"/>
              <w:bottom w:val="nil"/>
              <w:right w:val="nil"/>
            </w:tcBorders>
            <w:shd w:val="clear" w:color="auto" w:fill="auto"/>
            <w:noWrap/>
            <w:vAlign w:val="bottom"/>
            <w:hideMark/>
          </w:tcPr>
          <w:p w14:paraId="10C2685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0D2A4DD1"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(57,250)</w:t>
            </w:r>
          </w:p>
        </w:tc>
      </w:tr>
      <w:tr w:rsidR="008A4236" w:rsidRPr="008E51EC" w14:paraId="6DCE3EE7" w14:textId="77777777" w:rsidTr="008A4236">
        <w:trPr>
          <w:trHeight w:val="288"/>
        </w:trPr>
        <w:tc>
          <w:tcPr>
            <w:tcW w:w="3276" w:type="dxa"/>
            <w:tcBorders>
              <w:top w:val="nil"/>
              <w:left w:val="nil"/>
              <w:bottom w:val="nil"/>
              <w:right w:val="nil"/>
            </w:tcBorders>
            <w:shd w:val="clear" w:color="auto" w:fill="auto"/>
            <w:noWrap/>
            <w:vAlign w:val="bottom"/>
            <w:hideMark/>
          </w:tcPr>
          <w:p w14:paraId="0937AC74"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Maturities of investments</w:t>
            </w:r>
          </w:p>
        </w:tc>
        <w:tc>
          <w:tcPr>
            <w:tcW w:w="1176" w:type="dxa"/>
            <w:tcBorders>
              <w:top w:val="nil"/>
              <w:left w:val="nil"/>
              <w:bottom w:val="nil"/>
              <w:right w:val="nil"/>
            </w:tcBorders>
            <w:shd w:val="clear" w:color="auto" w:fill="auto"/>
            <w:noWrap/>
            <w:vAlign w:val="bottom"/>
            <w:hideMark/>
          </w:tcPr>
          <w:p w14:paraId="37DF8C3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617 </w:t>
            </w:r>
          </w:p>
        </w:tc>
        <w:tc>
          <w:tcPr>
            <w:tcW w:w="196" w:type="dxa"/>
            <w:tcBorders>
              <w:top w:val="nil"/>
              <w:left w:val="nil"/>
              <w:bottom w:val="nil"/>
              <w:right w:val="nil"/>
            </w:tcBorders>
            <w:shd w:val="clear" w:color="auto" w:fill="auto"/>
            <w:noWrap/>
            <w:vAlign w:val="bottom"/>
            <w:hideMark/>
          </w:tcPr>
          <w:p w14:paraId="1613356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79F3BFCC"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2,453 </w:t>
            </w:r>
          </w:p>
        </w:tc>
        <w:tc>
          <w:tcPr>
            <w:tcW w:w="196" w:type="dxa"/>
            <w:tcBorders>
              <w:top w:val="nil"/>
              <w:left w:val="nil"/>
              <w:bottom w:val="nil"/>
              <w:right w:val="nil"/>
            </w:tcBorders>
            <w:shd w:val="clear" w:color="auto" w:fill="auto"/>
            <w:noWrap/>
            <w:vAlign w:val="bottom"/>
            <w:hideMark/>
          </w:tcPr>
          <w:p w14:paraId="1711F517"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26F4302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5,130 </w:t>
            </w:r>
          </w:p>
        </w:tc>
        <w:tc>
          <w:tcPr>
            <w:tcW w:w="196" w:type="dxa"/>
            <w:tcBorders>
              <w:top w:val="nil"/>
              <w:left w:val="nil"/>
              <w:bottom w:val="nil"/>
              <w:right w:val="nil"/>
            </w:tcBorders>
            <w:shd w:val="clear" w:color="auto" w:fill="auto"/>
            <w:noWrap/>
            <w:vAlign w:val="bottom"/>
            <w:hideMark/>
          </w:tcPr>
          <w:p w14:paraId="00E6FB0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3838958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15,575 </w:t>
            </w:r>
          </w:p>
        </w:tc>
      </w:tr>
      <w:tr w:rsidR="008A4236" w:rsidRPr="008E51EC" w14:paraId="1D25B2AA" w14:textId="77777777" w:rsidTr="008A4236">
        <w:trPr>
          <w:trHeight w:val="288"/>
        </w:trPr>
        <w:tc>
          <w:tcPr>
            <w:tcW w:w="3276" w:type="dxa"/>
            <w:tcBorders>
              <w:top w:val="nil"/>
              <w:left w:val="nil"/>
              <w:bottom w:val="nil"/>
              <w:right w:val="nil"/>
            </w:tcBorders>
            <w:shd w:val="clear" w:color="auto" w:fill="auto"/>
            <w:noWrap/>
            <w:vAlign w:val="bottom"/>
            <w:hideMark/>
          </w:tcPr>
          <w:p w14:paraId="1C5012D0"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Sales of investments</w:t>
            </w:r>
          </w:p>
        </w:tc>
        <w:tc>
          <w:tcPr>
            <w:tcW w:w="1176" w:type="dxa"/>
            <w:tcBorders>
              <w:top w:val="nil"/>
              <w:left w:val="nil"/>
              <w:bottom w:val="nil"/>
              <w:right w:val="nil"/>
            </w:tcBorders>
            <w:shd w:val="clear" w:color="auto" w:fill="auto"/>
            <w:noWrap/>
            <w:vAlign w:val="bottom"/>
            <w:hideMark/>
          </w:tcPr>
          <w:p w14:paraId="46EE88CF"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22,301 </w:t>
            </w:r>
          </w:p>
        </w:tc>
        <w:tc>
          <w:tcPr>
            <w:tcW w:w="196" w:type="dxa"/>
            <w:tcBorders>
              <w:top w:val="nil"/>
              <w:left w:val="nil"/>
              <w:bottom w:val="nil"/>
              <w:right w:val="nil"/>
            </w:tcBorders>
            <w:shd w:val="clear" w:color="auto" w:fill="auto"/>
            <w:noWrap/>
            <w:vAlign w:val="bottom"/>
            <w:hideMark/>
          </w:tcPr>
          <w:p w14:paraId="48033F78"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3FA6C95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6,383 </w:t>
            </w:r>
          </w:p>
        </w:tc>
        <w:tc>
          <w:tcPr>
            <w:tcW w:w="196" w:type="dxa"/>
            <w:tcBorders>
              <w:top w:val="nil"/>
              <w:left w:val="nil"/>
              <w:bottom w:val="nil"/>
              <w:right w:val="nil"/>
            </w:tcBorders>
            <w:shd w:val="clear" w:color="auto" w:fill="auto"/>
            <w:noWrap/>
            <w:vAlign w:val="bottom"/>
            <w:hideMark/>
          </w:tcPr>
          <w:p w14:paraId="7C87EEC4"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05DFCA5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52,464 </w:t>
            </w:r>
          </w:p>
        </w:tc>
        <w:tc>
          <w:tcPr>
            <w:tcW w:w="196" w:type="dxa"/>
            <w:tcBorders>
              <w:top w:val="nil"/>
              <w:left w:val="nil"/>
              <w:bottom w:val="nil"/>
              <w:right w:val="nil"/>
            </w:tcBorders>
            <w:shd w:val="clear" w:color="auto" w:fill="auto"/>
            <w:noWrap/>
            <w:vAlign w:val="bottom"/>
            <w:hideMark/>
          </w:tcPr>
          <w:p w14:paraId="75615BA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33068B9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29,700 </w:t>
            </w:r>
          </w:p>
        </w:tc>
      </w:tr>
      <w:tr w:rsidR="008A4236" w:rsidRPr="008E51EC" w14:paraId="42A3EC26" w14:textId="77777777" w:rsidTr="008A4236">
        <w:trPr>
          <w:trHeight w:val="288"/>
        </w:trPr>
        <w:tc>
          <w:tcPr>
            <w:tcW w:w="3276" w:type="dxa"/>
            <w:tcBorders>
              <w:top w:val="nil"/>
              <w:left w:val="nil"/>
              <w:bottom w:val="single" w:sz="4" w:space="0" w:color="auto"/>
              <w:right w:val="nil"/>
            </w:tcBorders>
            <w:shd w:val="clear" w:color="auto" w:fill="auto"/>
            <w:noWrap/>
            <w:vAlign w:val="bottom"/>
            <w:hideMark/>
          </w:tcPr>
          <w:p w14:paraId="4A43EDF0"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Securities lending payable</w:t>
            </w:r>
          </w:p>
        </w:tc>
        <w:tc>
          <w:tcPr>
            <w:tcW w:w="1176" w:type="dxa"/>
            <w:tcBorders>
              <w:top w:val="nil"/>
              <w:left w:val="nil"/>
              <w:bottom w:val="single" w:sz="4" w:space="0" w:color="auto"/>
              <w:right w:val="nil"/>
            </w:tcBorders>
            <w:shd w:val="clear" w:color="auto" w:fill="auto"/>
            <w:noWrap/>
            <w:vAlign w:val="bottom"/>
            <w:hideMark/>
          </w:tcPr>
          <w:p w14:paraId="2B0BE34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81 </w:t>
            </w:r>
          </w:p>
        </w:tc>
        <w:tc>
          <w:tcPr>
            <w:tcW w:w="196" w:type="dxa"/>
            <w:tcBorders>
              <w:top w:val="nil"/>
              <w:left w:val="nil"/>
              <w:bottom w:val="nil"/>
              <w:right w:val="nil"/>
            </w:tcBorders>
            <w:shd w:val="clear" w:color="auto" w:fill="auto"/>
            <w:noWrap/>
            <w:vAlign w:val="bottom"/>
            <w:hideMark/>
          </w:tcPr>
          <w:p w14:paraId="021B2BDC"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676E3D3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(397)</w:t>
            </w:r>
          </w:p>
        </w:tc>
        <w:tc>
          <w:tcPr>
            <w:tcW w:w="196" w:type="dxa"/>
            <w:tcBorders>
              <w:top w:val="nil"/>
              <w:left w:val="nil"/>
              <w:bottom w:val="nil"/>
              <w:right w:val="nil"/>
            </w:tcBorders>
            <w:shd w:val="clear" w:color="auto" w:fill="auto"/>
            <w:noWrap/>
            <w:vAlign w:val="bottom"/>
            <w:hideMark/>
          </w:tcPr>
          <w:p w14:paraId="0B2F137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280B8F35"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(168)</w:t>
            </w:r>
          </w:p>
        </w:tc>
        <w:tc>
          <w:tcPr>
            <w:tcW w:w="196" w:type="dxa"/>
            <w:tcBorders>
              <w:top w:val="nil"/>
              <w:left w:val="nil"/>
              <w:bottom w:val="nil"/>
              <w:right w:val="nil"/>
            </w:tcBorders>
            <w:shd w:val="clear" w:color="auto" w:fill="auto"/>
            <w:noWrap/>
            <w:vAlign w:val="bottom"/>
            <w:hideMark/>
          </w:tcPr>
          <w:p w14:paraId="5E81B43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30EB0176"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(394)</w:t>
            </w:r>
          </w:p>
        </w:tc>
      </w:tr>
      <w:tr w:rsidR="008A4236" w:rsidRPr="008E51EC" w14:paraId="07E6A705" w14:textId="77777777" w:rsidTr="008A4236">
        <w:trPr>
          <w:trHeight w:val="288"/>
        </w:trPr>
        <w:tc>
          <w:tcPr>
            <w:tcW w:w="3276" w:type="dxa"/>
            <w:tcBorders>
              <w:top w:val="nil"/>
              <w:left w:val="nil"/>
              <w:bottom w:val="single" w:sz="4" w:space="0" w:color="auto"/>
              <w:right w:val="nil"/>
            </w:tcBorders>
            <w:shd w:val="clear" w:color="auto" w:fill="auto"/>
            <w:vAlign w:val="bottom"/>
            <w:hideMark/>
          </w:tcPr>
          <w:p w14:paraId="25A7574E"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Net cash used in investing</w:t>
            </w:r>
          </w:p>
        </w:tc>
        <w:tc>
          <w:tcPr>
            <w:tcW w:w="1176" w:type="dxa"/>
            <w:tcBorders>
              <w:top w:val="nil"/>
              <w:left w:val="nil"/>
              <w:bottom w:val="single" w:sz="4" w:space="0" w:color="auto"/>
              <w:right w:val="nil"/>
            </w:tcBorders>
            <w:shd w:val="clear" w:color="auto" w:fill="auto"/>
            <w:noWrap/>
            <w:vAlign w:val="bottom"/>
            <w:hideMark/>
          </w:tcPr>
          <w:p w14:paraId="1FCD1B9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(5,839)</w:t>
            </w:r>
          </w:p>
        </w:tc>
        <w:tc>
          <w:tcPr>
            <w:tcW w:w="196" w:type="dxa"/>
            <w:tcBorders>
              <w:top w:val="nil"/>
              <w:left w:val="nil"/>
              <w:bottom w:val="nil"/>
              <w:right w:val="nil"/>
            </w:tcBorders>
            <w:shd w:val="clear" w:color="auto" w:fill="auto"/>
            <w:noWrap/>
            <w:vAlign w:val="bottom"/>
            <w:hideMark/>
          </w:tcPr>
          <w:p w14:paraId="1AA8119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3CB70434"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(4,662)</w:t>
            </w:r>
          </w:p>
        </w:tc>
        <w:tc>
          <w:tcPr>
            <w:tcW w:w="196" w:type="dxa"/>
            <w:tcBorders>
              <w:top w:val="nil"/>
              <w:left w:val="nil"/>
              <w:bottom w:val="nil"/>
              <w:right w:val="nil"/>
            </w:tcBorders>
            <w:shd w:val="clear" w:color="auto" w:fill="auto"/>
            <w:noWrap/>
            <w:vAlign w:val="bottom"/>
            <w:hideMark/>
          </w:tcPr>
          <w:p w14:paraId="54290386"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44791434"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(23,811)</w:t>
            </w:r>
          </w:p>
        </w:tc>
        <w:tc>
          <w:tcPr>
            <w:tcW w:w="196" w:type="dxa"/>
            <w:tcBorders>
              <w:top w:val="nil"/>
              <w:left w:val="nil"/>
              <w:bottom w:val="nil"/>
              <w:right w:val="nil"/>
            </w:tcBorders>
            <w:shd w:val="clear" w:color="auto" w:fill="auto"/>
            <w:noWrap/>
            <w:vAlign w:val="bottom"/>
            <w:hideMark/>
          </w:tcPr>
          <w:p w14:paraId="7408F7A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171125DF"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(24,786)</w:t>
            </w:r>
          </w:p>
        </w:tc>
      </w:tr>
      <w:tr w:rsidR="008A4236" w:rsidRPr="008E51EC" w14:paraId="079C6A12" w14:textId="77777777" w:rsidTr="008A4236">
        <w:trPr>
          <w:trHeight w:val="288"/>
        </w:trPr>
        <w:tc>
          <w:tcPr>
            <w:tcW w:w="3276" w:type="dxa"/>
            <w:tcBorders>
              <w:top w:val="nil"/>
              <w:left w:val="nil"/>
              <w:bottom w:val="single" w:sz="4" w:space="0" w:color="auto"/>
              <w:right w:val="nil"/>
            </w:tcBorders>
            <w:shd w:val="clear" w:color="auto" w:fill="auto"/>
            <w:vAlign w:val="bottom"/>
            <w:hideMark/>
          </w:tcPr>
          <w:p w14:paraId="36A21779"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Effect of exchange rates on cash</w:t>
            </w:r>
            <w:r w:rsidRPr="008A4236">
              <w:rPr>
                <w:rFonts w:ascii="Segoe UI" w:eastAsia="Times New Roman" w:hAnsi="Segoe UI" w:cs="Segoe UI"/>
                <w:color w:val="666666"/>
                <w:sz w:val="20"/>
                <w:szCs w:val="20"/>
              </w:rPr>
              <w:br/>
              <w:t xml:space="preserve">    and cash equivalents</w:t>
            </w:r>
          </w:p>
        </w:tc>
        <w:tc>
          <w:tcPr>
            <w:tcW w:w="1176" w:type="dxa"/>
            <w:tcBorders>
              <w:top w:val="nil"/>
              <w:left w:val="nil"/>
              <w:bottom w:val="single" w:sz="4" w:space="0" w:color="auto"/>
              <w:right w:val="nil"/>
            </w:tcBorders>
            <w:shd w:val="clear" w:color="auto" w:fill="auto"/>
            <w:noWrap/>
            <w:vAlign w:val="bottom"/>
            <w:hideMark/>
          </w:tcPr>
          <w:p w14:paraId="036B60B1"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(31)</w:t>
            </w:r>
          </w:p>
        </w:tc>
        <w:tc>
          <w:tcPr>
            <w:tcW w:w="196" w:type="dxa"/>
            <w:tcBorders>
              <w:top w:val="nil"/>
              <w:left w:val="nil"/>
              <w:bottom w:val="nil"/>
              <w:right w:val="nil"/>
            </w:tcBorders>
            <w:shd w:val="clear" w:color="auto" w:fill="auto"/>
            <w:noWrap/>
            <w:vAlign w:val="bottom"/>
            <w:hideMark/>
          </w:tcPr>
          <w:p w14:paraId="496910B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5EB2E89D"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(44)</w:t>
            </w:r>
          </w:p>
        </w:tc>
        <w:tc>
          <w:tcPr>
            <w:tcW w:w="196" w:type="dxa"/>
            <w:tcBorders>
              <w:top w:val="nil"/>
              <w:left w:val="nil"/>
              <w:bottom w:val="nil"/>
              <w:right w:val="nil"/>
            </w:tcBorders>
            <w:shd w:val="clear" w:color="auto" w:fill="auto"/>
            <w:noWrap/>
            <w:vAlign w:val="bottom"/>
            <w:hideMark/>
          </w:tcPr>
          <w:p w14:paraId="1092A85A"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65514BF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(8)</w:t>
            </w:r>
          </w:p>
        </w:tc>
        <w:tc>
          <w:tcPr>
            <w:tcW w:w="196" w:type="dxa"/>
            <w:tcBorders>
              <w:top w:val="nil"/>
              <w:left w:val="nil"/>
              <w:bottom w:val="nil"/>
              <w:right w:val="nil"/>
            </w:tcBorders>
            <w:shd w:val="clear" w:color="auto" w:fill="auto"/>
            <w:noWrap/>
            <w:vAlign w:val="bottom"/>
            <w:hideMark/>
          </w:tcPr>
          <w:p w14:paraId="7ADB9F8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5683568E"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(104)</w:t>
            </w:r>
          </w:p>
        </w:tc>
      </w:tr>
      <w:tr w:rsidR="008A4236" w:rsidRPr="008E51EC" w14:paraId="00C27A4D" w14:textId="77777777" w:rsidTr="008A4236">
        <w:trPr>
          <w:trHeight w:val="288"/>
        </w:trPr>
        <w:tc>
          <w:tcPr>
            <w:tcW w:w="3276" w:type="dxa"/>
            <w:tcBorders>
              <w:top w:val="nil"/>
              <w:left w:val="nil"/>
              <w:bottom w:val="nil"/>
              <w:right w:val="nil"/>
            </w:tcBorders>
            <w:shd w:val="clear" w:color="auto" w:fill="auto"/>
            <w:vAlign w:val="bottom"/>
            <w:hideMark/>
          </w:tcPr>
          <w:p w14:paraId="169DD7E8"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Net change in cash and cash</w:t>
            </w:r>
            <w:r w:rsidRPr="008A4236">
              <w:rPr>
                <w:rFonts w:ascii="Segoe UI" w:eastAsia="Times New Roman" w:hAnsi="Segoe UI" w:cs="Segoe UI"/>
                <w:color w:val="666666"/>
                <w:sz w:val="20"/>
                <w:szCs w:val="20"/>
              </w:rPr>
              <w:br/>
              <w:t xml:space="preserve">    equivalents</w:t>
            </w:r>
          </w:p>
        </w:tc>
        <w:tc>
          <w:tcPr>
            <w:tcW w:w="1176" w:type="dxa"/>
            <w:tcBorders>
              <w:top w:val="nil"/>
              <w:left w:val="nil"/>
              <w:bottom w:val="nil"/>
              <w:right w:val="nil"/>
            </w:tcBorders>
            <w:shd w:val="clear" w:color="auto" w:fill="auto"/>
            <w:noWrap/>
            <w:vAlign w:val="bottom"/>
            <w:hideMark/>
          </w:tcPr>
          <w:p w14:paraId="4070AEEE"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(1,436)</w:t>
            </w:r>
          </w:p>
        </w:tc>
        <w:tc>
          <w:tcPr>
            <w:tcW w:w="196" w:type="dxa"/>
            <w:tcBorders>
              <w:top w:val="nil"/>
              <w:left w:val="nil"/>
              <w:bottom w:val="nil"/>
              <w:right w:val="nil"/>
            </w:tcBorders>
            <w:shd w:val="clear" w:color="auto" w:fill="auto"/>
            <w:noWrap/>
            <w:vAlign w:val="bottom"/>
            <w:hideMark/>
          </w:tcPr>
          <w:p w14:paraId="3DF3BD8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nil"/>
              <w:right w:val="nil"/>
            </w:tcBorders>
            <w:shd w:val="clear" w:color="auto" w:fill="auto"/>
            <w:noWrap/>
            <w:vAlign w:val="bottom"/>
            <w:hideMark/>
          </w:tcPr>
          <w:p w14:paraId="4ABA881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550 </w:t>
            </w:r>
          </w:p>
        </w:tc>
        <w:tc>
          <w:tcPr>
            <w:tcW w:w="196" w:type="dxa"/>
            <w:tcBorders>
              <w:top w:val="nil"/>
              <w:left w:val="nil"/>
              <w:bottom w:val="nil"/>
              <w:right w:val="nil"/>
            </w:tcBorders>
            <w:shd w:val="clear" w:color="auto" w:fill="auto"/>
            <w:noWrap/>
            <w:vAlign w:val="bottom"/>
            <w:hideMark/>
          </w:tcPr>
          <w:p w14:paraId="710375A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nil"/>
              <w:right w:val="nil"/>
            </w:tcBorders>
            <w:shd w:val="clear" w:color="auto" w:fill="auto"/>
            <w:noWrap/>
            <w:vAlign w:val="bottom"/>
            <w:hideMark/>
          </w:tcPr>
          <w:p w14:paraId="2CC47FD3"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(3,134)</w:t>
            </w:r>
          </w:p>
        </w:tc>
        <w:tc>
          <w:tcPr>
            <w:tcW w:w="196" w:type="dxa"/>
            <w:tcBorders>
              <w:top w:val="nil"/>
              <w:left w:val="nil"/>
              <w:bottom w:val="nil"/>
              <w:right w:val="nil"/>
            </w:tcBorders>
            <w:shd w:val="clear" w:color="auto" w:fill="auto"/>
            <w:noWrap/>
            <w:vAlign w:val="bottom"/>
            <w:hideMark/>
          </w:tcPr>
          <w:p w14:paraId="09688F82"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nil"/>
              <w:right w:val="nil"/>
            </w:tcBorders>
            <w:shd w:val="clear" w:color="auto" w:fill="auto"/>
            <w:noWrap/>
            <w:vAlign w:val="bottom"/>
            <w:hideMark/>
          </w:tcPr>
          <w:p w14:paraId="0B561724"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(2,672)</w:t>
            </w:r>
          </w:p>
        </w:tc>
      </w:tr>
      <w:tr w:rsidR="008A4236" w:rsidRPr="008E51EC" w14:paraId="6BF3CB6E" w14:textId="77777777" w:rsidTr="008A4236">
        <w:trPr>
          <w:trHeight w:val="288"/>
        </w:trPr>
        <w:tc>
          <w:tcPr>
            <w:tcW w:w="3276" w:type="dxa"/>
            <w:tcBorders>
              <w:top w:val="nil"/>
              <w:left w:val="nil"/>
              <w:bottom w:val="single" w:sz="4" w:space="0" w:color="auto"/>
              <w:right w:val="nil"/>
            </w:tcBorders>
            <w:shd w:val="clear" w:color="auto" w:fill="auto"/>
            <w:vAlign w:val="bottom"/>
            <w:hideMark/>
          </w:tcPr>
          <w:p w14:paraId="3FDA949E"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Cash and cash equivalents,</w:t>
            </w:r>
            <w:r w:rsidRPr="008A4236">
              <w:rPr>
                <w:rFonts w:ascii="Segoe UI" w:eastAsia="Times New Roman" w:hAnsi="Segoe UI" w:cs="Segoe UI"/>
                <w:color w:val="666666"/>
                <w:sz w:val="20"/>
                <w:szCs w:val="20"/>
              </w:rPr>
              <w:br/>
              <w:t xml:space="preserve">    beginning of period</w:t>
            </w:r>
          </w:p>
        </w:tc>
        <w:tc>
          <w:tcPr>
            <w:tcW w:w="1176" w:type="dxa"/>
            <w:tcBorders>
              <w:top w:val="nil"/>
              <w:left w:val="nil"/>
              <w:bottom w:val="single" w:sz="4" w:space="0" w:color="auto"/>
              <w:right w:val="nil"/>
            </w:tcBorders>
            <w:shd w:val="clear" w:color="auto" w:fill="auto"/>
            <w:noWrap/>
            <w:vAlign w:val="bottom"/>
            <w:hideMark/>
          </w:tcPr>
          <w:p w14:paraId="3F845787"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5,240 </w:t>
            </w:r>
          </w:p>
        </w:tc>
        <w:tc>
          <w:tcPr>
            <w:tcW w:w="196" w:type="dxa"/>
            <w:tcBorders>
              <w:top w:val="nil"/>
              <w:left w:val="nil"/>
              <w:bottom w:val="nil"/>
              <w:right w:val="nil"/>
            </w:tcBorders>
            <w:shd w:val="clear" w:color="auto" w:fill="auto"/>
            <w:noWrap/>
            <w:vAlign w:val="bottom"/>
            <w:hideMark/>
          </w:tcPr>
          <w:p w14:paraId="531EAB16"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4" w:space="0" w:color="auto"/>
              <w:right w:val="nil"/>
            </w:tcBorders>
            <w:shd w:val="clear" w:color="auto" w:fill="auto"/>
            <w:noWrap/>
            <w:vAlign w:val="bottom"/>
            <w:hideMark/>
          </w:tcPr>
          <w:p w14:paraId="5A964B0D"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6,388 </w:t>
            </w:r>
          </w:p>
        </w:tc>
        <w:tc>
          <w:tcPr>
            <w:tcW w:w="196" w:type="dxa"/>
            <w:tcBorders>
              <w:top w:val="nil"/>
              <w:left w:val="nil"/>
              <w:bottom w:val="nil"/>
              <w:right w:val="nil"/>
            </w:tcBorders>
            <w:shd w:val="clear" w:color="auto" w:fill="auto"/>
            <w:noWrap/>
            <w:vAlign w:val="bottom"/>
            <w:hideMark/>
          </w:tcPr>
          <w:p w14:paraId="52CA0651"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4" w:space="0" w:color="auto"/>
              <w:right w:val="nil"/>
            </w:tcBorders>
            <w:shd w:val="clear" w:color="auto" w:fill="auto"/>
            <w:noWrap/>
            <w:vAlign w:val="bottom"/>
            <w:hideMark/>
          </w:tcPr>
          <w:p w14:paraId="2B612E0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6,938 </w:t>
            </w:r>
          </w:p>
        </w:tc>
        <w:tc>
          <w:tcPr>
            <w:tcW w:w="196" w:type="dxa"/>
            <w:tcBorders>
              <w:top w:val="nil"/>
              <w:left w:val="nil"/>
              <w:bottom w:val="nil"/>
              <w:right w:val="nil"/>
            </w:tcBorders>
            <w:shd w:val="clear" w:color="auto" w:fill="auto"/>
            <w:noWrap/>
            <w:vAlign w:val="bottom"/>
            <w:hideMark/>
          </w:tcPr>
          <w:p w14:paraId="4A2FFC97"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4" w:space="0" w:color="auto"/>
              <w:right w:val="nil"/>
            </w:tcBorders>
            <w:shd w:val="clear" w:color="auto" w:fill="auto"/>
            <w:noWrap/>
            <w:vAlign w:val="bottom"/>
            <w:hideMark/>
          </w:tcPr>
          <w:p w14:paraId="2DFA0738"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9,610 </w:t>
            </w:r>
          </w:p>
        </w:tc>
      </w:tr>
      <w:tr w:rsidR="008A4236" w:rsidRPr="008E51EC" w14:paraId="612E0A55" w14:textId="77777777" w:rsidTr="008A4236">
        <w:trPr>
          <w:trHeight w:val="288"/>
        </w:trPr>
        <w:tc>
          <w:tcPr>
            <w:tcW w:w="3276" w:type="dxa"/>
            <w:tcBorders>
              <w:top w:val="nil"/>
              <w:left w:val="nil"/>
              <w:bottom w:val="nil"/>
              <w:right w:val="nil"/>
            </w:tcBorders>
            <w:shd w:val="clear" w:color="auto" w:fill="auto"/>
            <w:vAlign w:val="bottom"/>
            <w:hideMark/>
          </w:tcPr>
          <w:p w14:paraId="02D01DDF" w14:textId="77777777" w:rsidR="008E51EC" w:rsidRPr="008A4236" w:rsidRDefault="008E51EC" w:rsidP="008E51EC">
            <w:pPr>
              <w:spacing w:after="0" w:line="240" w:lineRule="auto"/>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Cash and cash equivalents, end of</w:t>
            </w:r>
            <w:r w:rsidRPr="008A4236">
              <w:rPr>
                <w:rFonts w:ascii="Segoe UI" w:eastAsia="Times New Roman" w:hAnsi="Segoe UI" w:cs="Segoe UI"/>
                <w:color w:val="666666"/>
                <w:sz w:val="20"/>
                <w:szCs w:val="20"/>
              </w:rPr>
              <w:br/>
              <w:t xml:space="preserve">    period</w:t>
            </w:r>
          </w:p>
        </w:tc>
        <w:tc>
          <w:tcPr>
            <w:tcW w:w="1176" w:type="dxa"/>
            <w:tcBorders>
              <w:top w:val="nil"/>
              <w:left w:val="nil"/>
              <w:bottom w:val="single" w:sz="8" w:space="0" w:color="auto"/>
              <w:right w:val="nil"/>
            </w:tcBorders>
            <w:shd w:val="clear" w:color="auto" w:fill="auto"/>
            <w:noWrap/>
            <w:vAlign w:val="bottom"/>
            <w:hideMark/>
          </w:tcPr>
          <w:p w14:paraId="05169E80"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 $     3,804 </w:t>
            </w:r>
          </w:p>
        </w:tc>
        <w:tc>
          <w:tcPr>
            <w:tcW w:w="196" w:type="dxa"/>
            <w:tcBorders>
              <w:top w:val="nil"/>
              <w:left w:val="nil"/>
              <w:bottom w:val="nil"/>
              <w:right w:val="nil"/>
            </w:tcBorders>
            <w:shd w:val="clear" w:color="auto" w:fill="auto"/>
            <w:noWrap/>
            <w:vAlign w:val="bottom"/>
            <w:hideMark/>
          </w:tcPr>
          <w:p w14:paraId="4FCB479A"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gridSpan w:val="2"/>
            <w:tcBorders>
              <w:top w:val="nil"/>
              <w:left w:val="nil"/>
              <w:bottom w:val="single" w:sz="8" w:space="0" w:color="auto"/>
              <w:right w:val="nil"/>
            </w:tcBorders>
            <w:shd w:val="clear" w:color="auto" w:fill="auto"/>
            <w:noWrap/>
            <w:vAlign w:val="bottom"/>
            <w:hideMark/>
          </w:tcPr>
          <w:p w14:paraId="4486CB22"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  6,938 </w:t>
            </w:r>
          </w:p>
        </w:tc>
        <w:tc>
          <w:tcPr>
            <w:tcW w:w="196" w:type="dxa"/>
            <w:tcBorders>
              <w:top w:val="nil"/>
              <w:left w:val="nil"/>
              <w:bottom w:val="nil"/>
              <w:right w:val="nil"/>
            </w:tcBorders>
            <w:shd w:val="clear" w:color="auto" w:fill="auto"/>
            <w:noWrap/>
            <w:vAlign w:val="bottom"/>
            <w:hideMark/>
          </w:tcPr>
          <w:p w14:paraId="022BAD00"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p>
        </w:tc>
        <w:tc>
          <w:tcPr>
            <w:tcW w:w="1278" w:type="dxa"/>
            <w:gridSpan w:val="2"/>
            <w:tcBorders>
              <w:top w:val="nil"/>
              <w:left w:val="nil"/>
              <w:bottom w:val="single" w:sz="8" w:space="0" w:color="auto"/>
              <w:right w:val="nil"/>
            </w:tcBorders>
            <w:shd w:val="clear" w:color="auto" w:fill="auto"/>
            <w:noWrap/>
            <w:vAlign w:val="bottom"/>
            <w:hideMark/>
          </w:tcPr>
          <w:p w14:paraId="60987DB7"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r w:rsidRPr="008A4236">
              <w:rPr>
                <w:rFonts w:ascii="Segoe UI" w:eastAsia="Times New Roman" w:hAnsi="Segoe UI" w:cs="Segoe UI"/>
                <w:b/>
                <w:bCs/>
                <w:color w:val="666666"/>
                <w:sz w:val="20"/>
                <w:szCs w:val="20"/>
              </w:rPr>
              <w:t xml:space="preserve"> $      3,804 </w:t>
            </w:r>
          </w:p>
        </w:tc>
        <w:tc>
          <w:tcPr>
            <w:tcW w:w="196" w:type="dxa"/>
            <w:tcBorders>
              <w:top w:val="nil"/>
              <w:left w:val="nil"/>
              <w:bottom w:val="nil"/>
              <w:right w:val="nil"/>
            </w:tcBorders>
            <w:shd w:val="clear" w:color="auto" w:fill="auto"/>
            <w:noWrap/>
            <w:vAlign w:val="bottom"/>
            <w:hideMark/>
          </w:tcPr>
          <w:p w14:paraId="551BAF79" w14:textId="77777777" w:rsidR="008E51EC" w:rsidRPr="008A4236" w:rsidRDefault="008E51EC" w:rsidP="008E51EC">
            <w:pPr>
              <w:spacing w:after="0" w:line="240" w:lineRule="auto"/>
              <w:jc w:val="right"/>
              <w:rPr>
                <w:rFonts w:ascii="Segoe UI" w:eastAsia="Times New Roman" w:hAnsi="Segoe UI" w:cs="Segoe UI"/>
                <w:b/>
                <w:bCs/>
                <w:color w:val="666666"/>
                <w:sz w:val="20"/>
                <w:szCs w:val="20"/>
              </w:rPr>
            </w:pPr>
          </w:p>
        </w:tc>
        <w:tc>
          <w:tcPr>
            <w:tcW w:w="1016" w:type="dxa"/>
            <w:tcBorders>
              <w:top w:val="nil"/>
              <w:left w:val="nil"/>
              <w:bottom w:val="single" w:sz="8" w:space="0" w:color="auto"/>
              <w:right w:val="nil"/>
            </w:tcBorders>
            <w:shd w:val="clear" w:color="auto" w:fill="auto"/>
            <w:noWrap/>
            <w:vAlign w:val="bottom"/>
            <w:hideMark/>
          </w:tcPr>
          <w:p w14:paraId="22278535" w14:textId="77777777" w:rsidR="008E51EC" w:rsidRPr="008A4236" w:rsidRDefault="008E51EC" w:rsidP="008E51EC">
            <w:pPr>
              <w:spacing w:after="0" w:line="240" w:lineRule="auto"/>
              <w:jc w:val="right"/>
              <w:rPr>
                <w:rFonts w:ascii="Segoe UI" w:eastAsia="Times New Roman" w:hAnsi="Segoe UI" w:cs="Segoe UI"/>
                <w:color w:val="666666"/>
                <w:sz w:val="20"/>
                <w:szCs w:val="20"/>
              </w:rPr>
            </w:pPr>
            <w:r w:rsidRPr="008A4236">
              <w:rPr>
                <w:rFonts w:ascii="Segoe UI" w:eastAsia="Times New Roman" w:hAnsi="Segoe UI" w:cs="Segoe UI"/>
                <w:color w:val="666666"/>
                <w:sz w:val="20"/>
                <w:szCs w:val="20"/>
              </w:rPr>
              <w:t xml:space="preserve"> $  6,938 </w:t>
            </w:r>
          </w:p>
        </w:tc>
      </w:tr>
    </w:tbl>
    <w:p w14:paraId="2F6EDF55" w14:textId="641ED3FC" w:rsidR="008A4236" w:rsidRDefault="008A4236" w:rsidP="0016352C"/>
    <w:p w14:paraId="0DB75BC4" w14:textId="77125483" w:rsidR="008A4236" w:rsidRDefault="008A4236" w:rsidP="008A4236">
      <w:pPr>
        <w:tabs>
          <w:tab w:val="left" w:pos="7350"/>
        </w:tabs>
        <w:spacing w:after="0" w:line="240" w:lineRule="auto"/>
      </w:pPr>
      <w:r>
        <w:tab/>
      </w:r>
    </w:p>
    <w:p w14:paraId="6877EFBC" w14:textId="15F7BA94" w:rsidR="008A4236" w:rsidRDefault="008A4236" w:rsidP="008A4236">
      <w:pPr>
        <w:tabs>
          <w:tab w:val="left" w:pos="7350"/>
        </w:tabs>
        <w:spacing w:after="0" w:line="240" w:lineRule="auto"/>
      </w:pPr>
      <w:r w:rsidRPr="008A4236">
        <w:br w:type="page"/>
      </w:r>
    </w:p>
    <w:tbl>
      <w:tblPr>
        <w:tblW w:w="8084" w:type="dxa"/>
        <w:tblCellMar>
          <w:left w:w="0" w:type="dxa"/>
          <w:right w:w="0" w:type="dxa"/>
        </w:tblCellMar>
        <w:tblLook w:val="04A0" w:firstRow="1" w:lastRow="0" w:firstColumn="1" w:lastColumn="0" w:noHBand="0" w:noVBand="1"/>
      </w:tblPr>
      <w:tblGrid>
        <w:gridCol w:w="3172"/>
        <w:gridCol w:w="1112"/>
        <w:gridCol w:w="304"/>
        <w:gridCol w:w="952"/>
        <w:gridCol w:w="304"/>
        <w:gridCol w:w="1112"/>
        <w:gridCol w:w="304"/>
        <w:gridCol w:w="952"/>
      </w:tblGrid>
      <w:tr w:rsidR="008E51EC" w:rsidRPr="008E51EC" w14:paraId="3FB23ED5" w14:textId="77777777" w:rsidTr="008A4236">
        <w:trPr>
          <w:trHeight w:val="285"/>
        </w:trPr>
        <w:tc>
          <w:tcPr>
            <w:tcW w:w="3156" w:type="dxa"/>
            <w:tcBorders>
              <w:top w:val="nil"/>
              <w:left w:val="nil"/>
              <w:bottom w:val="nil"/>
              <w:right w:val="nil"/>
            </w:tcBorders>
            <w:shd w:val="clear" w:color="000000" w:fill="FFFFFF"/>
            <w:noWrap/>
            <w:vAlign w:val="bottom"/>
            <w:hideMark/>
          </w:tcPr>
          <w:p w14:paraId="255D5DDA" w14:textId="43B3469D"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000000" w:fill="FFFFFF"/>
            <w:noWrap/>
            <w:vAlign w:val="bottom"/>
            <w:hideMark/>
          </w:tcPr>
          <w:p w14:paraId="09E6449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61E2513C"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425358B8"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127F503B"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935A28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59A9E120"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652E63A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r>
      <w:tr w:rsidR="008E51EC" w:rsidRPr="008E51EC" w14:paraId="200064AD" w14:textId="77777777" w:rsidTr="008A4236">
        <w:trPr>
          <w:trHeight w:val="285"/>
        </w:trPr>
        <w:tc>
          <w:tcPr>
            <w:tcW w:w="3156" w:type="dxa"/>
            <w:tcBorders>
              <w:top w:val="nil"/>
              <w:left w:val="nil"/>
              <w:bottom w:val="nil"/>
              <w:right w:val="nil"/>
            </w:tcBorders>
            <w:shd w:val="clear" w:color="000000" w:fill="FFFFFF"/>
            <w:noWrap/>
            <w:vAlign w:val="bottom"/>
            <w:hideMark/>
          </w:tcPr>
          <w:p w14:paraId="3421558F"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096" w:type="dxa"/>
            <w:tcBorders>
              <w:top w:val="nil"/>
              <w:left w:val="nil"/>
              <w:bottom w:val="nil"/>
              <w:right w:val="nil"/>
            </w:tcBorders>
            <w:shd w:val="clear" w:color="000000" w:fill="FFFFFF"/>
            <w:noWrap/>
            <w:vAlign w:val="bottom"/>
            <w:hideMark/>
          </w:tcPr>
          <w:p w14:paraId="7DDC232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013E08C2"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43E2AFC0"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6A7D383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0E23E4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627C9272"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600AF907"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r>
      <w:tr w:rsidR="008E51EC" w:rsidRPr="008E51EC" w14:paraId="3BCCF143" w14:textId="77777777" w:rsidTr="008A4236">
        <w:trPr>
          <w:trHeight w:val="285"/>
        </w:trPr>
        <w:tc>
          <w:tcPr>
            <w:tcW w:w="8084" w:type="dxa"/>
            <w:gridSpan w:val="8"/>
            <w:tcBorders>
              <w:top w:val="nil"/>
              <w:left w:val="nil"/>
              <w:bottom w:val="nil"/>
              <w:right w:val="nil"/>
            </w:tcBorders>
            <w:shd w:val="clear" w:color="000000" w:fill="FFFFFF"/>
            <w:noWrap/>
            <w:vAlign w:val="bottom"/>
            <w:hideMark/>
          </w:tcPr>
          <w:p w14:paraId="4A23003D"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SEGMENT REVENUE AND OPERATING INCOME (LOSS)</w:t>
            </w:r>
          </w:p>
        </w:tc>
      </w:tr>
      <w:tr w:rsidR="008E51EC" w:rsidRPr="008E51EC" w14:paraId="688BA975" w14:textId="77777777" w:rsidTr="008A4236">
        <w:trPr>
          <w:trHeight w:val="285"/>
        </w:trPr>
        <w:tc>
          <w:tcPr>
            <w:tcW w:w="8084" w:type="dxa"/>
            <w:gridSpan w:val="8"/>
            <w:tcBorders>
              <w:top w:val="nil"/>
              <w:left w:val="nil"/>
              <w:bottom w:val="nil"/>
              <w:right w:val="nil"/>
            </w:tcBorders>
            <w:shd w:val="clear" w:color="000000" w:fill="FFFFFF"/>
            <w:noWrap/>
            <w:vAlign w:val="bottom"/>
            <w:hideMark/>
          </w:tcPr>
          <w:p w14:paraId="40506DA8"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(In millions)(Unaudited)</w:t>
            </w:r>
          </w:p>
        </w:tc>
      </w:tr>
      <w:tr w:rsidR="008E51EC" w:rsidRPr="008E51EC" w14:paraId="7BF30969" w14:textId="77777777" w:rsidTr="008A4236">
        <w:trPr>
          <w:trHeight w:val="285"/>
        </w:trPr>
        <w:tc>
          <w:tcPr>
            <w:tcW w:w="3156" w:type="dxa"/>
            <w:tcBorders>
              <w:top w:val="nil"/>
              <w:left w:val="nil"/>
              <w:bottom w:val="nil"/>
              <w:right w:val="nil"/>
            </w:tcBorders>
            <w:shd w:val="clear" w:color="000000" w:fill="FFFFFF"/>
            <w:noWrap/>
            <w:vAlign w:val="bottom"/>
            <w:hideMark/>
          </w:tcPr>
          <w:p w14:paraId="50F0EF21"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612A7F8"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54C2ACE9"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4B703BFD"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2BBA2E7B"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095E8CC"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321091DB"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40B85DCB" w14:textId="77777777" w:rsidR="008E51EC" w:rsidRPr="008E51EC" w:rsidRDefault="008E51EC" w:rsidP="008E51EC">
            <w:pPr>
              <w:spacing w:after="0" w:line="240" w:lineRule="auto"/>
              <w:jc w:val="center"/>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r>
      <w:tr w:rsidR="008E51EC" w:rsidRPr="008E51EC" w14:paraId="1BC6E588" w14:textId="77777777" w:rsidTr="008A4236">
        <w:trPr>
          <w:trHeight w:val="285"/>
        </w:trPr>
        <w:tc>
          <w:tcPr>
            <w:tcW w:w="3156" w:type="dxa"/>
            <w:tcBorders>
              <w:top w:val="nil"/>
              <w:left w:val="nil"/>
              <w:bottom w:val="nil"/>
              <w:right w:val="nil"/>
            </w:tcBorders>
            <w:shd w:val="clear" w:color="000000" w:fill="FFFFFF"/>
            <w:noWrap/>
            <w:vAlign w:val="bottom"/>
            <w:hideMark/>
          </w:tcPr>
          <w:p w14:paraId="35BD0B1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320" w:type="dxa"/>
            <w:gridSpan w:val="3"/>
            <w:vMerge w:val="restart"/>
            <w:tcBorders>
              <w:top w:val="nil"/>
              <w:left w:val="nil"/>
              <w:bottom w:val="nil"/>
              <w:right w:val="nil"/>
            </w:tcBorders>
            <w:shd w:val="clear" w:color="000000" w:fill="FFFFFF"/>
            <w:vAlign w:val="bottom"/>
            <w:hideMark/>
          </w:tcPr>
          <w:p w14:paraId="305F344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Three Months Ended June 30,</w:t>
            </w:r>
          </w:p>
        </w:tc>
        <w:tc>
          <w:tcPr>
            <w:tcW w:w="288" w:type="dxa"/>
            <w:tcBorders>
              <w:top w:val="nil"/>
              <w:left w:val="nil"/>
              <w:bottom w:val="nil"/>
              <w:right w:val="nil"/>
            </w:tcBorders>
            <w:shd w:val="clear" w:color="000000" w:fill="FFFFFF"/>
            <w:noWrap/>
            <w:vAlign w:val="bottom"/>
            <w:hideMark/>
          </w:tcPr>
          <w:p w14:paraId="4F64F66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320" w:type="dxa"/>
            <w:gridSpan w:val="3"/>
            <w:vMerge w:val="restart"/>
            <w:tcBorders>
              <w:top w:val="nil"/>
              <w:left w:val="nil"/>
              <w:bottom w:val="nil"/>
              <w:right w:val="nil"/>
            </w:tcBorders>
            <w:shd w:val="clear" w:color="000000" w:fill="FFFFFF"/>
            <w:vAlign w:val="bottom"/>
            <w:hideMark/>
          </w:tcPr>
          <w:p w14:paraId="6F4DEE9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Twelve Months Ended June 30,</w:t>
            </w:r>
          </w:p>
        </w:tc>
      </w:tr>
      <w:tr w:rsidR="008E51EC" w:rsidRPr="008E51EC" w14:paraId="62043F78" w14:textId="77777777" w:rsidTr="008A4236">
        <w:trPr>
          <w:trHeight w:val="285"/>
        </w:trPr>
        <w:tc>
          <w:tcPr>
            <w:tcW w:w="3156" w:type="dxa"/>
            <w:tcBorders>
              <w:top w:val="nil"/>
              <w:left w:val="nil"/>
              <w:bottom w:val="nil"/>
              <w:right w:val="nil"/>
            </w:tcBorders>
            <w:shd w:val="clear" w:color="000000" w:fill="FFFFFF"/>
            <w:noWrap/>
            <w:vAlign w:val="bottom"/>
            <w:hideMark/>
          </w:tcPr>
          <w:p w14:paraId="386061C2"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320" w:type="dxa"/>
            <w:gridSpan w:val="3"/>
            <w:vMerge/>
            <w:tcBorders>
              <w:top w:val="nil"/>
              <w:left w:val="nil"/>
              <w:bottom w:val="nil"/>
              <w:right w:val="nil"/>
            </w:tcBorders>
            <w:vAlign w:val="center"/>
            <w:hideMark/>
          </w:tcPr>
          <w:p w14:paraId="649310AA"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c>
          <w:tcPr>
            <w:tcW w:w="288" w:type="dxa"/>
            <w:tcBorders>
              <w:top w:val="nil"/>
              <w:left w:val="nil"/>
              <w:bottom w:val="nil"/>
              <w:right w:val="nil"/>
            </w:tcBorders>
            <w:shd w:val="clear" w:color="000000" w:fill="FFFFFF"/>
            <w:noWrap/>
            <w:vAlign w:val="bottom"/>
            <w:hideMark/>
          </w:tcPr>
          <w:p w14:paraId="78F324A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320" w:type="dxa"/>
            <w:gridSpan w:val="3"/>
            <w:vMerge/>
            <w:tcBorders>
              <w:top w:val="nil"/>
              <w:left w:val="nil"/>
              <w:bottom w:val="nil"/>
              <w:right w:val="nil"/>
            </w:tcBorders>
            <w:vAlign w:val="center"/>
            <w:hideMark/>
          </w:tcPr>
          <w:p w14:paraId="22D1B472" w14:textId="77777777" w:rsidR="008E51EC" w:rsidRPr="008E51EC" w:rsidRDefault="008E51EC" w:rsidP="008E51EC">
            <w:pPr>
              <w:spacing w:after="0" w:line="240" w:lineRule="auto"/>
              <w:rPr>
                <w:rFonts w:ascii="Segoe UI" w:eastAsia="Times New Roman" w:hAnsi="Segoe UI" w:cs="Segoe UI"/>
                <w:b/>
                <w:bCs/>
                <w:color w:val="666666"/>
                <w:sz w:val="20"/>
                <w:szCs w:val="20"/>
              </w:rPr>
            </w:pPr>
          </w:p>
        </w:tc>
      </w:tr>
      <w:tr w:rsidR="008E51EC" w:rsidRPr="008E51EC" w14:paraId="1E89B5E8" w14:textId="77777777" w:rsidTr="008A4236">
        <w:trPr>
          <w:trHeight w:val="285"/>
        </w:trPr>
        <w:tc>
          <w:tcPr>
            <w:tcW w:w="3156" w:type="dxa"/>
            <w:tcBorders>
              <w:top w:val="nil"/>
              <w:left w:val="nil"/>
              <w:bottom w:val="single" w:sz="4" w:space="0" w:color="auto"/>
              <w:right w:val="nil"/>
            </w:tcBorders>
            <w:shd w:val="clear" w:color="000000" w:fill="FFFFFF"/>
            <w:noWrap/>
            <w:vAlign w:val="bottom"/>
            <w:hideMark/>
          </w:tcPr>
          <w:p w14:paraId="5803D86D"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2692B4C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2013</w:t>
            </w:r>
          </w:p>
        </w:tc>
        <w:tc>
          <w:tcPr>
            <w:tcW w:w="288" w:type="dxa"/>
            <w:tcBorders>
              <w:top w:val="nil"/>
              <w:left w:val="nil"/>
              <w:bottom w:val="single" w:sz="4" w:space="0" w:color="auto"/>
              <w:right w:val="nil"/>
            </w:tcBorders>
            <w:shd w:val="clear" w:color="000000" w:fill="FFFFFF"/>
            <w:noWrap/>
            <w:vAlign w:val="bottom"/>
            <w:hideMark/>
          </w:tcPr>
          <w:p w14:paraId="652DEE5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2E1D545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2012</w:t>
            </w:r>
          </w:p>
        </w:tc>
        <w:tc>
          <w:tcPr>
            <w:tcW w:w="288" w:type="dxa"/>
            <w:tcBorders>
              <w:top w:val="nil"/>
              <w:left w:val="nil"/>
              <w:bottom w:val="single" w:sz="4" w:space="0" w:color="auto"/>
              <w:right w:val="nil"/>
            </w:tcBorders>
            <w:shd w:val="clear" w:color="000000" w:fill="FFFFFF"/>
            <w:noWrap/>
            <w:vAlign w:val="bottom"/>
            <w:hideMark/>
          </w:tcPr>
          <w:p w14:paraId="3639C4E2" w14:textId="77777777" w:rsidR="008E51EC" w:rsidRPr="008E51EC" w:rsidRDefault="008E51EC" w:rsidP="008E51EC">
            <w:pPr>
              <w:spacing w:after="0" w:line="240" w:lineRule="auto"/>
              <w:jc w:val="center"/>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6142D0D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2013</w:t>
            </w:r>
          </w:p>
        </w:tc>
        <w:tc>
          <w:tcPr>
            <w:tcW w:w="288" w:type="dxa"/>
            <w:tcBorders>
              <w:top w:val="nil"/>
              <w:left w:val="nil"/>
              <w:bottom w:val="single" w:sz="4" w:space="0" w:color="auto"/>
              <w:right w:val="nil"/>
            </w:tcBorders>
            <w:shd w:val="clear" w:color="000000" w:fill="FFFFFF"/>
            <w:noWrap/>
            <w:vAlign w:val="bottom"/>
            <w:hideMark/>
          </w:tcPr>
          <w:p w14:paraId="5B51BD0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69CDFDA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2012</w:t>
            </w:r>
          </w:p>
        </w:tc>
      </w:tr>
      <w:tr w:rsidR="008E51EC" w:rsidRPr="008E51EC" w14:paraId="787FC8F1" w14:textId="77777777" w:rsidTr="008A4236">
        <w:trPr>
          <w:trHeight w:val="285"/>
        </w:trPr>
        <w:tc>
          <w:tcPr>
            <w:tcW w:w="3156" w:type="dxa"/>
            <w:tcBorders>
              <w:top w:val="nil"/>
              <w:left w:val="nil"/>
              <w:bottom w:val="nil"/>
              <w:right w:val="nil"/>
            </w:tcBorders>
            <w:shd w:val="clear" w:color="000000" w:fill="FFFFFF"/>
            <w:noWrap/>
            <w:vAlign w:val="bottom"/>
            <w:hideMark/>
          </w:tcPr>
          <w:p w14:paraId="241459E1"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Revenue</w:t>
            </w:r>
          </w:p>
        </w:tc>
        <w:tc>
          <w:tcPr>
            <w:tcW w:w="1096" w:type="dxa"/>
            <w:tcBorders>
              <w:top w:val="nil"/>
              <w:left w:val="nil"/>
              <w:bottom w:val="nil"/>
              <w:right w:val="nil"/>
            </w:tcBorders>
            <w:shd w:val="clear" w:color="000000" w:fill="FFFFFF"/>
            <w:noWrap/>
            <w:vAlign w:val="bottom"/>
            <w:hideMark/>
          </w:tcPr>
          <w:p w14:paraId="3BC8C2F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88" w:type="dxa"/>
            <w:tcBorders>
              <w:top w:val="nil"/>
              <w:left w:val="nil"/>
              <w:bottom w:val="nil"/>
              <w:right w:val="nil"/>
            </w:tcBorders>
            <w:shd w:val="clear" w:color="000000" w:fill="FFFFFF"/>
            <w:noWrap/>
            <w:vAlign w:val="bottom"/>
            <w:hideMark/>
          </w:tcPr>
          <w:p w14:paraId="1FED2ADF"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892610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52A08C2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742E7D4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88" w:type="dxa"/>
            <w:tcBorders>
              <w:top w:val="nil"/>
              <w:left w:val="nil"/>
              <w:bottom w:val="nil"/>
              <w:right w:val="nil"/>
            </w:tcBorders>
            <w:shd w:val="clear" w:color="000000" w:fill="FFFFFF"/>
            <w:noWrap/>
            <w:vAlign w:val="bottom"/>
            <w:hideMark/>
          </w:tcPr>
          <w:p w14:paraId="3687F776"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92D436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r>
      <w:tr w:rsidR="008E51EC" w:rsidRPr="008E51EC" w14:paraId="6C3327F9" w14:textId="77777777" w:rsidTr="008A4236">
        <w:trPr>
          <w:trHeight w:val="315"/>
        </w:trPr>
        <w:tc>
          <w:tcPr>
            <w:tcW w:w="3156" w:type="dxa"/>
            <w:tcBorders>
              <w:top w:val="nil"/>
              <w:left w:val="nil"/>
              <w:bottom w:val="nil"/>
              <w:right w:val="nil"/>
            </w:tcBorders>
            <w:shd w:val="clear" w:color="000000" w:fill="FFFFFF"/>
            <w:noWrap/>
            <w:vAlign w:val="bottom"/>
            <w:hideMark/>
          </w:tcPr>
          <w:p w14:paraId="594CAF6C"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Windows Division</w:t>
            </w:r>
          </w:p>
        </w:tc>
        <w:tc>
          <w:tcPr>
            <w:tcW w:w="1096" w:type="dxa"/>
            <w:tcBorders>
              <w:top w:val="nil"/>
              <w:left w:val="nil"/>
              <w:bottom w:val="nil"/>
              <w:right w:val="nil"/>
            </w:tcBorders>
            <w:shd w:val="clear" w:color="000000" w:fill="FFFFFF"/>
            <w:noWrap/>
            <w:vAlign w:val="bottom"/>
            <w:hideMark/>
          </w:tcPr>
          <w:p w14:paraId="6DF2B56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4,411 </w:t>
            </w:r>
          </w:p>
        </w:tc>
        <w:tc>
          <w:tcPr>
            <w:tcW w:w="288" w:type="dxa"/>
            <w:tcBorders>
              <w:top w:val="nil"/>
              <w:left w:val="nil"/>
              <w:bottom w:val="nil"/>
              <w:right w:val="nil"/>
            </w:tcBorders>
            <w:shd w:val="clear" w:color="000000" w:fill="FFFFFF"/>
            <w:noWrap/>
            <w:vAlign w:val="bottom"/>
            <w:hideMark/>
          </w:tcPr>
          <w:p w14:paraId="1325EAD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30AFEDD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4,152 </w:t>
            </w:r>
          </w:p>
        </w:tc>
        <w:tc>
          <w:tcPr>
            <w:tcW w:w="288" w:type="dxa"/>
            <w:tcBorders>
              <w:top w:val="nil"/>
              <w:left w:val="nil"/>
              <w:bottom w:val="nil"/>
              <w:right w:val="nil"/>
            </w:tcBorders>
            <w:shd w:val="clear" w:color="000000" w:fill="FFFFFF"/>
            <w:noWrap/>
            <w:vAlign w:val="bottom"/>
            <w:hideMark/>
          </w:tcPr>
          <w:p w14:paraId="68440481"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46DB9E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19,239 </w:t>
            </w:r>
          </w:p>
        </w:tc>
        <w:tc>
          <w:tcPr>
            <w:tcW w:w="288" w:type="dxa"/>
            <w:tcBorders>
              <w:top w:val="nil"/>
              <w:left w:val="nil"/>
              <w:bottom w:val="nil"/>
              <w:right w:val="nil"/>
            </w:tcBorders>
            <w:shd w:val="clear" w:color="000000" w:fill="FFFFFF"/>
            <w:noWrap/>
            <w:vAlign w:val="bottom"/>
            <w:hideMark/>
          </w:tcPr>
          <w:p w14:paraId="5082BCF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42986A4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$18,400 </w:t>
            </w:r>
          </w:p>
        </w:tc>
      </w:tr>
      <w:tr w:rsidR="008E51EC" w:rsidRPr="008E51EC" w14:paraId="06ABFCA3" w14:textId="77777777" w:rsidTr="008A4236">
        <w:trPr>
          <w:trHeight w:val="285"/>
        </w:trPr>
        <w:tc>
          <w:tcPr>
            <w:tcW w:w="3156" w:type="dxa"/>
            <w:tcBorders>
              <w:top w:val="nil"/>
              <w:left w:val="nil"/>
              <w:bottom w:val="nil"/>
              <w:right w:val="nil"/>
            </w:tcBorders>
            <w:shd w:val="clear" w:color="000000" w:fill="FFFFFF"/>
            <w:noWrap/>
            <w:vAlign w:val="bottom"/>
            <w:hideMark/>
          </w:tcPr>
          <w:p w14:paraId="01915C0B"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Server and Tools</w:t>
            </w:r>
          </w:p>
        </w:tc>
        <w:tc>
          <w:tcPr>
            <w:tcW w:w="1096" w:type="dxa"/>
            <w:tcBorders>
              <w:top w:val="nil"/>
              <w:left w:val="nil"/>
              <w:bottom w:val="nil"/>
              <w:right w:val="nil"/>
            </w:tcBorders>
            <w:shd w:val="clear" w:color="000000" w:fill="FFFFFF"/>
            <w:noWrap/>
            <w:vAlign w:val="bottom"/>
            <w:hideMark/>
          </w:tcPr>
          <w:p w14:paraId="4084CAB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5,502 </w:t>
            </w:r>
          </w:p>
        </w:tc>
        <w:tc>
          <w:tcPr>
            <w:tcW w:w="288" w:type="dxa"/>
            <w:tcBorders>
              <w:top w:val="nil"/>
              <w:left w:val="nil"/>
              <w:bottom w:val="nil"/>
              <w:right w:val="nil"/>
            </w:tcBorders>
            <w:shd w:val="clear" w:color="000000" w:fill="FFFFFF"/>
            <w:noWrap/>
            <w:vAlign w:val="bottom"/>
            <w:hideMark/>
          </w:tcPr>
          <w:p w14:paraId="4161BB9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5D65EDB0"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5,050 </w:t>
            </w:r>
          </w:p>
        </w:tc>
        <w:tc>
          <w:tcPr>
            <w:tcW w:w="288" w:type="dxa"/>
            <w:tcBorders>
              <w:top w:val="nil"/>
              <w:left w:val="nil"/>
              <w:bottom w:val="nil"/>
              <w:right w:val="nil"/>
            </w:tcBorders>
            <w:shd w:val="clear" w:color="000000" w:fill="FFFFFF"/>
            <w:noWrap/>
            <w:vAlign w:val="bottom"/>
            <w:hideMark/>
          </w:tcPr>
          <w:p w14:paraId="2A5C595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3DD629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20,281 </w:t>
            </w:r>
          </w:p>
        </w:tc>
        <w:tc>
          <w:tcPr>
            <w:tcW w:w="288" w:type="dxa"/>
            <w:tcBorders>
              <w:top w:val="nil"/>
              <w:left w:val="nil"/>
              <w:bottom w:val="nil"/>
              <w:right w:val="nil"/>
            </w:tcBorders>
            <w:shd w:val="clear" w:color="000000" w:fill="FFFFFF"/>
            <w:noWrap/>
            <w:vAlign w:val="bottom"/>
            <w:hideMark/>
          </w:tcPr>
          <w:p w14:paraId="4F1BDC7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AE6E35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18,534 </w:t>
            </w:r>
          </w:p>
        </w:tc>
      </w:tr>
      <w:tr w:rsidR="008E51EC" w:rsidRPr="008E51EC" w14:paraId="7655E4DA" w14:textId="77777777" w:rsidTr="008A4236">
        <w:trPr>
          <w:trHeight w:val="285"/>
        </w:trPr>
        <w:tc>
          <w:tcPr>
            <w:tcW w:w="3156" w:type="dxa"/>
            <w:tcBorders>
              <w:top w:val="nil"/>
              <w:left w:val="nil"/>
              <w:bottom w:val="nil"/>
              <w:right w:val="nil"/>
            </w:tcBorders>
            <w:shd w:val="clear" w:color="000000" w:fill="FFFFFF"/>
            <w:noWrap/>
            <w:vAlign w:val="bottom"/>
            <w:hideMark/>
          </w:tcPr>
          <w:p w14:paraId="0F07BB1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Online Services Division</w:t>
            </w:r>
          </w:p>
        </w:tc>
        <w:tc>
          <w:tcPr>
            <w:tcW w:w="1096" w:type="dxa"/>
            <w:tcBorders>
              <w:top w:val="nil"/>
              <w:left w:val="nil"/>
              <w:bottom w:val="nil"/>
              <w:right w:val="nil"/>
            </w:tcBorders>
            <w:shd w:val="clear" w:color="000000" w:fill="FFFFFF"/>
            <w:noWrap/>
            <w:vAlign w:val="bottom"/>
            <w:hideMark/>
          </w:tcPr>
          <w:p w14:paraId="36A0BB2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804 </w:t>
            </w:r>
          </w:p>
        </w:tc>
        <w:tc>
          <w:tcPr>
            <w:tcW w:w="288" w:type="dxa"/>
            <w:tcBorders>
              <w:top w:val="nil"/>
              <w:left w:val="nil"/>
              <w:bottom w:val="nil"/>
              <w:right w:val="nil"/>
            </w:tcBorders>
            <w:shd w:val="clear" w:color="000000" w:fill="FFFFFF"/>
            <w:noWrap/>
            <w:vAlign w:val="bottom"/>
            <w:hideMark/>
          </w:tcPr>
          <w:p w14:paraId="4F383BD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B5D09F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735 </w:t>
            </w:r>
          </w:p>
        </w:tc>
        <w:tc>
          <w:tcPr>
            <w:tcW w:w="288" w:type="dxa"/>
            <w:tcBorders>
              <w:top w:val="nil"/>
              <w:left w:val="nil"/>
              <w:bottom w:val="nil"/>
              <w:right w:val="nil"/>
            </w:tcBorders>
            <w:shd w:val="clear" w:color="000000" w:fill="FFFFFF"/>
            <w:noWrap/>
            <w:vAlign w:val="bottom"/>
            <w:hideMark/>
          </w:tcPr>
          <w:p w14:paraId="7B55090C"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0848FEE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3,201 </w:t>
            </w:r>
          </w:p>
        </w:tc>
        <w:tc>
          <w:tcPr>
            <w:tcW w:w="288" w:type="dxa"/>
            <w:tcBorders>
              <w:top w:val="nil"/>
              <w:left w:val="nil"/>
              <w:bottom w:val="nil"/>
              <w:right w:val="nil"/>
            </w:tcBorders>
            <w:shd w:val="clear" w:color="000000" w:fill="FFFFFF"/>
            <w:noWrap/>
            <w:vAlign w:val="bottom"/>
            <w:hideMark/>
          </w:tcPr>
          <w:p w14:paraId="7367D35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12367E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2,867 </w:t>
            </w:r>
          </w:p>
        </w:tc>
      </w:tr>
      <w:tr w:rsidR="008E51EC" w:rsidRPr="008E51EC" w14:paraId="45FE2D82" w14:textId="77777777" w:rsidTr="008A4236">
        <w:trPr>
          <w:trHeight w:val="285"/>
        </w:trPr>
        <w:tc>
          <w:tcPr>
            <w:tcW w:w="3156" w:type="dxa"/>
            <w:tcBorders>
              <w:top w:val="nil"/>
              <w:left w:val="nil"/>
              <w:bottom w:val="nil"/>
              <w:right w:val="nil"/>
            </w:tcBorders>
            <w:shd w:val="clear" w:color="000000" w:fill="FFFFFF"/>
            <w:noWrap/>
            <w:vAlign w:val="bottom"/>
            <w:hideMark/>
          </w:tcPr>
          <w:p w14:paraId="58397A9A"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Microsoft Business Division</w:t>
            </w:r>
          </w:p>
        </w:tc>
        <w:tc>
          <w:tcPr>
            <w:tcW w:w="1096" w:type="dxa"/>
            <w:tcBorders>
              <w:top w:val="nil"/>
              <w:left w:val="nil"/>
              <w:bottom w:val="nil"/>
              <w:right w:val="nil"/>
            </w:tcBorders>
            <w:shd w:val="clear" w:color="000000" w:fill="FFFFFF"/>
            <w:noWrap/>
            <w:vAlign w:val="bottom"/>
            <w:hideMark/>
          </w:tcPr>
          <w:p w14:paraId="3021461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7,213 </w:t>
            </w:r>
          </w:p>
        </w:tc>
        <w:tc>
          <w:tcPr>
            <w:tcW w:w="288" w:type="dxa"/>
            <w:tcBorders>
              <w:top w:val="nil"/>
              <w:left w:val="nil"/>
              <w:bottom w:val="nil"/>
              <w:right w:val="nil"/>
            </w:tcBorders>
            <w:shd w:val="clear" w:color="000000" w:fill="FFFFFF"/>
            <w:noWrap/>
            <w:vAlign w:val="bottom"/>
            <w:hideMark/>
          </w:tcPr>
          <w:p w14:paraId="078A48D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5F18C581"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6,324 </w:t>
            </w:r>
          </w:p>
        </w:tc>
        <w:tc>
          <w:tcPr>
            <w:tcW w:w="288" w:type="dxa"/>
            <w:tcBorders>
              <w:top w:val="nil"/>
              <w:left w:val="nil"/>
              <w:bottom w:val="nil"/>
              <w:right w:val="nil"/>
            </w:tcBorders>
            <w:shd w:val="clear" w:color="000000" w:fill="FFFFFF"/>
            <w:noWrap/>
            <w:vAlign w:val="bottom"/>
            <w:hideMark/>
          </w:tcPr>
          <w:p w14:paraId="545DD38F"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E89EBC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24,724 </w:t>
            </w:r>
          </w:p>
        </w:tc>
        <w:tc>
          <w:tcPr>
            <w:tcW w:w="288" w:type="dxa"/>
            <w:tcBorders>
              <w:top w:val="nil"/>
              <w:left w:val="nil"/>
              <w:bottom w:val="nil"/>
              <w:right w:val="nil"/>
            </w:tcBorders>
            <w:shd w:val="clear" w:color="000000" w:fill="FFFFFF"/>
            <w:noWrap/>
            <w:vAlign w:val="bottom"/>
            <w:hideMark/>
          </w:tcPr>
          <w:p w14:paraId="7C27923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5219FD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24,111 </w:t>
            </w:r>
          </w:p>
        </w:tc>
      </w:tr>
      <w:tr w:rsidR="008E51EC" w:rsidRPr="008E51EC" w14:paraId="710B9E96" w14:textId="77777777" w:rsidTr="008A4236">
        <w:trPr>
          <w:trHeight w:val="285"/>
        </w:trPr>
        <w:tc>
          <w:tcPr>
            <w:tcW w:w="3156" w:type="dxa"/>
            <w:tcBorders>
              <w:top w:val="nil"/>
              <w:left w:val="nil"/>
              <w:bottom w:val="nil"/>
              <w:right w:val="nil"/>
            </w:tcBorders>
            <w:shd w:val="clear" w:color="000000" w:fill="FFFFFF"/>
            <w:noWrap/>
            <w:vAlign w:val="bottom"/>
            <w:hideMark/>
          </w:tcPr>
          <w:p w14:paraId="4324C0B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Entertainment and Devices Division</w:t>
            </w:r>
          </w:p>
        </w:tc>
        <w:tc>
          <w:tcPr>
            <w:tcW w:w="1096" w:type="dxa"/>
            <w:tcBorders>
              <w:top w:val="nil"/>
              <w:left w:val="nil"/>
              <w:bottom w:val="nil"/>
              <w:right w:val="nil"/>
            </w:tcBorders>
            <w:shd w:val="clear" w:color="000000" w:fill="FFFFFF"/>
            <w:noWrap/>
            <w:vAlign w:val="bottom"/>
            <w:hideMark/>
          </w:tcPr>
          <w:p w14:paraId="740253A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1,915 </w:t>
            </w:r>
          </w:p>
        </w:tc>
        <w:tc>
          <w:tcPr>
            <w:tcW w:w="288" w:type="dxa"/>
            <w:tcBorders>
              <w:top w:val="nil"/>
              <w:left w:val="nil"/>
              <w:bottom w:val="nil"/>
              <w:right w:val="nil"/>
            </w:tcBorders>
            <w:shd w:val="clear" w:color="000000" w:fill="FFFFFF"/>
            <w:noWrap/>
            <w:vAlign w:val="bottom"/>
            <w:hideMark/>
          </w:tcPr>
          <w:p w14:paraId="184FC40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71EEC92"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1,781 </w:t>
            </w:r>
          </w:p>
        </w:tc>
        <w:tc>
          <w:tcPr>
            <w:tcW w:w="288" w:type="dxa"/>
            <w:tcBorders>
              <w:top w:val="nil"/>
              <w:left w:val="nil"/>
              <w:bottom w:val="nil"/>
              <w:right w:val="nil"/>
            </w:tcBorders>
            <w:shd w:val="clear" w:color="000000" w:fill="FFFFFF"/>
            <w:noWrap/>
            <w:vAlign w:val="bottom"/>
            <w:hideMark/>
          </w:tcPr>
          <w:p w14:paraId="08667C34"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EB77E3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10,165 </w:t>
            </w:r>
          </w:p>
        </w:tc>
        <w:tc>
          <w:tcPr>
            <w:tcW w:w="288" w:type="dxa"/>
            <w:tcBorders>
              <w:top w:val="nil"/>
              <w:left w:val="nil"/>
              <w:bottom w:val="nil"/>
              <w:right w:val="nil"/>
            </w:tcBorders>
            <w:shd w:val="clear" w:color="000000" w:fill="FFFFFF"/>
            <w:noWrap/>
            <w:vAlign w:val="bottom"/>
            <w:hideMark/>
          </w:tcPr>
          <w:p w14:paraId="40725EC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EAA946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9,599 </w:t>
            </w:r>
          </w:p>
        </w:tc>
      </w:tr>
      <w:tr w:rsidR="008E51EC" w:rsidRPr="008E51EC" w14:paraId="5C884C59" w14:textId="77777777" w:rsidTr="008A4236">
        <w:trPr>
          <w:trHeight w:val="285"/>
        </w:trPr>
        <w:tc>
          <w:tcPr>
            <w:tcW w:w="3156" w:type="dxa"/>
            <w:tcBorders>
              <w:top w:val="nil"/>
              <w:left w:val="nil"/>
              <w:bottom w:val="single" w:sz="4" w:space="0" w:color="auto"/>
              <w:right w:val="nil"/>
            </w:tcBorders>
            <w:shd w:val="clear" w:color="000000" w:fill="FFFFFF"/>
            <w:noWrap/>
            <w:vAlign w:val="bottom"/>
            <w:hideMark/>
          </w:tcPr>
          <w:p w14:paraId="65CFCDD0"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Unallocated and other</w:t>
            </w:r>
          </w:p>
        </w:tc>
        <w:tc>
          <w:tcPr>
            <w:tcW w:w="1096" w:type="dxa"/>
            <w:tcBorders>
              <w:top w:val="nil"/>
              <w:left w:val="nil"/>
              <w:bottom w:val="single" w:sz="4" w:space="0" w:color="auto"/>
              <w:right w:val="nil"/>
            </w:tcBorders>
            <w:shd w:val="clear" w:color="000000" w:fill="FFFFFF"/>
            <w:noWrap/>
            <w:vAlign w:val="bottom"/>
            <w:hideMark/>
          </w:tcPr>
          <w:p w14:paraId="70177F0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51 </w:t>
            </w:r>
          </w:p>
        </w:tc>
        <w:tc>
          <w:tcPr>
            <w:tcW w:w="288" w:type="dxa"/>
            <w:tcBorders>
              <w:top w:val="nil"/>
              <w:left w:val="nil"/>
              <w:bottom w:val="nil"/>
              <w:right w:val="nil"/>
            </w:tcBorders>
            <w:shd w:val="clear" w:color="000000" w:fill="FFFFFF"/>
            <w:noWrap/>
            <w:vAlign w:val="bottom"/>
            <w:hideMark/>
          </w:tcPr>
          <w:p w14:paraId="5070060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74A5260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17 </w:t>
            </w:r>
          </w:p>
        </w:tc>
        <w:tc>
          <w:tcPr>
            <w:tcW w:w="288" w:type="dxa"/>
            <w:tcBorders>
              <w:top w:val="nil"/>
              <w:left w:val="nil"/>
              <w:bottom w:val="nil"/>
              <w:right w:val="nil"/>
            </w:tcBorders>
            <w:shd w:val="clear" w:color="000000" w:fill="FFFFFF"/>
            <w:noWrap/>
            <w:vAlign w:val="bottom"/>
            <w:hideMark/>
          </w:tcPr>
          <w:p w14:paraId="7EB06CF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515180A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239 </w:t>
            </w:r>
          </w:p>
        </w:tc>
        <w:tc>
          <w:tcPr>
            <w:tcW w:w="288" w:type="dxa"/>
            <w:tcBorders>
              <w:top w:val="nil"/>
              <w:left w:val="nil"/>
              <w:bottom w:val="nil"/>
              <w:right w:val="nil"/>
            </w:tcBorders>
            <w:shd w:val="clear" w:color="000000" w:fill="FFFFFF"/>
            <w:noWrap/>
            <w:vAlign w:val="bottom"/>
            <w:hideMark/>
          </w:tcPr>
          <w:p w14:paraId="3EC215D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36CC73E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212 </w:t>
            </w:r>
          </w:p>
        </w:tc>
      </w:tr>
      <w:tr w:rsidR="008E51EC" w:rsidRPr="008E51EC" w14:paraId="22CB6ED3" w14:textId="77777777" w:rsidTr="008A4236">
        <w:trPr>
          <w:trHeight w:val="300"/>
        </w:trPr>
        <w:tc>
          <w:tcPr>
            <w:tcW w:w="3156" w:type="dxa"/>
            <w:tcBorders>
              <w:top w:val="nil"/>
              <w:left w:val="nil"/>
              <w:bottom w:val="nil"/>
              <w:right w:val="nil"/>
            </w:tcBorders>
            <w:shd w:val="clear" w:color="000000" w:fill="FFFFFF"/>
            <w:noWrap/>
            <w:vAlign w:val="bottom"/>
            <w:hideMark/>
          </w:tcPr>
          <w:p w14:paraId="73E5D8D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Consolidated</w:t>
            </w:r>
          </w:p>
        </w:tc>
        <w:tc>
          <w:tcPr>
            <w:tcW w:w="1096" w:type="dxa"/>
            <w:tcBorders>
              <w:top w:val="nil"/>
              <w:left w:val="nil"/>
              <w:bottom w:val="single" w:sz="8" w:space="0" w:color="auto"/>
              <w:right w:val="nil"/>
            </w:tcBorders>
            <w:shd w:val="clear" w:color="000000" w:fill="FFFFFF"/>
            <w:noWrap/>
            <w:vAlign w:val="bottom"/>
            <w:hideMark/>
          </w:tcPr>
          <w:p w14:paraId="53BC4FC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19,896 </w:t>
            </w:r>
          </w:p>
        </w:tc>
        <w:tc>
          <w:tcPr>
            <w:tcW w:w="288" w:type="dxa"/>
            <w:tcBorders>
              <w:top w:val="nil"/>
              <w:left w:val="nil"/>
              <w:bottom w:val="nil"/>
              <w:right w:val="nil"/>
            </w:tcBorders>
            <w:shd w:val="clear" w:color="000000" w:fill="FFFFFF"/>
            <w:noWrap/>
            <w:vAlign w:val="bottom"/>
            <w:hideMark/>
          </w:tcPr>
          <w:p w14:paraId="7A4E3F04"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26D46A9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$18,059 </w:t>
            </w:r>
          </w:p>
        </w:tc>
        <w:tc>
          <w:tcPr>
            <w:tcW w:w="288" w:type="dxa"/>
            <w:tcBorders>
              <w:top w:val="nil"/>
              <w:left w:val="nil"/>
              <w:bottom w:val="nil"/>
              <w:right w:val="nil"/>
            </w:tcBorders>
            <w:shd w:val="clear" w:color="000000" w:fill="FFFFFF"/>
            <w:noWrap/>
            <w:vAlign w:val="bottom"/>
            <w:hideMark/>
          </w:tcPr>
          <w:p w14:paraId="3E0A4A0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2BC684E0"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77,849 </w:t>
            </w:r>
          </w:p>
        </w:tc>
        <w:tc>
          <w:tcPr>
            <w:tcW w:w="288" w:type="dxa"/>
            <w:tcBorders>
              <w:top w:val="nil"/>
              <w:left w:val="nil"/>
              <w:bottom w:val="nil"/>
              <w:right w:val="nil"/>
            </w:tcBorders>
            <w:shd w:val="clear" w:color="000000" w:fill="FFFFFF"/>
            <w:noWrap/>
            <w:vAlign w:val="bottom"/>
            <w:hideMark/>
          </w:tcPr>
          <w:p w14:paraId="79E43DCB"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44238C55"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$73,723 </w:t>
            </w:r>
          </w:p>
        </w:tc>
      </w:tr>
      <w:tr w:rsidR="008E51EC" w:rsidRPr="008E51EC" w14:paraId="1D362028" w14:textId="77777777" w:rsidTr="008A4236">
        <w:trPr>
          <w:trHeight w:val="285"/>
        </w:trPr>
        <w:tc>
          <w:tcPr>
            <w:tcW w:w="3156" w:type="dxa"/>
            <w:tcBorders>
              <w:top w:val="nil"/>
              <w:left w:val="nil"/>
              <w:bottom w:val="nil"/>
              <w:right w:val="nil"/>
            </w:tcBorders>
            <w:shd w:val="clear" w:color="000000" w:fill="FFFFFF"/>
            <w:noWrap/>
            <w:vAlign w:val="bottom"/>
            <w:hideMark/>
          </w:tcPr>
          <w:p w14:paraId="7167553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43DF50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88" w:type="dxa"/>
            <w:tcBorders>
              <w:top w:val="nil"/>
              <w:left w:val="nil"/>
              <w:bottom w:val="nil"/>
              <w:right w:val="nil"/>
            </w:tcBorders>
            <w:shd w:val="clear" w:color="000000" w:fill="FFFFFF"/>
            <w:noWrap/>
            <w:vAlign w:val="bottom"/>
            <w:hideMark/>
          </w:tcPr>
          <w:p w14:paraId="77EDEEB9"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DEC1F99"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66851C1A"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B94047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88" w:type="dxa"/>
            <w:tcBorders>
              <w:top w:val="nil"/>
              <w:left w:val="nil"/>
              <w:bottom w:val="nil"/>
              <w:right w:val="nil"/>
            </w:tcBorders>
            <w:shd w:val="clear" w:color="000000" w:fill="FFFFFF"/>
            <w:noWrap/>
            <w:vAlign w:val="bottom"/>
            <w:hideMark/>
          </w:tcPr>
          <w:p w14:paraId="187BF5BE"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68F297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r>
      <w:tr w:rsidR="008E51EC" w:rsidRPr="008E51EC" w14:paraId="19A432F7" w14:textId="77777777" w:rsidTr="008A4236">
        <w:trPr>
          <w:trHeight w:val="285"/>
        </w:trPr>
        <w:tc>
          <w:tcPr>
            <w:tcW w:w="3156" w:type="dxa"/>
            <w:tcBorders>
              <w:top w:val="nil"/>
              <w:left w:val="nil"/>
              <w:bottom w:val="nil"/>
              <w:right w:val="nil"/>
            </w:tcBorders>
            <w:shd w:val="clear" w:color="000000" w:fill="FFFFFF"/>
            <w:noWrap/>
            <w:vAlign w:val="bottom"/>
            <w:hideMark/>
          </w:tcPr>
          <w:p w14:paraId="407C7047"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Operating income (loss)</w:t>
            </w:r>
          </w:p>
        </w:tc>
        <w:tc>
          <w:tcPr>
            <w:tcW w:w="1096" w:type="dxa"/>
            <w:tcBorders>
              <w:top w:val="nil"/>
              <w:left w:val="nil"/>
              <w:bottom w:val="nil"/>
              <w:right w:val="nil"/>
            </w:tcBorders>
            <w:shd w:val="clear" w:color="000000" w:fill="FFFFFF"/>
            <w:noWrap/>
            <w:vAlign w:val="bottom"/>
            <w:hideMark/>
          </w:tcPr>
          <w:p w14:paraId="00EC342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88" w:type="dxa"/>
            <w:tcBorders>
              <w:top w:val="nil"/>
              <w:left w:val="nil"/>
              <w:bottom w:val="nil"/>
              <w:right w:val="nil"/>
            </w:tcBorders>
            <w:shd w:val="clear" w:color="000000" w:fill="FFFFFF"/>
            <w:noWrap/>
            <w:vAlign w:val="bottom"/>
            <w:hideMark/>
          </w:tcPr>
          <w:p w14:paraId="00998647"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CC0F78F"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288" w:type="dxa"/>
            <w:tcBorders>
              <w:top w:val="nil"/>
              <w:left w:val="nil"/>
              <w:bottom w:val="nil"/>
              <w:right w:val="nil"/>
            </w:tcBorders>
            <w:shd w:val="clear" w:color="000000" w:fill="FFFFFF"/>
            <w:noWrap/>
            <w:vAlign w:val="bottom"/>
            <w:hideMark/>
          </w:tcPr>
          <w:p w14:paraId="31E5FCE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F24143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288" w:type="dxa"/>
            <w:tcBorders>
              <w:top w:val="nil"/>
              <w:left w:val="nil"/>
              <w:bottom w:val="nil"/>
              <w:right w:val="nil"/>
            </w:tcBorders>
            <w:shd w:val="clear" w:color="000000" w:fill="FFFFFF"/>
            <w:noWrap/>
            <w:vAlign w:val="bottom"/>
            <w:hideMark/>
          </w:tcPr>
          <w:p w14:paraId="0627EEC4"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4FF8528"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r>
      <w:tr w:rsidR="008E51EC" w:rsidRPr="008E51EC" w14:paraId="0F122CEB" w14:textId="77777777" w:rsidTr="008A4236">
        <w:trPr>
          <w:trHeight w:val="285"/>
        </w:trPr>
        <w:tc>
          <w:tcPr>
            <w:tcW w:w="3156" w:type="dxa"/>
            <w:tcBorders>
              <w:top w:val="nil"/>
              <w:left w:val="nil"/>
              <w:bottom w:val="nil"/>
              <w:right w:val="nil"/>
            </w:tcBorders>
            <w:shd w:val="clear" w:color="000000" w:fill="FFFFFF"/>
            <w:noWrap/>
            <w:vAlign w:val="bottom"/>
            <w:hideMark/>
          </w:tcPr>
          <w:p w14:paraId="4B43E2A1"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Windows Division</w:t>
            </w:r>
          </w:p>
        </w:tc>
        <w:tc>
          <w:tcPr>
            <w:tcW w:w="1096" w:type="dxa"/>
            <w:tcBorders>
              <w:top w:val="nil"/>
              <w:left w:val="nil"/>
              <w:bottom w:val="nil"/>
              <w:right w:val="nil"/>
            </w:tcBorders>
            <w:shd w:val="clear" w:color="000000" w:fill="FFFFFF"/>
            <w:noWrap/>
            <w:vAlign w:val="bottom"/>
            <w:hideMark/>
          </w:tcPr>
          <w:p w14:paraId="065A1D7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1,099 </w:t>
            </w:r>
          </w:p>
        </w:tc>
        <w:tc>
          <w:tcPr>
            <w:tcW w:w="288" w:type="dxa"/>
            <w:tcBorders>
              <w:top w:val="nil"/>
              <w:left w:val="nil"/>
              <w:bottom w:val="nil"/>
              <w:right w:val="nil"/>
            </w:tcBorders>
            <w:shd w:val="clear" w:color="000000" w:fill="FFFFFF"/>
            <w:noWrap/>
            <w:vAlign w:val="bottom"/>
            <w:hideMark/>
          </w:tcPr>
          <w:p w14:paraId="4A295C69"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FCAFD7D"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2,422 </w:t>
            </w:r>
          </w:p>
        </w:tc>
        <w:tc>
          <w:tcPr>
            <w:tcW w:w="288" w:type="dxa"/>
            <w:tcBorders>
              <w:top w:val="nil"/>
              <w:left w:val="nil"/>
              <w:bottom w:val="nil"/>
              <w:right w:val="nil"/>
            </w:tcBorders>
            <w:shd w:val="clear" w:color="000000" w:fill="FFFFFF"/>
            <w:noWrap/>
            <w:vAlign w:val="bottom"/>
            <w:hideMark/>
          </w:tcPr>
          <w:p w14:paraId="196B79FB"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B33564B"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9,504 </w:t>
            </w:r>
          </w:p>
        </w:tc>
        <w:tc>
          <w:tcPr>
            <w:tcW w:w="288" w:type="dxa"/>
            <w:tcBorders>
              <w:top w:val="nil"/>
              <w:left w:val="nil"/>
              <w:bottom w:val="nil"/>
              <w:right w:val="nil"/>
            </w:tcBorders>
            <w:shd w:val="clear" w:color="000000" w:fill="FFFFFF"/>
            <w:noWrap/>
            <w:vAlign w:val="bottom"/>
            <w:hideMark/>
          </w:tcPr>
          <w:p w14:paraId="0B82595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2AAD74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$11,555 </w:t>
            </w:r>
          </w:p>
        </w:tc>
      </w:tr>
      <w:tr w:rsidR="008E51EC" w:rsidRPr="008E51EC" w14:paraId="4AF1BC9D" w14:textId="77777777" w:rsidTr="008A4236">
        <w:trPr>
          <w:trHeight w:val="285"/>
        </w:trPr>
        <w:tc>
          <w:tcPr>
            <w:tcW w:w="3156" w:type="dxa"/>
            <w:tcBorders>
              <w:top w:val="nil"/>
              <w:left w:val="nil"/>
              <w:bottom w:val="nil"/>
              <w:right w:val="nil"/>
            </w:tcBorders>
            <w:shd w:val="clear" w:color="000000" w:fill="FFFFFF"/>
            <w:noWrap/>
            <w:vAlign w:val="bottom"/>
            <w:hideMark/>
          </w:tcPr>
          <w:p w14:paraId="4751F096"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Server and Tools</w:t>
            </w:r>
          </w:p>
        </w:tc>
        <w:tc>
          <w:tcPr>
            <w:tcW w:w="1096" w:type="dxa"/>
            <w:tcBorders>
              <w:top w:val="nil"/>
              <w:left w:val="nil"/>
              <w:bottom w:val="nil"/>
              <w:right w:val="nil"/>
            </w:tcBorders>
            <w:shd w:val="clear" w:color="000000" w:fill="FFFFFF"/>
            <w:noWrap/>
            <w:vAlign w:val="bottom"/>
            <w:hideMark/>
          </w:tcPr>
          <w:p w14:paraId="2D8793B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2,325 </w:t>
            </w:r>
          </w:p>
        </w:tc>
        <w:tc>
          <w:tcPr>
            <w:tcW w:w="288" w:type="dxa"/>
            <w:tcBorders>
              <w:top w:val="nil"/>
              <w:left w:val="nil"/>
              <w:bottom w:val="nil"/>
              <w:right w:val="nil"/>
            </w:tcBorders>
            <w:shd w:val="clear" w:color="000000" w:fill="FFFFFF"/>
            <w:noWrap/>
            <w:vAlign w:val="bottom"/>
            <w:hideMark/>
          </w:tcPr>
          <w:p w14:paraId="4539C80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54BC0032"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2,040 </w:t>
            </w:r>
          </w:p>
        </w:tc>
        <w:tc>
          <w:tcPr>
            <w:tcW w:w="288" w:type="dxa"/>
            <w:tcBorders>
              <w:top w:val="nil"/>
              <w:left w:val="nil"/>
              <w:bottom w:val="nil"/>
              <w:right w:val="nil"/>
            </w:tcBorders>
            <w:shd w:val="clear" w:color="000000" w:fill="FFFFFF"/>
            <w:noWrap/>
            <w:vAlign w:val="bottom"/>
            <w:hideMark/>
          </w:tcPr>
          <w:p w14:paraId="4B6072D4"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E2201B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8,164 </w:t>
            </w:r>
          </w:p>
        </w:tc>
        <w:tc>
          <w:tcPr>
            <w:tcW w:w="288" w:type="dxa"/>
            <w:tcBorders>
              <w:top w:val="nil"/>
              <w:left w:val="nil"/>
              <w:bottom w:val="nil"/>
              <w:right w:val="nil"/>
            </w:tcBorders>
            <w:shd w:val="clear" w:color="000000" w:fill="FFFFFF"/>
            <w:noWrap/>
            <w:vAlign w:val="bottom"/>
            <w:hideMark/>
          </w:tcPr>
          <w:p w14:paraId="09A9778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55AE436"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7,235 </w:t>
            </w:r>
          </w:p>
        </w:tc>
      </w:tr>
      <w:tr w:rsidR="008E51EC" w:rsidRPr="008E51EC" w14:paraId="7DAC7C84" w14:textId="77777777" w:rsidTr="008A4236">
        <w:trPr>
          <w:trHeight w:val="315"/>
        </w:trPr>
        <w:tc>
          <w:tcPr>
            <w:tcW w:w="3156" w:type="dxa"/>
            <w:tcBorders>
              <w:top w:val="nil"/>
              <w:left w:val="nil"/>
              <w:bottom w:val="nil"/>
              <w:right w:val="nil"/>
            </w:tcBorders>
            <w:shd w:val="clear" w:color="000000" w:fill="FFFFFF"/>
            <w:noWrap/>
            <w:vAlign w:val="bottom"/>
            <w:hideMark/>
          </w:tcPr>
          <w:p w14:paraId="36DDBA70"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Online Services Division</w:t>
            </w:r>
          </w:p>
        </w:tc>
        <w:tc>
          <w:tcPr>
            <w:tcW w:w="1096" w:type="dxa"/>
            <w:tcBorders>
              <w:top w:val="nil"/>
              <w:left w:val="nil"/>
              <w:bottom w:val="nil"/>
              <w:right w:val="nil"/>
            </w:tcBorders>
            <w:shd w:val="clear" w:color="000000" w:fill="FFFFFF"/>
            <w:noWrap/>
            <w:vAlign w:val="bottom"/>
            <w:hideMark/>
          </w:tcPr>
          <w:p w14:paraId="734627A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(372)</w:t>
            </w:r>
          </w:p>
        </w:tc>
        <w:tc>
          <w:tcPr>
            <w:tcW w:w="288" w:type="dxa"/>
            <w:tcBorders>
              <w:top w:val="nil"/>
              <w:left w:val="nil"/>
              <w:bottom w:val="nil"/>
              <w:right w:val="nil"/>
            </w:tcBorders>
            <w:shd w:val="clear" w:color="000000" w:fill="FFFFFF"/>
            <w:noWrap/>
            <w:vAlign w:val="bottom"/>
            <w:hideMark/>
          </w:tcPr>
          <w:p w14:paraId="656B86F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692550D3"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(6,672)</w:t>
            </w:r>
          </w:p>
        </w:tc>
        <w:tc>
          <w:tcPr>
            <w:tcW w:w="288" w:type="dxa"/>
            <w:tcBorders>
              <w:top w:val="nil"/>
              <w:left w:val="nil"/>
              <w:bottom w:val="nil"/>
              <w:right w:val="nil"/>
            </w:tcBorders>
            <w:shd w:val="clear" w:color="000000" w:fill="FFFFFF"/>
            <w:noWrap/>
            <w:vAlign w:val="bottom"/>
            <w:hideMark/>
          </w:tcPr>
          <w:p w14:paraId="579A971A"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0A3A23A"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(1,281)</w:t>
            </w:r>
          </w:p>
        </w:tc>
        <w:tc>
          <w:tcPr>
            <w:tcW w:w="288" w:type="dxa"/>
            <w:tcBorders>
              <w:top w:val="nil"/>
              <w:left w:val="nil"/>
              <w:bottom w:val="nil"/>
              <w:right w:val="nil"/>
            </w:tcBorders>
            <w:shd w:val="clear" w:color="000000" w:fill="FFFFFF"/>
            <w:noWrap/>
            <w:vAlign w:val="bottom"/>
            <w:hideMark/>
          </w:tcPr>
          <w:p w14:paraId="0093667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31CF6D9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(8,125)</w:t>
            </w:r>
          </w:p>
        </w:tc>
      </w:tr>
      <w:tr w:rsidR="008E51EC" w:rsidRPr="008E51EC" w14:paraId="40123469" w14:textId="77777777" w:rsidTr="008A4236">
        <w:trPr>
          <w:trHeight w:val="285"/>
        </w:trPr>
        <w:tc>
          <w:tcPr>
            <w:tcW w:w="3156" w:type="dxa"/>
            <w:tcBorders>
              <w:top w:val="nil"/>
              <w:left w:val="nil"/>
              <w:bottom w:val="nil"/>
              <w:right w:val="nil"/>
            </w:tcBorders>
            <w:shd w:val="clear" w:color="000000" w:fill="FFFFFF"/>
            <w:noWrap/>
            <w:vAlign w:val="bottom"/>
            <w:hideMark/>
          </w:tcPr>
          <w:p w14:paraId="5D31DBE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Microsoft Business Division</w:t>
            </w:r>
          </w:p>
        </w:tc>
        <w:tc>
          <w:tcPr>
            <w:tcW w:w="1096" w:type="dxa"/>
            <w:tcBorders>
              <w:top w:val="nil"/>
              <w:left w:val="nil"/>
              <w:bottom w:val="nil"/>
              <w:right w:val="nil"/>
            </w:tcBorders>
            <w:shd w:val="clear" w:color="000000" w:fill="FFFFFF"/>
            <w:noWrap/>
            <w:vAlign w:val="bottom"/>
            <w:hideMark/>
          </w:tcPr>
          <w:p w14:paraId="5CCE56EE"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4,873 </w:t>
            </w:r>
          </w:p>
        </w:tc>
        <w:tc>
          <w:tcPr>
            <w:tcW w:w="288" w:type="dxa"/>
            <w:tcBorders>
              <w:top w:val="nil"/>
              <w:left w:val="nil"/>
              <w:bottom w:val="nil"/>
              <w:right w:val="nil"/>
            </w:tcBorders>
            <w:shd w:val="clear" w:color="000000" w:fill="FFFFFF"/>
            <w:noWrap/>
            <w:vAlign w:val="bottom"/>
            <w:hideMark/>
          </w:tcPr>
          <w:p w14:paraId="72E9C7C4"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DA1AC35"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4,128 </w:t>
            </w:r>
          </w:p>
        </w:tc>
        <w:tc>
          <w:tcPr>
            <w:tcW w:w="288" w:type="dxa"/>
            <w:tcBorders>
              <w:top w:val="nil"/>
              <w:left w:val="nil"/>
              <w:bottom w:val="nil"/>
              <w:right w:val="nil"/>
            </w:tcBorders>
            <w:shd w:val="clear" w:color="000000" w:fill="FFFFFF"/>
            <w:noWrap/>
            <w:vAlign w:val="bottom"/>
            <w:hideMark/>
          </w:tcPr>
          <w:p w14:paraId="0E58266D"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6C6EDC6"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16,194 </w:t>
            </w:r>
          </w:p>
        </w:tc>
        <w:tc>
          <w:tcPr>
            <w:tcW w:w="288" w:type="dxa"/>
            <w:tcBorders>
              <w:top w:val="nil"/>
              <w:left w:val="nil"/>
              <w:bottom w:val="nil"/>
              <w:right w:val="nil"/>
            </w:tcBorders>
            <w:shd w:val="clear" w:color="000000" w:fill="FFFFFF"/>
            <w:noWrap/>
            <w:vAlign w:val="bottom"/>
            <w:hideMark/>
          </w:tcPr>
          <w:p w14:paraId="789CBE63"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040C6AA"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15,832 </w:t>
            </w:r>
          </w:p>
        </w:tc>
      </w:tr>
      <w:tr w:rsidR="008E51EC" w:rsidRPr="008E51EC" w14:paraId="3C31A0C9" w14:textId="77777777" w:rsidTr="008A4236">
        <w:trPr>
          <w:trHeight w:val="285"/>
        </w:trPr>
        <w:tc>
          <w:tcPr>
            <w:tcW w:w="3156" w:type="dxa"/>
            <w:tcBorders>
              <w:top w:val="nil"/>
              <w:left w:val="nil"/>
              <w:bottom w:val="nil"/>
              <w:right w:val="nil"/>
            </w:tcBorders>
            <w:shd w:val="clear" w:color="000000" w:fill="FFFFFF"/>
            <w:noWrap/>
            <w:vAlign w:val="bottom"/>
            <w:hideMark/>
          </w:tcPr>
          <w:p w14:paraId="15717305"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Entertainment and Devices Division</w:t>
            </w:r>
          </w:p>
        </w:tc>
        <w:tc>
          <w:tcPr>
            <w:tcW w:w="1096" w:type="dxa"/>
            <w:tcBorders>
              <w:top w:val="nil"/>
              <w:left w:val="nil"/>
              <w:bottom w:val="nil"/>
              <w:right w:val="nil"/>
            </w:tcBorders>
            <w:shd w:val="clear" w:color="000000" w:fill="FFFFFF"/>
            <w:noWrap/>
            <w:vAlign w:val="bottom"/>
            <w:hideMark/>
          </w:tcPr>
          <w:p w14:paraId="3C56363F"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(110)</w:t>
            </w:r>
          </w:p>
        </w:tc>
        <w:tc>
          <w:tcPr>
            <w:tcW w:w="288" w:type="dxa"/>
            <w:tcBorders>
              <w:top w:val="nil"/>
              <w:left w:val="nil"/>
              <w:bottom w:val="nil"/>
              <w:right w:val="nil"/>
            </w:tcBorders>
            <w:shd w:val="clear" w:color="000000" w:fill="FFFFFF"/>
            <w:noWrap/>
            <w:vAlign w:val="bottom"/>
            <w:hideMark/>
          </w:tcPr>
          <w:p w14:paraId="526BE7E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0AC5AA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(252)</w:t>
            </w:r>
          </w:p>
        </w:tc>
        <w:tc>
          <w:tcPr>
            <w:tcW w:w="288" w:type="dxa"/>
            <w:tcBorders>
              <w:top w:val="nil"/>
              <w:left w:val="nil"/>
              <w:bottom w:val="nil"/>
              <w:right w:val="nil"/>
            </w:tcBorders>
            <w:shd w:val="clear" w:color="000000" w:fill="FFFFFF"/>
            <w:noWrap/>
            <w:vAlign w:val="bottom"/>
            <w:hideMark/>
          </w:tcPr>
          <w:p w14:paraId="3F1F0C1E"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520A501"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848 </w:t>
            </w:r>
          </w:p>
        </w:tc>
        <w:tc>
          <w:tcPr>
            <w:tcW w:w="288" w:type="dxa"/>
            <w:tcBorders>
              <w:top w:val="nil"/>
              <w:left w:val="nil"/>
              <w:bottom w:val="nil"/>
              <w:right w:val="nil"/>
            </w:tcBorders>
            <w:shd w:val="clear" w:color="000000" w:fill="FFFFFF"/>
            <w:noWrap/>
            <w:vAlign w:val="bottom"/>
            <w:hideMark/>
          </w:tcPr>
          <w:p w14:paraId="7066E37D"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632213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380 </w:t>
            </w:r>
          </w:p>
        </w:tc>
      </w:tr>
      <w:tr w:rsidR="008E51EC" w:rsidRPr="008E51EC" w14:paraId="29710EA7" w14:textId="77777777" w:rsidTr="008A4236">
        <w:trPr>
          <w:trHeight w:val="285"/>
        </w:trPr>
        <w:tc>
          <w:tcPr>
            <w:tcW w:w="3156" w:type="dxa"/>
            <w:tcBorders>
              <w:top w:val="nil"/>
              <w:left w:val="nil"/>
              <w:bottom w:val="single" w:sz="4" w:space="0" w:color="auto"/>
              <w:right w:val="nil"/>
            </w:tcBorders>
            <w:shd w:val="clear" w:color="000000" w:fill="FFFFFF"/>
            <w:noWrap/>
            <w:vAlign w:val="bottom"/>
            <w:hideMark/>
          </w:tcPr>
          <w:p w14:paraId="56F21C61"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Corporate-level activity</w:t>
            </w:r>
          </w:p>
        </w:tc>
        <w:tc>
          <w:tcPr>
            <w:tcW w:w="1096" w:type="dxa"/>
            <w:tcBorders>
              <w:top w:val="nil"/>
              <w:left w:val="nil"/>
              <w:bottom w:val="single" w:sz="4" w:space="0" w:color="auto"/>
              <w:right w:val="nil"/>
            </w:tcBorders>
            <w:shd w:val="clear" w:color="000000" w:fill="FFFFFF"/>
            <w:noWrap/>
            <w:vAlign w:val="bottom"/>
            <w:hideMark/>
          </w:tcPr>
          <w:p w14:paraId="21379B8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(1,742)</w:t>
            </w:r>
          </w:p>
        </w:tc>
        <w:tc>
          <w:tcPr>
            <w:tcW w:w="288" w:type="dxa"/>
            <w:tcBorders>
              <w:top w:val="nil"/>
              <w:left w:val="nil"/>
              <w:bottom w:val="nil"/>
              <w:right w:val="nil"/>
            </w:tcBorders>
            <w:shd w:val="clear" w:color="000000" w:fill="FFFFFF"/>
            <w:noWrap/>
            <w:vAlign w:val="bottom"/>
            <w:hideMark/>
          </w:tcPr>
          <w:p w14:paraId="6D55EE78"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14AA516E"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(1,474)</w:t>
            </w:r>
          </w:p>
        </w:tc>
        <w:tc>
          <w:tcPr>
            <w:tcW w:w="288" w:type="dxa"/>
            <w:tcBorders>
              <w:top w:val="nil"/>
              <w:left w:val="nil"/>
              <w:bottom w:val="nil"/>
              <w:right w:val="nil"/>
            </w:tcBorders>
            <w:shd w:val="clear" w:color="000000" w:fill="FFFFFF"/>
            <w:noWrap/>
            <w:vAlign w:val="bottom"/>
            <w:hideMark/>
          </w:tcPr>
          <w:p w14:paraId="6502A8B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320FB127"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(6,665)</w:t>
            </w:r>
          </w:p>
        </w:tc>
        <w:tc>
          <w:tcPr>
            <w:tcW w:w="288" w:type="dxa"/>
            <w:tcBorders>
              <w:top w:val="nil"/>
              <w:left w:val="nil"/>
              <w:bottom w:val="nil"/>
              <w:right w:val="nil"/>
            </w:tcBorders>
            <w:shd w:val="clear" w:color="000000" w:fill="FFFFFF"/>
            <w:noWrap/>
            <w:vAlign w:val="bottom"/>
            <w:hideMark/>
          </w:tcPr>
          <w:p w14:paraId="1F0BE6E2"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26A52B0B"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(5,114)</w:t>
            </w:r>
          </w:p>
        </w:tc>
      </w:tr>
      <w:tr w:rsidR="008E51EC" w:rsidRPr="008E51EC" w14:paraId="4488806A" w14:textId="77777777" w:rsidTr="008A4236">
        <w:trPr>
          <w:trHeight w:val="300"/>
        </w:trPr>
        <w:tc>
          <w:tcPr>
            <w:tcW w:w="3156" w:type="dxa"/>
            <w:tcBorders>
              <w:top w:val="nil"/>
              <w:left w:val="nil"/>
              <w:bottom w:val="nil"/>
              <w:right w:val="nil"/>
            </w:tcBorders>
            <w:shd w:val="clear" w:color="000000" w:fill="FFFFFF"/>
            <w:noWrap/>
            <w:vAlign w:val="bottom"/>
            <w:hideMark/>
          </w:tcPr>
          <w:p w14:paraId="714BE559"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Consolidated</w:t>
            </w:r>
          </w:p>
        </w:tc>
        <w:tc>
          <w:tcPr>
            <w:tcW w:w="1096" w:type="dxa"/>
            <w:tcBorders>
              <w:top w:val="nil"/>
              <w:left w:val="nil"/>
              <w:bottom w:val="single" w:sz="8" w:space="0" w:color="auto"/>
              <w:right w:val="nil"/>
            </w:tcBorders>
            <w:shd w:val="clear" w:color="000000" w:fill="FFFFFF"/>
            <w:noWrap/>
            <w:vAlign w:val="bottom"/>
            <w:hideMark/>
          </w:tcPr>
          <w:p w14:paraId="07AA6885"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6,073 </w:t>
            </w:r>
          </w:p>
        </w:tc>
        <w:tc>
          <w:tcPr>
            <w:tcW w:w="288" w:type="dxa"/>
            <w:tcBorders>
              <w:top w:val="nil"/>
              <w:left w:val="nil"/>
              <w:bottom w:val="nil"/>
              <w:right w:val="nil"/>
            </w:tcBorders>
            <w:shd w:val="clear" w:color="000000" w:fill="FFFFFF"/>
            <w:noWrap/>
            <w:vAlign w:val="bottom"/>
            <w:hideMark/>
          </w:tcPr>
          <w:p w14:paraId="2F785A0F"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3723BD9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     192 </w:t>
            </w:r>
          </w:p>
        </w:tc>
        <w:tc>
          <w:tcPr>
            <w:tcW w:w="288" w:type="dxa"/>
            <w:tcBorders>
              <w:top w:val="nil"/>
              <w:left w:val="nil"/>
              <w:bottom w:val="nil"/>
              <w:right w:val="nil"/>
            </w:tcBorders>
            <w:shd w:val="clear" w:color="000000" w:fill="FFFFFF"/>
            <w:noWrap/>
            <w:vAlign w:val="bottom"/>
            <w:hideMark/>
          </w:tcPr>
          <w:p w14:paraId="712C9F38" w14:textId="77777777" w:rsidR="008E51EC" w:rsidRPr="008E51EC" w:rsidRDefault="008E51EC" w:rsidP="008E51EC">
            <w:pPr>
              <w:spacing w:after="0" w:line="240" w:lineRule="auto"/>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57E519FC" w14:textId="77777777" w:rsidR="008E51EC" w:rsidRPr="008E51EC" w:rsidRDefault="008E51EC" w:rsidP="008E51EC">
            <w:pPr>
              <w:spacing w:after="0" w:line="240" w:lineRule="auto"/>
              <w:jc w:val="right"/>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xml:space="preserve"> $   26,764 </w:t>
            </w:r>
          </w:p>
        </w:tc>
        <w:tc>
          <w:tcPr>
            <w:tcW w:w="288" w:type="dxa"/>
            <w:tcBorders>
              <w:top w:val="nil"/>
              <w:left w:val="nil"/>
              <w:bottom w:val="nil"/>
              <w:right w:val="nil"/>
            </w:tcBorders>
            <w:shd w:val="clear" w:color="000000" w:fill="FFFFFF"/>
            <w:noWrap/>
            <w:vAlign w:val="bottom"/>
            <w:hideMark/>
          </w:tcPr>
          <w:p w14:paraId="0B22AF18" w14:textId="77777777" w:rsidR="008E51EC" w:rsidRPr="008E51EC" w:rsidRDefault="008E51EC" w:rsidP="008E51EC">
            <w:pPr>
              <w:spacing w:after="0" w:line="240" w:lineRule="auto"/>
              <w:rPr>
                <w:rFonts w:ascii="Segoe UI" w:eastAsia="Times New Roman" w:hAnsi="Segoe UI" w:cs="Segoe UI"/>
                <w:b/>
                <w:bCs/>
                <w:color w:val="666666"/>
                <w:sz w:val="20"/>
                <w:szCs w:val="20"/>
              </w:rPr>
            </w:pPr>
            <w:r w:rsidRPr="008E51E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4CA3D754" w14:textId="77777777" w:rsidR="008E51EC" w:rsidRPr="008E51EC" w:rsidRDefault="008E51EC" w:rsidP="008E51EC">
            <w:pPr>
              <w:spacing w:after="0" w:line="240" w:lineRule="auto"/>
              <w:jc w:val="right"/>
              <w:rPr>
                <w:rFonts w:ascii="Segoe UI" w:eastAsia="Times New Roman" w:hAnsi="Segoe UI" w:cs="Segoe UI"/>
                <w:color w:val="666666"/>
                <w:sz w:val="20"/>
                <w:szCs w:val="20"/>
              </w:rPr>
            </w:pPr>
            <w:r w:rsidRPr="008E51EC">
              <w:rPr>
                <w:rFonts w:ascii="Segoe UI" w:eastAsia="Times New Roman" w:hAnsi="Segoe UI" w:cs="Segoe UI"/>
                <w:color w:val="666666"/>
                <w:sz w:val="20"/>
                <w:szCs w:val="20"/>
              </w:rPr>
              <w:t xml:space="preserve"> $21,763 </w:t>
            </w:r>
          </w:p>
        </w:tc>
      </w:tr>
    </w:tbl>
    <w:p w14:paraId="52251F3E" w14:textId="77777777" w:rsidR="008E51EC" w:rsidRDefault="008E51EC" w:rsidP="0016352C"/>
    <w:p w14:paraId="202E9209" w14:textId="77777777" w:rsidR="008E51EC" w:rsidRDefault="008E51EC" w:rsidP="0016352C"/>
    <w:p w14:paraId="33587B03" w14:textId="77777777" w:rsidR="00CF6D7C" w:rsidRDefault="00CF6D7C" w:rsidP="0016352C"/>
    <w:p w14:paraId="45F9C7F5" w14:textId="77777777" w:rsidR="0016352C" w:rsidRDefault="0016352C" w:rsidP="0016352C">
      <w:bookmarkStart w:id="6" w:name="RANGE!A1:H28"/>
      <w:bookmarkEnd w:id="6"/>
      <w:r>
        <w:br w:type="page"/>
      </w:r>
    </w:p>
    <w:p w14:paraId="01BB059D" w14:textId="77777777" w:rsidR="00A97FF8" w:rsidRPr="008E4C0A" w:rsidRDefault="00A97FF8" w:rsidP="008E4C0A">
      <w:pPr>
        <w:pStyle w:val="NormalWeb"/>
        <w:keepNext/>
        <w:spacing w:before="270" w:beforeAutospacing="0" w:after="270" w:afterAutospacing="0"/>
        <w:jc w:val="center"/>
        <w:rPr>
          <w:rFonts w:ascii="Segoe UI" w:hAnsi="Segoe UI" w:cs="Segoe UI"/>
          <w:b/>
          <w:bCs/>
          <w:color w:val="666666"/>
          <w:sz w:val="20"/>
          <w:szCs w:val="20"/>
        </w:rPr>
      </w:pPr>
      <w:r w:rsidRPr="008E4C0A">
        <w:rPr>
          <w:rFonts w:ascii="Segoe UI" w:hAnsi="Segoe UI" w:cs="Segoe UI"/>
          <w:b/>
          <w:bCs/>
          <w:color w:val="666666"/>
          <w:sz w:val="20"/>
          <w:szCs w:val="20"/>
        </w:rPr>
        <w:lastRenderedPageBreak/>
        <w:t>MICROSOFT CORPORATION</w:t>
      </w:r>
    </w:p>
    <w:p w14:paraId="7ED3031E" w14:textId="77777777" w:rsidR="00A97FF8" w:rsidRPr="008E4C0A" w:rsidRDefault="00A97FF8" w:rsidP="008E4C0A">
      <w:pPr>
        <w:pStyle w:val="NormalWeb"/>
        <w:keepNext/>
        <w:spacing w:before="270" w:beforeAutospacing="0" w:after="270" w:afterAutospacing="0"/>
        <w:jc w:val="center"/>
        <w:rPr>
          <w:rFonts w:ascii="Segoe UI" w:hAnsi="Segoe UI" w:cs="Segoe UI"/>
          <w:b/>
          <w:bCs/>
          <w:color w:val="666666"/>
          <w:sz w:val="20"/>
          <w:szCs w:val="20"/>
        </w:rPr>
      </w:pPr>
      <w:r w:rsidRPr="008E4C0A">
        <w:rPr>
          <w:rFonts w:ascii="Segoe UI" w:hAnsi="Segoe UI" w:cs="Segoe UI"/>
          <w:b/>
          <w:bCs/>
          <w:color w:val="666666"/>
          <w:sz w:val="20"/>
          <w:szCs w:val="20"/>
        </w:rPr>
        <w:t>FOURTH QUARTER FINANCIAL HIGHLIGHTS</w:t>
      </w:r>
    </w:p>
    <w:p w14:paraId="503BD4D8" w14:textId="671F8886" w:rsidR="00C82433" w:rsidRPr="008E4C0A" w:rsidRDefault="00C82433" w:rsidP="00C82433">
      <w:pPr>
        <w:spacing w:after="270" w:line="280" w:lineRule="exact"/>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w:t>
      </w:r>
    </w:p>
    <w:p w14:paraId="002B80C1" w14:textId="77777777" w:rsidR="00A97FF8" w:rsidRPr="008E4C0A" w:rsidRDefault="00A97FF8" w:rsidP="008E4C0A">
      <w:pPr>
        <w:pStyle w:val="NormalWeb"/>
        <w:keepNext/>
        <w:spacing w:before="270" w:beforeAutospacing="0" w:after="270" w:afterAutospacing="0"/>
        <w:jc w:val="left"/>
        <w:rPr>
          <w:rFonts w:ascii="Segoe UI" w:hAnsi="Segoe UI" w:cs="Segoe UI"/>
          <w:b/>
          <w:bCs/>
          <w:color w:val="666666"/>
          <w:sz w:val="20"/>
          <w:szCs w:val="20"/>
        </w:rPr>
      </w:pPr>
      <w:r w:rsidRPr="008E4C0A">
        <w:rPr>
          <w:rFonts w:ascii="Segoe UI" w:hAnsi="Segoe UI" w:cs="Segoe UI"/>
          <w:b/>
          <w:bCs/>
          <w:color w:val="666666"/>
          <w:sz w:val="20"/>
          <w:szCs w:val="20"/>
        </w:rPr>
        <w:t>SUMMARY</w:t>
      </w:r>
    </w:p>
    <w:p w14:paraId="64560E9E" w14:textId="04986317" w:rsidR="00A97FF8" w:rsidRPr="003F188D" w:rsidRDefault="00A97FF8" w:rsidP="00BE40D4">
      <w:pPr>
        <w:spacing w:before="120" w:line="280" w:lineRule="exact"/>
        <w:rPr>
          <w:rFonts w:ascii="Segoe UI" w:hAnsi="Segoe UI" w:cs="Segoe UI"/>
          <w:color w:val="666666"/>
          <w:sz w:val="20"/>
          <w:szCs w:val="20"/>
        </w:rPr>
      </w:pPr>
      <w:r w:rsidRPr="003F188D">
        <w:rPr>
          <w:rFonts w:ascii="Segoe UI" w:hAnsi="Segoe UI" w:cs="Segoe UI"/>
          <w:color w:val="666666"/>
          <w:sz w:val="20"/>
          <w:szCs w:val="20"/>
        </w:rPr>
        <w:t>This quarter demonstrated both the momentum that Microsoft is experiencing with business customers, as well as the work ahead of us as the device market continues its evolution.  Business customers continue to choose Microsoft products for the functionality, flexibility</w:t>
      </w:r>
      <w:r w:rsidR="004F2A1B">
        <w:rPr>
          <w:rFonts w:ascii="Segoe UI" w:hAnsi="Segoe UI" w:cs="Segoe UI"/>
          <w:color w:val="666666"/>
          <w:sz w:val="20"/>
          <w:szCs w:val="20"/>
        </w:rPr>
        <w:t>,</w:t>
      </w:r>
      <w:r w:rsidRPr="003F188D">
        <w:rPr>
          <w:rFonts w:ascii="Segoe UI" w:hAnsi="Segoe UI" w:cs="Segoe UI"/>
          <w:color w:val="666666"/>
          <w:sz w:val="20"/>
          <w:szCs w:val="20"/>
        </w:rPr>
        <w:t xml:space="preserve"> and value they receive, particularly as they look to take advantage of the cloud.  Products such as Offic</w:t>
      </w:r>
      <w:r w:rsidR="00BE40D4">
        <w:rPr>
          <w:rFonts w:ascii="Segoe UI" w:hAnsi="Segoe UI" w:cs="Segoe UI"/>
          <w:color w:val="666666"/>
          <w:sz w:val="20"/>
          <w:szCs w:val="20"/>
        </w:rPr>
        <w:t xml:space="preserve">e 365 and Windows Azure provide </w:t>
      </w:r>
      <w:r w:rsidRPr="003F188D">
        <w:rPr>
          <w:rFonts w:ascii="Segoe UI" w:hAnsi="Segoe UI" w:cs="Segoe UI"/>
          <w:color w:val="666666"/>
          <w:sz w:val="20"/>
          <w:szCs w:val="20"/>
        </w:rPr>
        <w:t xml:space="preserve">organizations cloud solutions to complement and extend the functionality of their </w:t>
      </w:r>
      <w:proofErr w:type="spellStart"/>
      <w:r w:rsidRPr="003F188D">
        <w:rPr>
          <w:rFonts w:ascii="Segoe UI" w:hAnsi="Segoe UI" w:cs="Segoe UI"/>
          <w:color w:val="666666"/>
          <w:sz w:val="20"/>
          <w:szCs w:val="20"/>
        </w:rPr>
        <w:t>on-premise</w:t>
      </w:r>
      <w:proofErr w:type="spellEnd"/>
      <w:r w:rsidRPr="003F188D">
        <w:rPr>
          <w:rFonts w:ascii="Segoe UI" w:hAnsi="Segoe UI" w:cs="Segoe UI"/>
          <w:color w:val="666666"/>
          <w:sz w:val="20"/>
          <w:szCs w:val="20"/>
        </w:rPr>
        <w:t xml:space="preserve"> counterparts of Office and Windows Server.  With the transition to cloud services, </w:t>
      </w:r>
      <w:r w:rsidR="00D10219" w:rsidRPr="003F188D">
        <w:rPr>
          <w:rFonts w:ascii="Segoe UI" w:hAnsi="Segoe UI" w:cs="Segoe UI"/>
          <w:color w:val="666666"/>
          <w:sz w:val="20"/>
          <w:szCs w:val="20"/>
        </w:rPr>
        <w:t xml:space="preserve">and the </w:t>
      </w:r>
      <w:proofErr w:type="spellStart"/>
      <w:r w:rsidR="00281CE3">
        <w:rPr>
          <w:rFonts w:ascii="Segoe UI" w:hAnsi="Segoe UI" w:cs="Segoe UI"/>
          <w:color w:val="666666"/>
          <w:sz w:val="20"/>
          <w:szCs w:val="20"/>
        </w:rPr>
        <w:t>consumerization</w:t>
      </w:r>
      <w:proofErr w:type="spellEnd"/>
      <w:r w:rsidR="00281CE3">
        <w:rPr>
          <w:rFonts w:ascii="Segoe UI" w:hAnsi="Segoe UI" w:cs="Segoe UI"/>
          <w:color w:val="666666"/>
          <w:sz w:val="20"/>
          <w:szCs w:val="20"/>
        </w:rPr>
        <w:t xml:space="preserve"> of IT, CIO</w:t>
      </w:r>
      <w:r w:rsidRPr="003F188D">
        <w:rPr>
          <w:rFonts w:ascii="Segoe UI" w:hAnsi="Segoe UI" w:cs="Segoe UI"/>
          <w:color w:val="666666"/>
          <w:sz w:val="20"/>
          <w:szCs w:val="20"/>
        </w:rPr>
        <w:t xml:space="preserve">s are also looking to Microsoft products such </w:t>
      </w:r>
      <w:r w:rsidR="004F2A1B">
        <w:rPr>
          <w:rFonts w:ascii="Segoe UI" w:hAnsi="Segoe UI" w:cs="Segoe UI"/>
          <w:color w:val="666666"/>
          <w:sz w:val="20"/>
          <w:szCs w:val="20"/>
        </w:rPr>
        <w:t xml:space="preserve">as </w:t>
      </w:r>
      <w:r w:rsidRPr="003F188D">
        <w:rPr>
          <w:rFonts w:ascii="Segoe UI" w:hAnsi="Segoe UI" w:cs="Segoe UI"/>
          <w:color w:val="666666"/>
          <w:sz w:val="20"/>
          <w:szCs w:val="20"/>
        </w:rPr>
        <w:t xml:space="preserve">Windows, </w:t>
      </w:r>
      <w:r w:rsidR="00D10219" w:rsidRPr="003F188D">
        <w:rPr>
          <w:rFonts w:ascii="Segoe UI" w:hAnsi="Segoe UI" w:cs="Segoe UI"/>
          <w:color w:val="666666"/>
          <w:sz w:val="20"/>
          <w:szCs w:val="20"/>
        </w:rPr>
        <w:t>Windows Server</w:t>
      </w:r>
      <w:r w:rsidR="004F2A1B">
        <w:rPr>
          <w:rFonts w:ascii="Segoe UI" w:hAnsi="Segoe UI" w:cs="Segoe UI"/>
          <w:color w:val="666666"/>
          <w:sz w:val="20"/>
          <w:szCs w:val="20"/>
        </w:rPr>
        <w:t>,</w:t>
      </w:r>
      <w:r w:rsidR="00D10219" w:rsidRPr="003F188D">
        <w:rPr>
          <w:rFonts w:ascii="Segoe UI" w:hAnsi="Segoe UI" w:cs="Segoe UI"/>
          <w:color w:val="666666"/>
          <w:sz w:val="20"/>
          <w:szCs w:val="20"/>
        </w:rPr>
        <w:t xml:space="preserve"> and </w:t>
      </w:r>
      <w:r w:rsidRPr="003F188D">
        <w:rPr>
          <w:rFonts w:ascii="Segoe UI" w:hAnsi="Segoe UI" w:cs="Segoe UI"/>
          <w:color w:val="666666"/>
          <w:sz w:val="20"/>
          <w:szCs w:val="20"/>
        </w:rPr>
        <w:t xml:space="preserve">System Center, to address their management and security concerns. Within the device market, the shift towards mobile and touch enabled devices continued.  Windows 8, and the Windows 8.1 update which is now in preview, brings Windows to these new classes of devices.  Collectively the Windows ecosystem is also moving to meet the changes necessitated by this evolution, as demonstrated by lower priced devices, improved battery life, and an increasing number of touch enabled Windows devices available in the market. </w:t>
      </w:r>
      <w:r w:rsidR="00C507C0">
        <w:rPr>
          <w:rFonts w:ascii="Segoe UI" w:hAnsi="Segoe UI" w:cs="Segoe UI"/>
          <w:color w:val="666666"/>
          <w:sz w:val="20"/>
          <w:szCs w:val="20"/>
        </w:rPr>
        <w:t xml:space="preserve">The Windows ecosystem must make progress on these fronts, over time, for Windows to </w:t>
      </w:r>
      <w:r w:rsidR="00524A43">
        <w:rPr>
          <w:rFonts w:ascii="Segoe UI" w:hAnsi="Segoe UI" w:cs="Segoe UI"/>
          <w:color w:val="666666"/>
          <w:sz w:val="20"/>
          <w:szCs w:val="20"/>
        </w:rPr>
        <w:t>build</w:t>
      </w:r>
      <w:r w:rsidRPr="003F188D">
        <w:rPr>
          <w:rFonts w:ascii="Segoe UI" w:hAnsi="Segoe UI" w:cs="Segoe UI"/>
          <w:color w:val="666666"/>
          <w:sz w:val="20"/>
          <w:szCs w:val="20"/>
        </w:rPr>
        <w:t xml:space="preserve"> share</w:t>
      </w:r>
      <w:r w:rsidR="00524A43">
        <w:rPr>
          <w:rFonts w:ascii="Segoe UI" w:hAnsi="Segoe UI" w:cs="Segoe UI"/>
          <w:color w:val="666666"/>
          <w:sz w:val="20"/>
          <w:szCs w:val="20"/>
        </w:rPr>
        <w:t xml:space="preserve"> in this evolving universe</w:t>
      </w:r>
      <w:r w:rsidRPr="003F188D">
        <w:rPr>
          <w:rFonts w:ascii="Segoe UI" w:hAnsi="Segoe UI" w:cs="Segoe UI"/>
          <w:color w:val="666666"/>
          <w:sz w:val="20"/>
          <w:szCs w:val="20"/>
        </w:rPr>
        <w:t xml:space="preserve"> of d</w:t>
      </w:r>
      <w:r w:rsidR="00524A43">
        <w:rPr>
          <w:rFonts w:ascii="Segoe UI" w:hAnsi="Segoe UI" w:cs="Segoe UI"/>
          <w:color w:val="666666"/>
          <w:sz w:val="20"/>
          <w:szCs w:val="20"/>
        </w:rPr>
        <w:t>evices.</w:t>
      </w:r>
    </w:p>
    <w:p w14:paraId="547BA507" w14:textId="77777777" w:rsidR="00A97FF8" w:rsidRPr="008E4C0A" w:rsidRDefault="00A97FF8" w:rsidP="00A97FF8">
      <w:pPr>
        <w:spacing w:before="120" w:line="280" w:lineRule="exact"/>
        <w:rPr>
          <w:rFonts w:ascii="Segoe UI" w:hAnsi="Segoe UI" w:cs="Segoe UI"/>
          <w:color w:val="666666"/>
          <w:sz w:val="20"/>
          <w:szCs w:val="20"/>
        </w:rPr>
      </w:pPr>
      <w:r w:rsidRPr="008E4C0A">
        <w:rPr>
          <w:rFonts w:ascii="Segoe UI" w:hAnsi="Segoe UI" w:cs="Segoe UI"/>
          <w:color w:val="666666"/>
          <w:sz w:val="20"/>
          <w:szCs w:val="20"/>
        </w:rPr>
        <w:t xml:space="preserve">Revenue this quarter was $19.9 billion, up 10% year over year.  Excluding the prior year deferral of $540 million related to the Windows Upgrade Offer, and the recognition of $782 million in this quarter associated with the Office Upgrade Offer, revenue grew $515 million, or 3%. Growth in Server and Tools revenue and revenue from new products and services, including Windows 8, Surface, and the new Office, was offset in part by the impact on revenue of a decline in the x86 PC market. </w:t>
      </w:r>
    </w:p>
    <w:p w14:paraId="2676F162" w14:textId="5D5A98AC" w:rsidR="00A97FF8" w:rsidRPr="008E4C0A" w:rsidRDefault="00A97FF8" w:rsidP="00A97FF8">
      <w:pPr>
        <w:spacing w:before="120" w:line="280" w:lineRule="exact"/>
        <w:rPr>
          <w:rFonts w:ascii="Segoe UI" w:hAnsi="Segoe UI" w:cs="Segoe UI"/>
          <w:color w:val="666666"/>
          <w:sz w:val="20"/>
          <w:szCs w:val="20"/>
        </w:rPr>
      </w:pPr>
      <w:r w:rsidRPr="008E4C0A">
        <w:rPr>
          <w:rFonts w:ascii="Segoe UI" w:hAnsi="Segoe UI" w:cs="Segoe UI"/>
          <w:color w:val="666666"/>
          <w:sz w:val="20"/>
          <w:szCs w:val="20"/>
        </w:rPr>
        <w:t xml:space="preserve">Enterprise demand for our products and services drove strong multi-year commitments resulting in record unearned revenue of $22.4 billion. As businesses invest in the Microsoft platform and our roadmap, they are doing so by attaching additional seats and additional products and services to their multi-year enterprise agreements.  </w:t>
      </w:r>
    </w:p>
    <w:p w14:paraId="3C170F66" w14:textId="5495893B" w:rsidR="00A97FF8" w:rsidRPr="008E4C0A" w:rsidRDefault="00A97FF8" w:rsidP="008E4C0A">
      <w:pPr>
        <w:spacing w:before="120" w:line="280" w:lineRule="exact"/>
        <w:rPr>
          <w:rFonts w:ascii="Segoe UI" w:hAnsi="Segoe UI" w:cs="Segoe UI"/>
          <w:color w:val="666666"/>
          <w:sz w:val="20"/>
          <w:szCs w:val="20"/>
        </w:rPr>
      </w:pPr>
      <w:r w:rsidRPr="008E4C0A">
        <w:rPr>
          <w:rFonts w:ascii="Segoe UI" w:hAnsi="Segoe UI" w:cs="Segoe UI"/>
          <w:color w:val="666666"/>
          <w:sz w:val="20"/>
          <w:szCs w:val="20"/>
        </w:rPr>
        <w:t>Cost of revenue grew $1.</w:t>
      </w:r>
      <w:r w:rsidR="00E56956">
        <w:rPr>
          <w:rFonts w:ascii="Segoe UI" w:hAnsi="Segoe UI" w:cs="Segoe UI"/>
          <w:color w:val="666666"/>
          <w:sz w:val="20"/>
          <w:szCs w:val="20"/>
        </w:rPr>
        <w:t>4</w:t>
      </w:r>
      <w:r w:rsidRPr="008E4C0A">
        <w:rPr>
          <w:rFonts w:ascii="Segoe UI" w:hAnsi="Segoe UI" w:cs="Segoe UI"/>
          <w:color w:val="666666"/>
          <w:sz w:val="20"/>
          <w:szCs w:val="20"/>
        </w:rPr>
        <w:t xml:space="preserve"> billion</w:t>
      </w:r>
      <w:r w:rsidR="00831849">
        <w:rPr>
          <w:rFonts w:ascii="Segoe UI" w:hAnsi="Segoe UI" w:cs="Segoe UI"/>
          <w:color w:val="666666"/>
          <w:sz w:val="20"/>
          <w:szCs w:val="20"/>
        </w:rPr>
        <w:t>,</w:t>
      </w:r>
      <w:r w:rsidRPr="008E4C0A">
        <w:rPr>
          <w:rFonts w:ascii="Segoe UI" w:hAnsi="Segoe UI" w:cs="Segoe UI"/>
          <w:color w:val="666666"/>
          <w:sz w:val="20"/>
          <w:szCs w:val="20"/>
        </w:rPr>
        <w:t xml:space="preserve"> or 3</w:t>
      </w:r>
      <w:r w:rsidR="00E56956">
        <w:rPr>
          <w:rFonts w:ascii="Segoe UI" w:hAnsi="Segoe UI" w:cs="Segoe UI"/>
          <w:color w:val="666666"/>
          <w:sz w:val="20"/>
          <w:szCs w:val="20"/>
        </w:rPr>
        <w:t>5</w:t>
      </w:r>
      <w:r w:rsidRPr="008E4C0A">
        <w:rPr>
          <w:rFonts w:ascii="Segoe UI" w:hAnsi="Segoe UI" w:cs="Segoe UI"/>
          <w:color w:val="666666"/>
          <w:sz w:val="20"/>
          <w:szCs w:val="20"/>
        </w:rPr>
        <w:t xml:space="preserve">%, primarily reflecting product costs associated with Surface and Windows 8, including </w:t>
      </w:r>
      <w:r w:rsidR="003221A2">
        <w:rPr>
          <w:rFonts w:ascii="Segoe UI" w:hAnsi="Segoe UI" w:cs="Segoe UI"/>
          <w:color w:val="666666"/>
          <w:sz w:val="20"/>
          <w:szCs w:val="20"/>
        </w:rPr>
        <w:t xml:space="preserve">a charge for </w:t>
      </w:r>
      <w:r w:rsidR="0041530F">
        <w:rPr>
          <w:rFonts w:ascii="Segoe UI" w:hAnsi="Segoe UI" w:cs="Segoe UI"/>
          <w:color w:val="666666"/>
          <w:sz w:val="20"/>
          <w:szCs w:val="20"/>
        </w:rPr>
        <w:t xml:space="preserve">Surface RT </w:t>
      </w:r>
      <w:r w:rsidRPr="008E4C0A">
        <w:rPr>
          <w:rFonts w:ascii="Segoe UI" w:hAnsi="Segoe UI" w:cs="Segoe UI"/>
          <w:color w:val="666666"/>
          <w:sz w:val="20"/>
          <w:szCs w:val="20"/>
        </w:rPr>
        <w:t>inventory</w:t>
      </w:r>
      <w:r w:rsidR="0041530F">
        <w:rPr>
          <w:rFonts w:ascii="Segoe UI" w:hAnsi="Segoe UI" w:cs="Segoe UI"/>
          <w:color w:val="666666"/>
          <w:sz w:val="20"/>
          <w:szCs w:val="20"/>
        </w:rPr>
        <w:t xml:space="preserve"> adjustments of approximately $9</w:t>
      </w:r>
      <w:r w:rsidRPr="008E4C0A">
        <w:rPr>
          <w:rFonts w:ascii="Segoe UI" w:hAnsi="Segoe UI" w:cs="Segoe UI"/>
          <w:color w:val="666666"/>
          <w:sz w:val="20"/>
          <w:szCs w:val="20"/>
        </w:rPr>
        <w:t>00 million, higher headcount-related expenses and increased online infrastructure expenses, offset in part by decre</w:t>
      </w:r>
      <w:r w:rsidR="00CE2576">
        <w:rPr>
          <w:rFonts w:ascii="Segoe UI" w:hAnsi="Segoe UI" w:cs="Segoe UI"/>
          <w:color w:val="666666"/>
          <w:sz w:val="20"/>
          <w:szCs w:val="20"/>
        </w:rPr>
        <w:t>ased traffic acquisition costs.</w:t>
      </w:r>
    </w:p>
    <w:p w14:paraId="5BB68AE1" w14:textId="43CB17C1" w:rsidR="00A97FF8" w:rsidRPr="000C44E5" w:rsidRDefault="00A97FF8" w:rsidP="00A97FF8">
      <w:pPr>
        <w:spacing w:before="120" w:line="280" w:lineRule="exact"/>
        <w:rPr>
          <w:rFonts w:ascii="Segoe UI" w:hAnsi="Segoe UI" w:cs="Segoe UI"/>
          <w:color w:val="666666"/>
          <w:sz w:val="20"/>
          <w:szCs w:val="20"/>
        </w:rPr>
      </w:pPr>
      <w:r w:rsidRPr="000C44E5">
        <w:rPr>
          <w:rFonts w:ascii="Segoe UI" w:hAnsi="Segoe UI" w:cs="Segoe UI"/>
          <w:color w:val="666666"/>
          <w:sz w:val="20"/>
          <w:szCs w:val="20"/>
        </w:rPr>
        <w:t>Operating expenses decreased primarily due to the $6.2 billion goodwill impairment charge related to our O</w:t>
      </w:r>
      <w:r w:rsidR="00D57CB8" w:rsidRPr="000C44E5">
        <w:rPr>
          <w:rFonts w:ascii="Segoe UI" w:hAnsi="Segoe UI" w:cs="Segoe UI"/>
          <w:color w:val="666666"/>
          <w:sz w:val="20"/>
          <w:szCs w:val="20"/>
        </w:rPr>
        <w:t>nline Services Division</w:t>
      </w:r>
      <w:r w:rsidRPr="000C44E5">
        <w:rPr>
          <w:rFonts w:ascii="Segoe UI" w:hAnsi="Segoe UI" w:cs="Segoe UI"/>
          <w:color w:val="666666"/>
          <w:sz w:val="20"/>
          <w:szCs w:val="20"/>
        </w:rPr>
        <w:t xml:space="preserve"> taken during the prior year. Excluding the goodwill impairment charge, other operating expenses increased primarily due to increased advertising of Windows 8 and Surface. </w:t>
      </w:r>
    </w:p>
    <w:p w14:paraId="04FAB6E1" w14:textId="03C8EFEA" w:rsidR="00A97FF8" w:rsidRPr="00E836B2" w:rsidRDefault="00A97FF8" w:rsidP="00E836B2">
      <w:pPr>
        <w:spacing w:before="120" w:line="280" w:lineRule="exact"/>
        <w:rPr>
          <w:rFonts w:ascii="Segoe UI" w:hAnsi="Segoe UI" w:cs="Segoe UI"/>
          <w:color w:val="666666"/>
          <w:sz w:val="20"/>
          <w:szCs w:val="20"/>
        </w:rPr>
      </w:pPr>
      <w:r w:rsidRPr="00E836B2">
        <w:rPr>
          <w:rFonts w:ascii="Segoe UI" w:hAnsi="Segoe UI" w:cs="Segoe UI"/>
          <w:color w:val="666666"/>
          <w:sz w:val="20"/>
          <w:szCs w:val="20"/>
        </w:rPr>
        <w:t xml:space="preserve">Our effective tax rate for the fourth quarter of fiscal year 2013 was </w:t>
      </w:r>
      <w:r w:rsidR="00E56956">
        <w:rPr>
          <w:rFonts w:ascii="Segoe UI" w:hAnsi="Segoe UI" w:cs="Segoe UI"/>
          <w:color w:val="666666"/>
          <w:sz w:val="20"/>
          <w:szCs w:val="20"/>
        </w:rPr>
        <w:t>19</w:t>
      </w:r>
      <w:r w:rsidRPr="00E836B2">
        <w:rPr>
          <w:rFonts w:ascii="Segoe UI" w:hAnsi="Segoe UI" w:cs="Segoe UI"/>
          <w:color w:val="666666"/>
          <w:sz w:val="20"/>
          <w:szCs w:val="20"/>
        </w:rPr>
        <w:t>% as compared to 237% for the fourth quarter of fiscal year 2012. Our effective tax rate decreased from the prior year due mainly to the non-tax deductible goodwill impairment charge in the prior year.</w:t>
      </w:r>
      <w:r w:rsidR="005F276E">
        <w:rPr>
          <w:rFonts w:ascii="Segoe UI" w:hAnsi="Segoe UI" w:cs="Segoe UI"/>
          <w:color w:val="666666"/>
          <w:sz w:val="20"/>
          <w:szCs w:val="20"/>
        </w:rPr>
        <w:t xml:space="preserve"> </w:t>
      </w:r>
      <w:r w:rsidR="0063073A">
        <w:rPr>
          <w:rFonts w:ascii="Segoe UI" w:hAnsi="Segoe UI" w:cs="Segoe UI"/>
          <w:color w:val="666666"/>
          <w:sz w:val="20"/>
          <w:szCs w:val="20"/>
        </w:rPr>
        <w:t>Adjusting for the non-tax deductible goodwill impairment charge, our effective tax rate for the fourth quarter of fiscal year 2012 was 13%.</w:t>
      </w:r>
    </w:p>
    <w:p w14:paraId="214680C0" w14:textId="5C8731E9" w:rsidR="00A97FF8" w:rsidRPr="00E836B2" w:rsidRDefault="00A97FF8" w:rsidP="00E836B2">
      <w:pPr>
        <w:spacing w:before="120" w:line="280" w:lineRule="exact"/>
        <w:rPr>
          <w:rFonts w:ascii="Segoe UI" w:hAnsi="Segoe UI" w:cs="Segoe UI"/>
          <w:color w:val="666666"/>
          <w:sz w:val="20"/>
          <w:szCs w:val="20"/>
        </w:rPr>
      </w:pPr>
      <w:r w:rsidRPr="00E836B2">
        <w:rPr>
          <w:rFonts w:ascii="Segoe UI" w:hAnsi="Segoe UI" w:cs="Segoe UI"/>
          <w:color w:val="666666"/>
          <w:sz w:val="20"/>
          <w:szCs w:val="20"/>
        </w:rPr>
        <w:t>Operating income was $6.</w:t>
      </w:r>
      <w:r w:rsidR="00E56956">
        <w:rPr>
          <w:rFonts w:ascii="Segoe UI" w:hAnsi="Segoe UI" w:cs="Segoe UI"/>
          <w:color w:val="666666"/>
          <w:sz w:val="20"/>
          <w:szCs w:val="20"/>
        </w:rPr>
        <w:t>1</w:t>
      </w:r>
      <w:r w:rsidRPr="00E836B2">
        <w:rPr>
          <w:rFonts w:ascii="Segoe UI" w:hAnsi="Segoe UI" w:cs="Segoe UI"/>
          <w:color w:val="666666"/>
          <w:sz w:val="20"/>
          <w:szCs w:val="20"/>
        </w:rPr>
        <w:t xml:space="preserve"> billion for the quarter, and diluted earnings per share was $0.</w:t>
      </w:r>
      <w:r w:rsidR="00E56956">
        <w:rPr>
          <w:rFonts w:ascii="Segoe UI" w:hAnsi="Segoe UI" w:cs="Segoe UI"/>
          <w:color w:val="666666"/>
          <w:sz w:val="20"/>
          <w:szCs w:val="20"/>
        </w:rPr>
        <w:t>59</w:t>
      </w:r>
      <w:r w:rsidRPr="00E836B2">
        <w:rPr>
          <w:rFonts w:ascii="Segoe UI" w:hAnsi="Segoe UI" w:cs="Segoe UI"/>
          <w:color w:val="666666"/>
          <w:sz w:val="20"/>
          <w:szCs w:val="20"/>
        </w:rPr>
        <w:t xml:space="preserve">. Adjusting for the $782 million impact from the recognition of revenue related to the Office Upgrade Offer, operating </w:t>
      </w:r>
      <w:r w:rsidRPr="00E836B2">
        <w:rPr>
          <w:rFonts w:ascii="Segoe UI" w:hAnsi="Segoe UI" w:cs="Segoe UI"/>
          <w:color w:val="666666"/>
          <w:sz w:val="20"/>
          <w:szCs w:val="20"/>
        </w:rPr>
        <w:lastRenderedPageBreak/>
        <w:t>income was $5.</w:t>
      </w:r>
      <w:r w:rsidR="00E56956">
        <w:rPr>
          <w:rFonts w:ascii="Segoe UI" w:hAnsi="Segoe UI" w:cs="Segoe UI"/>
          <w:color w:val="666666"/>
          <w:sz w:val="20"/>
          <w:szCs w:val="20"/>
        </w:rPr>
        <w:t>3</w:t>
      </w:r>
      <w:r w:rsidRPr="00E836B2">
        <w:rPr>
          <w:rFonts w:ascii="Segoe UI" w:hAnsi="Segoe UI" w:cs="Segoe UI"/>
          <w:color w:val="666666"/>
          <w:sz w:val="20"/>
          <w:szCs w:val="20"/>
        </w:rPr>
        <w:t xml:space="preserve"> billion, and diluted earni</w:t>
      </w:r>
      <w:r w:rsidR="0041530F">
        <w:rPr>
          <w:rFonts w:ascii="Segoe UI" w:hAnsi="Segoe UI" w:cs="Segoe UI"/>
          <w:color w:val="666666"/>
          <w:sz w:val="20"/>
          <w:szCs w:val="20"/>
        </w:rPr>
        <w:t>ngs per share was $0.5</w:t>
      </w:r>
      <w:r w:rsidR="00E56956">
        <w:rPr>
          <w:rFonts w:ascii="Segoe UI" w:hAnsi="Segoe UI" w:cs="Segoe UI"/>
          <w:color w:val="666666"/>
          <w:sz w:val="20"/>
          <w:szCs w:val="20"/>
        </w:rPr>
        <w:t>2</w:t>
      </w:r>
      <w:r w:rsidR="0041530F">
        <w:rPr>
          <w:rFonts w:ascii="Segoe UI" w:hAnsi="Segoe UI" w:cs="Segoe UI"/>
          <w:color w:val="666666"/>
          <w:sz w:val="20"/>
          <w:szCs w:val="20"/>
        </w:rPr>
        <w:t>.  The $9</w:t>
      </w:r>
      <w:r w:rsidRPr="00E836B2">
        <w:rPr>
          <w:rFonts w:ascii="Segoe UI" w:hAnsi="Segoe UI" w:cs="Segoe UI"/>
          <w:color w:val="666666"/>
          <w:sz w:val="20"/>
          <w:szCs w:val="20"/>
        </w:rPr>
        <w:t>00 million</w:t>
      </w:r>
      <w:r w:rsidR="003221A2">
        <w:rPr>
          <w:rFonts w:ascii="Segoe UI" w:hAnsi="Segoe UI" w:cs="Segoe UI"/>
          <w:color w:val="666666"/>
          <w:sz w:val="20"/>
          <w:szCs w:val="20"/>
        </w:rPr>
        <w:t xml:space="preserve"> charge for</w:t>
      </w:r>
      <w:r w:rsidRPr="00E836B2">
        <w:rPr>
          <w:rFonts w:ascii="Segoe UI" w:hAnsi="Segoe UI" w:cs="Segoe UI"/>
          <w:color w:val="666666"/>
          <w:sz w:val="20"/>
          <w:szCs w:val="20"/>
        </w:rPr>
        <w:t xml:space="preserve"> </w:t>
      </w:r>
      <w:r w:rsidR="0041530F">
        <w:rPr>
          <w:rFonts w:ascii="Segoe UI" w:hAnsi="Segoe UI" w:cs="Segoe UI"/>
          <w:color w:val="666666"/>
          <w:sz w:val="20"/>
          <w:szCs w:val="20"/>
        </w:rPr>
        <w:t xml:space="preserve">Surface RT </w:t>
      </w:r>
      <w:r w:rsidRPr="00E836B2">
        <w:rPr>
          <w:rFonts w:ascii="Segoe UI" w:hAnsi="Segoe UI" w:cs="Segoe UI"/>
          <w:color w:val="666666"/>
          <w:sz w:val="20"/>
          <w:szCs w:val="20"/>
        </w:rPr>
        <w:t>inventory adjustment</w:t>
      </w:r>
      <w:r w:rsidR="003221A2">
        <w:rPr>
          <w:rFonts w:ascii="Segoe UI" w:hAnsi="Segoe UI" w:cs="Segoe UI"/>
          <w:color w:val="666666"/>
          <w:sz w:val="20"/>
          <w:szCs w:val="20"/>
        </w:rPr>
        <w:t>s</w:t>
      </w:r>
      <w:r w:rsidRPr="00E836B2">
        <w:rPr>
          <w:rFonts w:ascii="Segoe UI" w:hAnsi="Segoe UI" w:cs="Segoe UI"/>
          <w:color w:val="666666"/>
          <w:sz w:val="20"/>
          <w:szCs w:val="20"/>
        </w:rPr>
        <w:t xml:space="preserve"> had a $0.0</w:t>
      </w:r>
      <w:r w:rsidR="00E56956">
        <w:rPr>
          <w:rFonts w:ascii="Segoe UI" w:hAnsi="Segoe UI" w:cs="Segoe UI"/>
          <w:color w:val="666666"/>
          <w:sz w:val="20"/>
          <w:szCs w:val="20"/>
        </w:rPr>
        <w:t>7</w:t>
      </w:r>
      <w:r w:rsidRPr="00E836B2">
        <w:rPr>
          <w:rFonts w:ascii="Segoe UI" w:hAnsi="Segoe UI" w:cs="Segoe UI"/>
          <w:color w:val="666666"/>
          <w:sz w:val="20"/>
          <w:szCs w:val="20"/>
        </w:rPr>
        <w:t xml:space="preserve"> negative impact to diluted earnings per share.</w:t>
      </w:r>
    </w:p>
    <w:p w14:paraId="28C60345" w14:textId="77777777" w:rsidR="00A97FF8" w:rsidRPr="00F1249C" w:rsidRDefault="00A97FF8" w:rsidP="00F1249C">
      <w:pPr>
        <w:pStyle w:val="NormalWeb"/>
        <w:keepNext/>
        <w:spacing w:before="270" w:beforeAutospacing="0" w:after="270" w:afterAutospacing="0"/>
        <w:jc w:val="left"/>
        <w:rPr>
          <w:rFonts w:ascii="Segoe UI" w:hAnsi="Segoe UI" w:cs="Segoe UI"/>
          <w:b/>
          <w:bCs/>
          <w:color w:val="666666"/>
          <w:sz w:val="20"/>
          <w:szCs w:val="20"/>
        </w:rPr>
      </w:pPr>
      <w:r w:rsidRPr="00F1249C">
        <w:rPr>
          <w:rFonts w:ascii="Segoe UI" w:hAnsi="Segoe UI" w:cs="Segoe UI"/>
          <w:b/>
          <w:bCs/>
          <w:color w:val="666666"/>
          <w:sz w:val="20"/>
          <w:szCs w:val="20"/>
        </w:rPr>
        <w:t>SEGMENT INFORMATION</w:t>
      </w:r>
    </w:p>
    <w:p w14:paraId="4F667AC3" w14:textId="77777777" w:rsidR="00A97FF8" w:rsidRPr="00F1249C" w:rsidRDefault="00A97FF8" w:rsidP="00F1249C">
      <w:pPr>
        <w:pStyle w:val="NormalWeb"/>
        <w:keepNext/>
        <w:spacing w:before="270" w:beforeAutospacing="0" w:after="270" w:afterAutospacing="0"/>
        <w:jc w:val="left"/>
        <w:rPr>
          <w:rFonts w:ascii="Segoe UI" w:hAnsi="Segoe UI" w:cs="Segoe UI"/>
          <w:b/>
          <w:bCs/>
          <w:i/>
          <w:color w:val="666666"/>
          <w:sz w:val="20"/>
          <w:szCs w:val="20"/>
        </w:rPr>
      </w:pPr>
      <w:r w:rsidRPr="00F1249C">
        <w:rPr>
          <w:rFonts w:ascii="Segoe UI" w:hAnsi="Segoe UI" w:cs="Segoe UI"/>
          <w:b/>
          <w:bCs/>
          <w:i/>
          <w:color w:val="666666"/>
          <w:sz w:val="20"/>
          <w:szCs w:val="20"/>
        </w:rPr>
        <w:t>Windows Division </w:t>
      </w:r>
    </w:p>
    <w:p w14:paraId="298064E8" w14:textId="54CA7E17" w:rsidR="00A97FF8" w:rsidRPr="00F1249C" w:rsidRDefault="00A97FF8" w:rsidP="00F1249C">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 xml:space="preserve">Windows continued its transition in the evolving device market.   This quarter, Microsoft saw businesses invest in the Windows platform with volume licensing revenue growing double-digits, and we estimate that the business PC market returned to modest growth.  The consumer PC market remains challenged and declined again this quarter.  </w:t>
      </w:r>
      <w:r w:rsidR="004F2A1B">
        <w:rPr>
          <w:rFonts w:ascii="Segoe UI" w:hAnsi="Segoe UI" w:cs="Segoe UI"/>
          <w:color w:val="666666"/>
          <w:sz w:val="20"/>
          <w:szCs w:val="20"/>
        </w:rPr>
        <w:t>During the quarter,</w:t>
      </w:r>
      <w:r w:rsidRPr="00F1249C">
        <w:rPr>
          <w:rFonts w:ascii="Segoe UI" w:hAnsi="Segoe UI" w:cs="Segoe UI"/>
          <w:color w:val="666666"/>
          <w:sz w:val="20"/>
          <w:szCs w:val="20"/>
        </w:rPr>
        <w:t xml:space="preserve"> both the distribution and geographic availability of the Surface RT and Surface Pro were expanded.</w:t>
      </w:r>
    </w:p>
    <w:p w14:paraId="3DABD87F" w14:textId="309897D9" w:rsidR="00A97FF8" w:rsidRPr="00F1249C" w:rsidRDefault="00A97FF8" w:rsidP="00F1249C">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Windows Division revenue increased $259 million</w:t>
      </w:r>
      <w:r w:rsidR="00820248">
        <w:rPr>
          <w:rFonts w:ascii="Segoe UI" w:hAnsi="Segoe UI" w:cs="Segoe UI"/>
          <w:color w:val="666666"/>
          <w:sz w:val="20"/>
          <w:szCs w:val="20"/>
        </w:rPr>
        <w:t>,</w:t>
      </w:r>
      <w:r w:rsidRPr="00F1249C">
        <w:rPr>
          <w:rFonts w:ascii="Segoe UI" w:hAnsi="Segoe UI" w:cs="Segoe UI"/>
          <w:color w:val="666666"/>
          <w:sz w:val="20"/>
          <w:szCs w:val="20"/>
        </w:rPr>
        <w:t xml:space="preserve"> or 6%. Adjusting for the impact of the $540 million revenue deferral in the prior year related to the Windows Upgrade Offer, Windows Division revenue declined $281 million, or 6%.  Increased commercial sales of Windows were largely offset by the impact on revenue of a decline in the x86 PC market. OEM revenue </w:t>
      </w:r>
      <w:r w:rsidR="00D65C2B" w:rsidRPr="00F1249C">
        <w:rPr>
          <w:rFonts w:ascii="Segoe UI" w:hAnsi="Segoe UI" w:cs="Segoe UI"/>
          <w:color w:val="666666"/>
          <w:sz w:val="20"/>
          <w:szCs w:val="20"/>
        </w:rPr>
        <w:t>in</w:t>
      </w:r>
      <w:r w:rsidRPr="00F1249C">
        <w:rPr>
          <w:rFonts w:ascii="Segoe UI" w:hAnsi="Segoe UI" w:cs="Segoe UI"/>
          <w:color w:val="666666"/>
          <w:sz w:val="20"/>
          <w:szCs w:val="20"/>
        </w:rPr>
        <w:t xml:space="preserve">creased 1%, </w:t>
      </w:r>
      <w:r w:rsidR="000278F4" w:rsidRPr="00F1249C">
        <w:rPr>
          <w:rFonts w:ascii="Segoe UI" w:hAnsi="Segoe UI" w:cs="Segoe UI"/>
          <w:color w:val="666666"/>
          <w:sz w:val="20"/>
          <w:szCs w:val="20"/>
        </w:rPr>
        <w:t xml:space="preserve">primarily reflecting the impact of the prior year deferral of $540 </w:t>
      </w:r>
      <w:r w:rsidR="003200B6" w:rsidRPr="00F1249C">
        <w:rPr>
          <w:rFonts w:ascii="Segoe UI" w:hAnsi="Segoe UI" w:cs="Segoe UI"/>
          <w:color w:val="666666"/>
          <w:sz w:val="20"/>
          <w:szCs w:val="20"/>
        </w:rPr>
        <w:t>million</w:t>
      </w:r>
      <w:r w:rsidR="000278F4" w:rsidRPr="00F1249C">
        <w:rPr>
          <w:rFonts w:ascii="Segoe UI" w:hAnsi="Segoe UI" w:cs="Segoe UI"/>
          <w:color w:val="666666"/>
          <w:sz w:val="20"/>
          <w:szCs w:val="20"/>
        </w:rPr>
        <w:t xml:space="preserve"> related to the Windows Upgrade Offer, largely offset by the </w:t>
      </w:r>
      <w:r w:rsidRPr="00F1249C">
        <w:rPr>
          <w:rFonts w:ascii="Segoe UI" w:hAnsi="Segoe UI" w:cs="Segoe UI"/>
          <w:color w:val="666666"/>
          <w:sz w:val="20"/>
          <w:szCs w:val="20"/>
        </w:rPr>
        <w:t>revenue impact from the decline in the x86 PC market</w:t>
      </w:r>
      <w:r w:rsidR="000278F4" w:rsidRPr="00F1249C">
        <w:rPr>
          <w:rFonts w:ascii="Segoe UI" w:hAnsi="Segoe UI" w:cs="Segoe UI"/>
          <w:color w:val="666666"/>
          <w:sz w:val="20"/>
          <w:szCs w:val="20"/>
        </w:rPr>
        <w:t xml:space="preserve">.  </w:t>
      </w:r>
      <w:r w:rsidRPr="00F1249C">
        <w:rPr>
          <w:rFonts w:ascii="Segoe UI" w:hAnsi="Segoe UI" w:cs="Segoe UI"/>
          <w:color w:val="666666"/>
          <w:sz w:val="20"/>
          <w:szCs w:val="20"/>
        </w:rPr>
        <w:t xml:space="preserve">Excluding the impact of the Windows Upgrade </w:t>
      </w:r>
      <w:r w:rsidR="00D57CB8" w:rsidRPr="00F1249C">
        <w:rPr>
          <w:rFonts w:ascii="Segoe UI" w:hAnsi="Segoe UI" w:cs="Segoe UI"/>
          <w:color w:val="666666"/>
          <w:sz w:val="20"/>
          <w:szCs w:val="20"/>
        </w:rPr>
        <w:t>O</w:t>
      </w:r>
      <w:r w:rsidRPr="00F1249C">
        <w:rPr>
          <w:rFonts w:ascii="Segoe UI" w:hAnsi="Segoe UI" w:cs="Segoe UI"/>
          <w:color w:val="666666"/>
          <w:sz w:val="20"/>
          <w:szCs w:val="20"/>
        </w:rPr>
        <w:t>ffer, OEM revenue decreased 15%, and was approximately 65% of total Windows Division revenue.</w:t>
      </w:r>
    </w:p>
    <w:p w14:paraId="049D4D2B" w14:textId="5D51E880" w:rsidR="00A97FF8" w:rsidRPr="00F1249C" w:rsidRDefault="00A97FF8" w:rsidP="00F1249C">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Windows Division operating income decreased $1.</w:t>
      </w:r>
      <w:r w:rsidR="00882EA2">
        <w:rPr>
          <w:rFonts w:ascii="Segoe UI" w:hAnsi="Segoe UI" w:cs="Segoe UI"/>
          <w:color w:val="666666"/>
          <w:sz w:val="20"/>
          <w:szCs w:val="20"/>
        </w:rPr>
        <w:t>3</w:t>
      </w:r>
      <w:r w:rsidRPr="00F1249C">
        <w:rPr>
          <w:rFonts w:ascii="Segoe UI" w:hAnsi="Segoe UI" w:cs="Segoe UI"/>
          <w:color w:val="666666"/>
          <w:sz w:val="20"/>
          <w:szCs w:val="20"/>
        </w:rPr>
        <w:t xml:space="preserve"> billion, primarily due to higher cost of revenue and sales and marketing expenses, offset in part by revenue growth. Cost of revenue increased $</w:t>
      </w:r>
      <w:r w:rsidR="00652B42">
        <w:rPr>
          <w:rFonts w:ascii="Segoe UI" w:hAnsi="Segoe UI" w:cs="Segoe UI"/>
          <w:color w:val="666666"/>
          <w:sz w:val="20"/>
          <w:szCs w:val="20"/>
        </w:rPr>
        <w:t xml:space="preserve">1.2 billion </w:t>
      </w:r>
      <w:r w:rsidRPr="00F1249C">
        <w:rPr>
          <w:rFonts w:ascii="Segoe UI" w:hAnsi="Segoe UI" w:cs="Segoe UI"/>
          <w:color w:val="666666"/>
          <w:sz w:val="20"/>
          <w:szCs w:val="20"/>
        </w:rPr>
        <w:t xml:space="preserve">primarily reflecting product costs associated with Surface and Windows 8, including </w:t>
      </w:r>
      <w:r w:rsidR="003221A2">
        <w:rPr>
          <w:rFonts w:ascii="Segoe UI" w:hAnsi="Segoe UI" w:cs="Segoe UI"/>
          <w:color w:val="666666"/>
          <w:sz w:val="20"/>
          <w:szCs w:val="20"/>
        </w:rPr>
        <w:t xml:space="preserve">the charge for </w:t>
      </w:r>
      <w:r w:rsidR="0041530F">
        <w:rPr>
          <w:rFonts w:ascii="Segoe UI" w:hAnsi="Segoe UI" w:cs="Segoe UI"/>
          <w:color w:val="666666"/>
          <w:sz w:val="20"/>
          <w:szCs w:val="20"/>
        </w:rPr>
        <w:t xml:space="preserve">Surface RT </w:t>
      </w:r>
      <w:r w:rsidRPr="00F1249C">
        <w:rPr>
          <w:rFonts w:ascii="Segoe UI" w:hAnsi="Segoe UI" w:cs="Segoe UI"/>
          <w:color w:val="666666"/>
          <w:sz w:val="20"/>
          <w:szCs w:val="20"/>
        </w:rPr>
        <w:t>inventory</w:t>
      </w:r>
      <w:r w:rsidR="0041530F">
        <w:rPr>
          <w:rFonts w:ascii="Segoe UI" w:hAnsi="Segoe UI" w:cs="Segoe UI"/>
          <w:color w:val="666666"/>
          <w:sz w:val="20"/>
          <w:szCs w:val="20"/>
        </w:rPr>
        <w:t xml:space="preserve"> adjustments of approximately $9</w:t>
      </w:r>
      <w:r w:rsidRPr="00F1249C">
        <w:rPr>
          <w:rFonts w:ascii="Segoe UI" w:hAnsi="Segoe UI" w:cs="Segoe UI"/>
          <w:color w:val="666666"/>
          <w:sz w:val="20"/>
          <w:szCs w:val="20"/>
        </w:rPr>
        <w:t xml:space="preserve">00 million. Sales and marketing expenses increased $344 million, reflecting advertising costs associated with Windows 8 and Surface.  </w:t>
      </w:r>
    </w:p>
    <w:p w14:paraId="21A6139C" w14:textId="77777777" w:rsidR="00A97FF8" w:rsidRPr="00F1249C" w:rsidRDefault="00A97FF8" w:rsidP="00F1249C">
      <w:pPr>
        <w:pStyle w:val="NormalWeb"/>
        <w:keepNext/>
        <w:spacing w:before="270" w:beforeAutospacing="0" w:after="270" w:afterAutospacing="0"/>
        <w:jc w:val="left"/>
        <w:rPr>
          <w:rFonts w:ascii="Segoe UI" w:hAnsi="Segoe UI" w:cs="Segoe UI"/>
          <w:b/>
          <w:bCs/>
          <w:i/>
          <w:color w:val="666666"/>
          <w:sz w:val="20"/>
          <w:szCs w:val="20"/>
        </w:rPr>
      </w:pPr>
      <w:r w:rsidRPr="00F1249C">
        <w:rPr>
          <w:rFonts w:ascii="Segoe UI" w:hAnsi="Segoe UI" w:cs="Segoe UI"/>
          <w:b/>
          <w:bCs/>
          <w:i/>
          <w:color w:val="666666"/>
          <w:sz w:val="20"/>
          <w:szCs w:val="20"/>
        </w:rPr>
        <w:t xml:space="preserve">Server and Tools </w:t>
      </w:r>
    </w:p>
    <w:p w14:paraId="7B4B08DB" w14:textId="6E276EE7" w:rsidR="00A97FF8" w:rsidRPr="00F1249C" w:rsidRDefault="00A97FF8" w:rsidP="00F1249C">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 xml:space="preserve">Server and Tools continued to grow against the backdrop of a soft server hardware market.  Particular strength was seen in our premium versions of Windows Server and Microsoft SQL Server, as customers look to meet their </w:t>
      </w:r>
      <w:r w:rsidR="001A13C8" w:rsidRPr="00F1249C">
        <w:rPr>
          <w:rFonts w:ascii="Segoe UI" w:hAnsi="Segoe UI" w:cs="Segoe UI"/>
          <w:color w:val="666666"/>
          <w:sz w:val="20"/>
          <w:szCs w:val="20"/>
        </w:rPr>
        <w:t xml:space="preserve">comprehensive </w:t>
      </w:r>
      <w:r w:rsidR="00CD2DE9">
        <w:rPr>
          <w:rFonts w:ascii="Segoe UI" w:hAnsi="Segoe UI" w:cs="Segoe UI"/>
          <w:color w:val="666666"/>
          <w:sz w:val="20"/>
          <w:szCs w:val="20"/>
        </w:rPr>
        <w:t>data</w:t>
      </w:r>
      <w:r w:rsidRPr="00F1249C">
        <w:rPr>
          <w:rFonts w:ascii="Segoe UI" w:hAnsi="Segoe UI" w:cs="Segoe UI"/>
          <w:color w:val="666666"/>
          <w:sz w:val="20"/>
          <w:szCs w:val="20"/>
        </w:rPr>
        <w:t>center and data platform needs.  Microsoft continued to invest in its infrastructure cloud offerings, and saw increased custome</w:t>
      </w:r>
      <w:r w:rsidR="001A13C8" w:rsidRPr="00F1249C">
        <w:rPr>
          <w:rFonts w:ascii="Segoe UI" w:hAnsi="Segoe UI" w:cs="Segoe UI"/>
          <w:color w:val="666666"/>
          <w:sz w:val="20"/>
          <w:szCs w:val="20"/>
        </w:rPr>
        <w:t>r adoption and upsell to higher-</w:t>
      </w:r>
      <w:r w:rsidRPr="00F1249C">
        <w:rPr>
          <w:rFonts w:ascii="Segoe UI" w:hAnsi="Segoe UI" w:cs="Segoe UI"/>
          <w:color w:val="666666"/>
          <w:sz w:val="20"/>
          <w:szCs w:val="20"/>
        </w:rPr>
        <w:t xml:space="preserve">level services.  Unearned revenue for the division grew 16% year over year, reflecting the long-term commitment that companies are making to Microsoft’s products. </w:t>
      </w:r>
    </w:p>
    <w:p w14:paraId="089FBAD0" w14:textId="0E49F6A3" w:rsidR="00A97FF8" w:rsidRPr="00F1249C" w:rsidRDefault="00A97FF8" w:rsidP="00F1249C">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Server and Tools revenue increased $452 million</w:t>
      </w:r>
      <w:r w:rsidR="00820248">
        <w:rPr>
          <w:rFonts w:ascii="Segoe UI" w:hAnsi="Segoe UI" w:cs="Segoe UI"/>
          <w:color w:val="666666"/>
          <w:sz w:val="20"/>
          <w:szCs w:val="20"/>
        </w:rPr>
        <w:t>,</w:t>
      </w:r>
      <w:r w:rsidRPr="00F1249C">
        <w:rPr>
          <w:rFonts w:ascii="Segoe UI" w:hAnsi="Segoe UI" w:cs="Segoe UI"/>
          <w:color w:val="666666"/>
          <w:sz w:val="20"/>
          <w:szCs w:val="20"/>
        </w:rPr>
        <w:t xml:space="preserve"> or 9%, primarily driven by product sales and Enterprise Services. </w:t>
      </w:r>
    </w:p>
    <w:p w14:paraId="72CE7DC6" w14:textId="1BF115B7" w:rsidR="00A97FF8" w:rsidRPr="00F1249C" w:rsidRDefault="00A97FF8" w:rsidP="00A97FF8">
      <w:pPr>
        <w:pStyle w:val="ListParagraph"/>
        <w:keepNext/>
        <w:numPr>
          <w:ilvl w:val="0"/>
          <w:numId w:val="13"/>
        </w:numPr>
        <w:spacing w:before="120" w:line="280" w:lineRule="exact"/>
        <w:rPr>
          <w:rFonts w:ascii="Segoe UI" w:hAnsi="Segoe UI" w:cs="Segoe UI"/>
          <w:color w:val="666666"/>
          <w:sz w:val="20"/>
          <w:szCs w:val="20"/>
        </w:rPr>
      </w:pPr>
      <w:r w:rsidRPr="00F1249C">
        <w:rPr>
          <w:rFonts w:ascii="Segoe UI" w:hAnsi="Segoe UI" w:cs="Segoe UI"/>
          <w:color w:val="666666"/>
          <w:sz w:val="20"/>
          <w:szCs w:val="20"/>
        </w:rPr>
        <w:t>Product revenue increased $356 million</w:t>
      </w:r>
      <w:r w:rsidR="00820248">
        <w:rPr>
          <w:rFonts w:ascii="Segoe UI" w:hAnsi="Segoe UI" w:cs="Segoe UI"/>
          <w:color w:val="666666"/>
          <w:sz w:val="20"/>
          <w:szCs w:val="20"/>
        </w:rPr>
        <w:t>,</w:t>
      </w:r>
      <w:r w:rsidRPr="00F1249C">
        <w:rPr>
          <w:rFonts w:ascii="Segoe UI" w:hAnsi="Segoe UI" w:cs="Segoe UI"/>
          <w:color w:val="666666"/>
          <w:sz w:val="20"/>
          <w:szCs w:val="20"/>
        </w:rPr>
        <w:t xml:space="preserve"> or 9%, driven primarily by growth in Microsoft SQL Server, System Center, and Windows Server. </w:t>
      </w:r>
    </w:p>
    <w:p w14:paraId="76BC0851" w14:textId="350BF77F" w:rsidR="00A97FF8" w:rsidRPr="00CF6D7C" w:rsidRDefault="00A97FF8" w:rsidP="00A97FF8">
      <w:pPr>
        <w:pStyle w:val="NormalWeb"/>
        <w:numPr>
          <w:ilvl w:val="0"/>
          <w:numId w:val="13"/>
        </w:numPr>
        <w:spacing w:before="120" w:beforeAutospacing="0" w:after="200" w:afterAutospacing="0" w:line="280" w:lineRule="exact"/>
        <w:jc w:val="left"/>
        <w:rPr>
          <w:rFonts w:ascii="Segoe UI" w:eastAsia="Calibri" w:hAnsi="Segoe UI" w:cs="Segoe UI"/>
          <w:color w:val="666666"/>
          <w:sz w:val="20"/>
          <w:szCs w:val="20"/>
        </w:rPr>
      </w:pPr>
      <w:r w:rsidRPr="00CF6D7C">
        <w:rPr>
          <w:rFonts w:ascii="Segoe UI" w:eastAsia="Calibri" w:hAnsi="Segoe UI" w:cs="Segoe UI"/>
          <w:color w:val="666666"/>
          <w:sz w:val="20"/>
          <w:szCs w:val="20"/>
        </w:rPr>
        <w:t>Enterprise Services revenue grew $96 million</w:t>
      </w:r>
      <w:r w:rsidR="00820248"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or 9%, due to growth in both Premier product support and consulting services. </w:t>
      </w:r>
    </w:p>
    <w:p w14:paraId="26980124" w14:textId="3E30E05C" w:rsidR="00A97FF8" w:rsidRPr="00CF6D7C" w:rsidRDefault="00A97FF8" w:rsidP="00A97FF8">
      <w:pPr>
        <w:pStyle w:val="NormalWeb"/>
        <w:spacing w:before="120" w:beforeAutospacing="0" w:after="200" w:afterAutospacing="0" w:line="280" w:lineRule="exact"/>
        <w:rPr>
          <w:rFonts w:ascii="Segoe UI" w:eastAsia="Calibri" w:hAnsi="Segoe UI" w:cs="Segoe UI"/>
          <w:color w:val="666666"/>
          <w:sz w:val="20"/>
          <w:szCs w:val="20"/>
        </w:rPr>
      </w:pPr>
      <w:r w:rsidRPr="00CF6D7C">
        <w:rPr>
          <w:rFonts w:ascii="Segoe UI" w:eastAsia="Calibri" w:hAnsi="Segoe UI" w:cs="Segoe UI"/>
          <w:color w:val="666666"/>
          <w:sz w:val="20"/>
          <w:szCs w:val="20"/>
        </w:rPr>
        <w:t>Server and Tools operating income increased $285 million</w:t>
      </w:r>
      <w:r w:rsidR="00820248"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or 14%, primarily due to revenue growth, offset in part by a $165 million increase in cost of revenue driven by higher </w:t>
      </w:r>
      <w:r w:rsidR="003C4A0C" w:rsidRPr="00CF6D7C">
        <w:rPr>
          <w:rFonts w:ascii="Segoe UI" w:eastAsia="Calibri" w:hAnsi="Segoe UI" w:cs="Segoe UI"/>
          <w:color w:val="666666"/>
          <w:sz w:val="20"/>
          <w:szCs w:val="20"/>
        </w:rPr>
        <w:t xml:space="preserve">datacenter costs to support our online services offerings, </w:t>
      </w:r>
      <w:r w:rsidRPr="00CF6D7C">
        <w:rPr>
          <w:rFonts w:ascii="Segoe UI" w:eastAsia="Calibri" w:hAnsi="Segoe UI" w:cs="Segoe UI"/>
          <w:color w:val="666666"/>
          <w:sz w:val="20"/>
          <w:szCs w:val="20"/>
        </w:rPr>
        <w:t xml:space="preserve">and increased headcount-related expenses. </w:t>
      </w:r>
    </w:p>
    <w:p w14:paraId="30708358" w14:textId="02BC2C96" w:rsidR="00A97FF8" w:rsidRPr="003F188D" w:rsidRDefault="00A97FF8" w:rsidP="00F1249C">
      <w:pPr>
        <w:pStyle w:val="NormalWeb"/>
        <w:keepNext/>
        <w:spacing w:before="270" w:beforeAutospacing="0" w:after="270" w:afterAutospacing="0"/>
        <w:jc w:val="left"/>
        <w:rPr>
          <w:rFonts w:ascii="Segoe" w:hAnsi="Segoe"/>
          <w:i/>
          <w:sz w:val="20"/>
          <w:szCs w:val="20"/>
        </w:rPr>
      </w:pPr>
      <w:r w:rsidRPr="00F1249C">
        <w:rPr>
          <w:rFonts w:ascii="Segoe UI" w:hAnsi="Segoe UI" w:cs="Segoe UI"/>
          <w:b/>
          <w:bCs/>
          <w:i/>
          <w:color w:val="666666"/>
          <w:sz w:val="20"/>
          <w:szCs w:val="20"/>
        </w:rPr>
        <w:lastRenderedPageBreak/>
        <w:t>Online Services Division</w:t>
      </w:r>
      <w:r w:rsidR="00C15AA9">
        <w:rPr>
          <w:rFonts w:ascii="Segoe" w:hAnsi="Segoe" w:cs="Arial"/>
          <w:b/>
          <w:bCs/>
          <w:i/>
          <w:sz w:val="20"/>
          <w:szCs w:val="20"/>
        </w:rPr>
        <w:t xml:space="preserve"> </w:t>
      </w:r>
      <w:r w:rsidR="00C15AA9" w:rsidRPr="00C15AA9">
        <w:rPr>
          <w:rFonts w:ascii="Segoe UI" w:hAnsi="Segoe UI" w:cs="Segoe UI"/>
          <w:b/>
          <w:bCs/>
          <w:i/>
          <w:color w:val="666666"/>
          <w:sz w:val="20"/>
          <w:szCs w:val="20"/>
        </w:rPr>
        <w:t>(OSD)</w:t>
      </w:r>
      <w:r w:rsidRPr="00C15AA9">
        <w:rPr>
          <w:rFonts w:ascii="Segoe UI" w:hAnsi="Segoe UI" w:cs="Segoe UI"/>
          <w:b/>
          <w:bCs/>
          <w:i/>
          <w:color w:val="666666"/>
          <w:sz w:val="20"/>
          <w:szCs w:val="20"/>
        </w:rPr>
        <w:tab/>
      </w:r>
    </w:p>
    <w:p w14:paraId="2278CB40" w14:textId="3CA16063" w:rsidR="00A97FF8" w:rsidRPr="00F1249C" w:rsidRDefault="00A97FF8" w:rsidP="00BE40D4">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OSD revenue increased $69 million</w:t>
      </w:r>
      <w:r w:rsidR="00820248">
        <w:rPr>
          <w:rFonts w:ascii="Segoe UI" w:hAnsi="Segoe UI" w:cs="Segoe UI"/>
          <w:color w:val="666666"/>
          <w:sz w:val="20"/>
          <w:szCs w:val="20"/>
        </w:rPr>
        <w:t>,</w:t>
      </w:r>
      <w:r w:rsidRPr="00F1249C">
        <w:rPr>
          <w:rFonts w:ascii="Segoe UI" w:hAnsi="Segoe UI" w:cs="Segoe UI"/>
          <w:color w:val="666666"/>
          <w:sz w:val="20"/>
          <w:szCs w:val="20"/>
        </w:rPr>
        <w:t xml:space="preserve"> or 9%, primarily reflecting continued growth in search advertising revenue. Search revenue grew primarily due to increased revenue per search, resulting from ongoing improvements in ad products, while display advertising revenue decreased primarily due to industry-wide market pressure. </w:t>
      </w:r>
    </w:p>
    <w:p w14:paraId="0F1A1CB0" w14:textId="77777777" w:rsidR="00A97FF8" w:rsidRPr="00F1249C" w:rsidRDefault="00A97FF8" w:rsidP="00BE40D4">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 xml:space="preserve">OSD operating loss decreased $6.3 billion, primarily due to the prior year goodwill impairment charge of $6.2 billion. Operating loss also decreased due to revenue growth and a $74 million decrease in cost of revenue driven by lower traffic acquisition costs. </w:t>
      </w:r>
    </w:p>
    <w:p w14:paraId="77CB3585" w14:textId="49F0A0E2" w:rsidR="00A97FF8" w:rsidRPr="00F1249C" w:rsidRDefault="00A97FF8" w:rsidP="00F1249C">
      <w:pPr>
        <w:pStyle w:val="NormalWeb"/>
        <w:keepNext/>
        <w:spacing w:before="270" w:beforeAutospacing="0" w:after="270" w:afterAutospacing="0"/>
        <w:jc w:val="left"/>
        <w:rPr>
          <w:rFonts w:ascii="Segoe UI" w:hAnsi="Segoe UI" w:cs="Segoe UI"/>
          <w:b/>
          <w:bCs/>
          <w:i/>
          <w:color w:val="666666"/>
          <w:sz w:val="20"/>
          <w:szCs w:val="20"/>
        </w:rPr>
      </w:pPr>
      <w:r w:rsidRPr="00F1249C">
        <w:rPr>
          <w:rFonts w:ascii="Segoe UI" w:hAnsi="Segoe UI" w:cs="Segoe UI"/>
          <w:b/>
          <w:bCs/>
          <w:i/>
          <w:color w:val="666666"/>
          <w:sz w:val="20"/>
          <w:szCs w:val="20"/>
        </w:rPr>
        <w:t xml:space="preserve">Microsoft Business Division </w:t>
      </w:r>
      <w:r w:rsidR="00C15AA9">
        <w:rPr>
          <w:rFonts w:ascii="Segoe UI" w:hAnsi="Segoe UI" w:cs="Segoe UI"/>
          <w:b/>
          <w:bCs/>
          <w:i/>
          <w:color w:val="666666"/>
          <w:sz w:val="20"/>
          <w:szCs w:val="20"/>
        </w:rPr>
        <w:t>(MBD)</w:t>
      </w:r>
    </w:p>
    <w:p w14:paraId="3EE61124" w14:textId="0D79C222" w:rsidR="00E31C0C" w:rsidRPr="00F1249C" w:rsidRDefault="00C15AA9" w:rsidP="00BE40D4">
      <w:pPr>
        <w:spacing w:before="120" w:line="280" w:lineRule="exact"/>
        <w:rPr>
          <w:rFonts w:ascii="Segoe UI" w:hAnsi="Segoe UI" w:cs="Segoe UI"/>
          <w:color w:val="666666"/>
          <w:sz w:val="20"/>
          <w:szCs w:val="20"/>
        </w:rPr>
      </w:pPr>
      <w:r>
        <w:rPr>
          <w:rFonts w:ascii="Segoe UI" w:hAnsi="Segoe UI" w:cs="Segoe UI"/>
          <w:color w:val="666666"/>
          <w:sz w:val="20"/>
          <w:szCs w:val="20"/>
        </w:rPr>
        <w:t xml:space="preserve">MBD </w:t>
      </w:r>
      <w:r w:rsidR="00A97FF8" w:rsidRPr="00F1249C">
        <w:rPr>
          <w:rFonts w:ascii="Segoe UI" w:hAnsi="Segoe UI" w:cs="Segoe UI"/>
          <w:color w:val="666666"/>
          <w:sz w:val="20"/>
          <w:szCs w:val="20"/>
        </w:rPr>
        <w:t>revenue continued to grow, as companies added both seats and products to their long-term agre</w:t>
      </w:r>
      <w:r w:rsidR="00E31C0C" w:rsidRPr="00F1249C">
        <w:rPr>
          <w:rFonts w:ascii="Segoe UI" w:hAnsi="Segoe UI" w:cs="Segoe UI"/>
          <w:color w:val="666666"/>
          <w:sz w:val="20"/>
          <w:szCs w:val="20"/>
        </w:rPr>
        <w:t>ements.  The productivity workload</w:t>
      </w:r>
      <w:r w:rsidR="00A97FF8" w:rsidRPr="00F1249C">
        <w:rPr>
          <w:rFonts w:ascii="Segoe UI" w:hAnsi="Segoe UI" w:cs="Segoe UI"/>
          <w:color w:val="666666"/>
          <w:sz w:val="20"/>
          <w:szCs w:val="20"/>
        </w:rPr>
        <w:t xml:space="preserve"> offerings of E</w:t>
      </w:r>
      <w:r w:rsidR="00E31C0C" w:rsidRPr="00F1249C">
        <w:rPr>
          <w:rFonts w:ascii="Segoe UI" w:hAnsi="Segoe UI" w:cs="Segoe UI"/>
          <w:color w:val="666666"/>
          <w:sz w:val="20"/>
          <w:szCs w:val="20"/>
        </w:rPr>
        <w:t>xchange, Lync and SharePoint each</w:t>
      </w:r>
      <w:r w:rsidR="00A97FF8" w:rsidRPr="00F1249C">
        <w:rPr>
          <w:rFonts w:ascii="Segoe UI" w:hAnsi="Segoe UI" w:cs="Segoe UI"/>
          <w:color w:val="666666"/>
          <w:sz w:val="20"/>
          <w:szCs w:val="20"/>
        </w:rPr>
        <w:t xml:space="preserve"> experienced double digit growth this quarter, and Office 365 continued to gain traction with both businesses and consumers.  </w:t>
      </w:r>
      <w:r w:rsidR="00E31C0C" w:rsidRPr="00F1249C">
        <w:rPr>
          <w:rFonts w:ascii="Segoe UI" w:hAnsi="Segoe UI" w:cs="Segoe UI"/>
          <w:color w:val="666666"/>
          <w:sz w:val="20"/>
          <w:szCs w:val="20"/>
        </w:rPr>
        <w:t>Results in our consumer business were influenced by declines in the x86 PC market, and changes in the timing of revenue recognition related to a growing mix of customers on Microsoft Office 365 subscription service.</w:t>
      </w:r>
    </w:p>
    <w:p w14:paraId="7801FFAE" w14:textId="636737DC" w:rsidR="00A97FF8" w:rsidRPr="00F1249C" w:rsidRDefault="00A97FF8" w:rsidP="00BE40D4">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MBD revenue increased $889 million</w:t>
      </w:r>
      <w:r w:rsidR="00820248">
        <w:rPr>
          <w:rFonts w:ascii="Segoe UI" w:hAnsi="Segoe UI" w:cs="Segoe UI"/>
          <w:color w:val="666666"/>
          <w:sz w:val="20"/>
          <w:szCs w:val="20"/>
        </w:rPr>
        <w:t>,</w:t>
      </w:r>
      <w:r w:rsidRPr="00F1249C">
        <w:rPr>
          <w:rFonts w:ascii="Segoe UI" w:hAnsi="Segoe UI" w:cs="Segoe UI"/>
          <w:color w:val="666666"/>
          <w:sz w:val="20"/>
          <w:szCs w:val="20"/>
        </w:rPr>
        <w:t xml:space="preserve"> or 14%</w:t>
      </w:r>
      <w:r w:rsidR="0063073A">
        <w:rPr>
          <w:rFonts w:ascii="Segoe UI" w:hAnsi="Segoe UI" w:cs="Segoe UI"/>
          <w:color w:val="666666"/>
          <w:sz w:val="20"/>
          <w:szCs w:val="20"/>
        </w:rPr>
        <w:t>,</w:t>
      </w:r>
      <w:r w:rsidRPr="00F1249C">
        <w:rPr>
          <w:rFonts w:ascii="Segoe UI" w:hAnsi="Segoe UI" w:cs="Segoe UI"/>
          <w:color w:val="666666"/>
          <w:sz w:val="20"/>
          <w:szCs w:val="20"/>
        </w:rPr>
        <w:t xml:space="preserve"> reflecting the recognition of $782 million of revenue </w:t>
      </w:r>
      <w:r w:rsidR="00D85CE4" w:rsidRPr="00F1249C">
        <w:rPr>
          <w:rFonts w:ascii="Segoe UI" w:hAnsi="Segoe UI" w:cs="Segoe UI"/>
          <w:color w:val="666666"/>
          <w:sz w:val="20"/>
          <w:szCs w:val="20"/>
        </w:rPr>
        <w:t>previously deferred related to the Office Upgrade Offer</w:t>
      </w:r>
      <w:r w:rsidRPr="00F1249C">
        <w:rPr>
          <w:rFonts w:ascii="Segoe UI" w:hAnsi="Segoe UI" w:cs="Segoe UI"/>
          <w:color w:val="666666"/>
          <w:sz w:val="20"/>
          <w:szCs w:val="20"/>
        </w:rPr>
        <w:t xml:space="preserve"> and increased sales of Office.  Excluding the impact of the Office Upgrade Offer, revenue grew $107 million, or 2%.</w:t>
      </w:r>
    </w:p>
    <w:p w14:paraId="7FBAADA5" w14:textId="42688316" w:rsidR="00A97FF8" w:rsidRPr="00CF6D7C" w:rsidRDefault="00A97FF8" w:rsidP="00A97FF8">
      <w:pPr>
        <w:pStyle w:val="NormalWeb"/>
        <w:numPr>
          <w:ilvl w:val="0"/>
          <w:numId w:val="14"/>
        </w:numPr>
        <w:spacing w:before="120" w:beforeAutospacing="0" w:after="200" w:afterAutospacing="0" w:line="280" w:lineRule="exact"/>
        <w:jc w:val="left"/>
        <w:rPr>
          <w:rFonts w:ascii="Segoe UI" w:eastAsia="Calibri" w:hAnsi="Segoe UI" w:cs="Segoe UI"/>
          <w:color w:val="666666"/>
          <w:sz w:val="20"/>
          <w:szCs w:val="20"/>
        </w:rPr>
      </w:pPr>
      <w:r w:rsidRPr="00CF6D7C">
        <w:rPr>
          <w:rFonts w:ascii="Segoe UI" w:eastAsia="Calibri" w:hAnsi="Segoe UI" w:cs="Segoe UI"/>
          <w:color w:val="666666"/>
          <w:sz w:val="20"/>
          <w:szCs w:val="20"/>
        </w:rPr>
        <w:t>Business revenue increased $379 million</w:t>
      </w:r>
      <w:r w:rsidR="00820248"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or 7%, </w:t>
      </w:r>
      <w:r w:rsidR="009724D4" w:rsidRPr="00CF6D7C">
        <w:rPr>
          <w:rFonts w:ascii="Segoe UI" w:eastAsia="Calibri" w:hAnsi="Segoe UI" w:cs="Segoe UI"/>
          <w:color w:val="666666"/>
          <w:sz w:val="20"/>
          <w:szCs w:val="20"/>
        </w:rPr>
        <w:t xml:space="preserve">which reflects 10% growth in revenue from </w:t>
      </w:r>
      <w:r w:rsidR="00F42FE3" w:rsidRPr="00CF6D7C">
        <w:rPr>
          <w:rFonts w:ascii="Segoe UI" w:eastAsia="Calibri" w:hAnsi="Segoe UI" w:cs="Segoe UI"/>
          <w:color w:val="666666"/>
          <w:sz w:val="20"/>
          <w:szCs w:val="20"/>
        </w:rPr>
        <w:t xml:space="preserve">Office </w:t>
      </w:r>
      <w:r w:rsidR="009724D4" w:rsidRPr="00CF6D7C">
        <w:rPr>
          <w:rFonts w:ascii="Segoe UI" w:eastAsia="Calibri" w:hAnsi="Segoe UI" w:cs="Segoe UI"/>
          <w:color w:val="666666"/>
          <w:sz w:val="20"/>
          <w:szCs w:val="20"/>
        </w:rPr>
        <w:t xml:space="preserve">subscriptions and volume licensing agreements with software assurance, </w:t>
      </w:r>
      <w:r w:rsidRPr="00CF6D7C">
        <w:rPr>
          <w:rFonts w:ascii="Segoe UI" w:eastAsia="Calibri" w:hAnsi="Segoe UI" w:cs="Segoe UI"/>
          <w:color w:val="666666"/>
          <w:sz w:val="20"/>
          <w:szCs w:val="20"/>
        </w:rPr>
        <w:t xml:space="preserve">and a 13% increase in Microsoft Dynamics revenue, offset in part by a 1% decrease in </w:t>
      </w:r>
      <w:r w:rsidR="00E05871" w:rsidRPr="00CF6D7C">
        <w:rPr>
          <w:rFonts w:ascii="Segoe UI" w:eastAsia="Calibri" w:hAnsi="Segoe UI" w:cs="Segoe UI"/>
          <w:color w:val="666666"/>
          <w:sz w:val="20"/>
          <w:szCs w:val="20"/>
        </w:rPr>
        <w:t>Office license-</w:t>
      </w:r>
      <w:r w:rsidR="009724D4" w:rsidRPr="00CF6D7C">
        <w:rPr>
          <w:rFonts w:ascii="Segoe UI" w:eastAsia="Calibri" w:hAnsi="Segoe UI" w:cs="Segoe UI"/>
          <w:color w:val="666666"/>
          <w:sz w:val="20"/>
          <w:szCs w:val="20"/>
        </w:rPr>
        <w:t xml:space="preserve">only </w:t>
      </w:r>
      <w:r w:rsidRPr="00CF6D7C">
        <w:rPr>
          <w:rFonts w:ascii="Segoe UI" w:eastAsia="Calibri" w:hAnsi="Segoe UI" w:cs="Segoe UI"/>
          <w:color w:val="666666"/>
          <w:sz w:val="20"/>
          <w:szCs w:val="20"/>
        </w:rPr>
        <w:t xml:space="preserve">revenue. </w:t>
      </w:r>
    </w:p>
    <w:p w14:paraId="37A48176" w14:textId="12F5BE88" w:rsidR="00A97FF8" w:rsidRPr="00CF6D7C" w:rsidRDefault="00A97FF8" w:rsidP="00A97FF8">
      <w:pPr>
        <w:pStyle w:val="NormalWeb"/>
        <w:numPr>
          <w:ilvl w:val="0"/>
          <w:numId w:val="14"/>
        </w:numPr>
        <w:spacing w:before="120" w:beforeAutospacing="0" w:after="200" w:afterAutospacing="0" w:line="280" w:lineRule="exact"/>
        <w:jc w:val="left"/>
        <w:rPr>
          <w:rFonts w:ascii="Segoe UI" w:eastAsia="Calibri" w:hAnsi="Segoe UI" w:cs="Segoe UI"/>
          <w:color w:val="666666"/>
          <w:sz w:val="20"/>
          <w:szCs w:val="20"/>
        </w:rPr>
      </w:pPr>
      <w:r w:rsidRPr="00CF6D7C">
        <w:rPr>
          <w:rFonts w:ascii="Segoe UI" w:eastAsia="Calibri" w:hAnsi="Segoe UI" w:cs="Segoe UI"/>
          <w:color w:val="666666"/>
          <w:sz w:val="20"/>
          <w:szCs w:val="20"/>
        </w:rPr>
        <w:t>Consumer revenue increased $509 million</w:t>
      </w:r>
      <w:r w:rsidR="00820248"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or 51%</w:t>
      </w:r>
      <w:r w:rsidR="0063073A"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reflecting the recognition of </w:t>
      </w:r>
      <w:r w:rsidR="00C86554" w:rsidRPr="00CF6D7C">
        <w:rPr>
          <w:rFonts w:ascii="Segoe UI" w:eastAsia="Calibri" w:hAnsi="Segoe UI" w:cs="Segoe UI"/>
          <w:color w:val="666666"/>
          <w:sz w:val="20"/>
          <w:szCs w:val="20"/>
        </w:rPr>
        <w:t xml:space="preserve">previously deferred </w:t>
      </w:r>
      <w:r w:rsidRPr="00CF6D7C">
        <w:rPr>
          <w:rFonts w:ascii="Segoe UI" w:eastAsia="Calibri" w:hAnsi="Segoe UI" w:cs="Segoe UI"/>
          <w:color w:val="666666"/>
          <w:sz w:val="20"/>
          <w:szCs w:val="20"/>
        </w:rPr>
        <w:t>revenue related to the Office Upgrade Offer, offset in part by the impact on revenue of a decline in the x86 PC market.  Adjusting for the impact of the Office</w:t>
      </w:r>
      <w:r w:rsidR="004D0F54" w:rsidRPr="00CF6D7C">
        <w:rPr>
          <w:rFonts w:ascii="Segoe UI" w:eastAsia="Calibri" w:hAnsi="Segoe UI" w:cs="Segoe UI"/>
          <w:color w:val="666666"/>
          <w:sz w:val="20"/>
          <w:szCs w:val="20"/>
        </w:rPr>
        <w:t xml:space="preserve"> Upgrade Offer, revenue </w:t>
      </w:r>
      <w:r w:rsidR="00B2457E" w:rsidRPr="00CF6D7C">
        <w:rPr>
          <w:rFonts w:ascii="Segoe UI" w:eastAsia="Calibri" w:hAnsi="Segoe UI" w:cs="Segoe UI"/>
          <w:color w:val="666666"/>
          <w:sz w:val="20"/>
          <w:szCs w:val="20"/>
        </w:rPr>
        <w:t>declined $273 million, or 27</w:t>
      </w:r>
      <w:r w:rsidRPr="00CF6D7C">
        <w:rPr>
          <w:rFonts w:ascii="Segoe UI" w:eastAsia="Calibri" w:hAnsi="Segoe UI" w:cs="Segoe UI"/>
          <w:color w:val="666666"/>
          <w:sz w:val="20"/>
          <w:szCs w:val="20"/>
        </w:rPr>
        <w:t>%.</w:t>
      </w:r>
    </w:p>
    <w:p w14:paraId="3D0762B6" w14:textId="282F588A" w:rsidR="00A97FF8" w:rsidRPr="00F1249C" w:rsidRDefault="00A97FF8" w:rsidP="00BE40D4">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MBD operating income increased $745 million</w:t>
      </w:r>
      <w:r w:rsidR="00820248">
        <w:rPr>
          <w:rFonts w:ascii="Segoe UI" w:hAnsi="Segoe UI" w:cs="Segoe UI"/>
          <w:color w:val="666666"/>
          <w:sz w:val="20"/>
          <w:szCs w:val="20"/>
        </w:rPr>
        <w:t>,</w:t>
      </w:r>
      <w:r w:rsidRPr="00F1249C">
        <w:rPr>
          <w:rFonts w:ascii="Segoe UI" w:hAnsi="Segoe UI" w:cs="Segoe UI"/>
          <w:color w:val="666666"/>
          <w:sz w:val="20"/>
          <w:szCs w:val="20"/>
        </w:rPr>
        <w:t xml:space="preserve"> or 18%, primarily due to the recognition of $782 million related to the Office Upgrade Offer, offset in part by increased sales and marketing expenses. Sales and marketing expenses increased $87 million, primarily due to increased advertising and fees paid to third-party software advisors. Excluding the impact of the Office Upgrade Offer, MBD operating income declined $37 million, or 1%.</w:t>
      </w:r>
    </w:p>
    <w:p w14:paraId="5F62A799" w14:textId="658F6880" w:rsidR="00A97FF8" w:rsidRPr="00F1249C" w:rsidRDefault="00A97FF8" w:rsidP="00F1249C">
      <w:pPr>
        <w:pStyle w:val="NormalWeb"/>
        <w:keepNext/>
        <w:spacing w:before="270" w:beforeAutospacing="0" w:after="270" w:afterAutospacing="0"/>
        <w:jc w:val="left"/>
        <w:rPr>
          <w:rFonts w:ascii="Segoe UI" w:hAnsi="Segoe UI" w:cs="Segoe UI"/>
          <w:b/>
          <w:bCs/>
          <w:i/>
          <w:color w:val="666666"/>
          <w:sz w:val="20"/>
          <w:szCs w:val="20"/>
        </w:rPr>
      </w:pPr>
      <w:r w:rsidRPr="00F1249C">
        <w:rPr>
          <w:rFonts w:ascii="Segoe UI" w:hAnsi="Segoe UI" w:cs="Segoe UI"/>
          <w:b/>
          <w:bCs/>
          <w:i/>
          <w:color w:val="666666"/>
          <w:sz w:val="20"/>
          <w:szCs w:val="20"/>
        </w:rPr>
        <w:t>Entertainment and Devices Division</w:t>
      </w:r>
      <w:r w:rsidR="00C15AA9">
        <w:rPr>
          <w:rFonts w:ascii="Segoe UI" w:hAnsi="Segoe UI" w:cs="Segoe UI"/>
          <w:b/>
          <w:bCs/>
          <w:i/>
          <w:color w:val="666666"/>
          <w:sz w:val="20"/>
          <w:szCs w:val="20"/>
        </w:rPr>
        <w:t xml:space="preserve"> (EDD)</w:t>
      </w:r>
    </w:p>
    <w:p w14:paraId="1B0A1807" w14:textId="6AAFB72E" w:rsidR="00A97FF8" w:rsidRPr="00F1249C" w:rsidRDefault="00D57CB8" w:rsidP="00BE40D4">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E</w:t>
      </w:r>
      <w:r w:rsidR="00C15AA9">
        <w:rPr>
          <w:rFonts w:ascii="Segoe UI" w:hAnsi="Segoe UI" w:cs="Segoe UI"/>
          <w:color w:val="666666"/>
          <w:sz w:val="20"/>
          <w:szCs w:val="20"/>
        </w:rPr>
        <w:t>DD</w:t>
      </w:r>
      <w:r w:rsidR="00A97FF8" w:rsidRPr="00F1249C">
        <w:rPr>
          <w:rFonts w:ascii="Segoe UI" w:hAnsi="Segoe UI" w:cs="Segoe UI"/>
          <w:color w:val="666666"/>
          <w:sz w:val="20"/>
          <w:szCs w:val="20"/>
        </w:rPr>
        <w:t xml:space="preserve"> revenue increased $134 million</w:t>
      </w:r>
      <w:r w:rsidR="00820248">
        <w:rPr>
          <w:rFonts w:ascii="Segoe UI" w:hAnsi="Segoe UI" w:cs="Segoe UI"/>
          <w:color w:val="666666"/>
          <w:sz w:val="20"/>
          <w:szCs w:val="20"/>
        </w:rPr>
        <w:t>,</w:t>
      </w:r>
      <w:r w:rsidR="00A97FF8" w:rsidRPr="00F1249C">
        <w:rPr>
          <w:rFonts w:ascii="Segoe UI" w:hAnsi="Segoe UI" w:cs="Segoe UI"/>
          <w:color w:val="666666"/>
          <w:sz w:val="20"/>
          <w:szCs w:val="20"/>
        </w:rPr>
        <w:t xml:space="preserve"> or 8%, primarily due to higher Windows Phone revenue, offset in part by lower Xbox 360 platform revenue.  </w:t>
      </w:r>
    </w:p>
    <w:p w14:paraId="6D4883B5" w14:textId="4A587190" w:rsidR="00A97FF8" w:rsidRPr="00BE40D4" w:rsidRDefault="00A97FF8" w:rsidP="00BE40D4">
      <w:pPr>
        <w:pStyle w:val="ListParagraph"/>
        <w:numPr>
          <w:ilvl w:val="0"/>
          <w:numId w:val="15"/>
        </w:numPr>
        <w:spacing w:before="120" w:line="280" w:lineRule="exact"/>
        <w:rPr>
          <w:rFonts w:ascii="Segoe UI" w:hAnsi="Segoe UI" w:cs="Segoe UI"/>
          <w:color w:val="666666"/>
          <w:sz w:val="20"/>
          <w:szCs w:val="20"/>
        </w:rPr>
      </w:pPr>
      <w:r w:rsidRPr="00BE40D4">
        <w:rPr>
          <w:rFonts w:ascii="Segoe UI" w:hAnsi="Segoe UI" w:cs="Segoe UI"/>
          <w:color w:val="666666"/>
          <w:sz w:val="20"/>
          <w:szCs w:val="20"/>
        </w:rPr>
        <w:t xml:space="preserve">Windows Phone revenue, </w:t>
      </w:r>
      <w:r w:rsidR="005A227B">
        <w:rPr>
          <w:rFonts w:ascii="Segoe UI" w:hAnsi="Segoe UI" w:cs="Segoe UI"/>
          <w:color w:val="666666"/>
          <w:sz w:val="20"/>
          <w:szCs w:val="20"/>
        </w:rPr>
        <w:t>reflecting</w:t>
      </w:r>
      <w:r w:rsidRPr="00BE40D4">
        <w:rPr>
          <w:rFonts w:ascii="Segoe UI" w:hAnsi="Segoe UI" w:cs="Segoe UI"/>
          <w:color w:val="666666"/>
          <w:sz w:val="20"/>
          <w:szCs w:val="20"/>
        </w:rPr>
        <w:t xml:space="preserve"> patent licensing revenue and sales of Windows Phone licenses, increased $222 million.</w:t>
      </w:r>
    </w:p>
    <w:p w14:paraId="11F19551" w14:textId="77777777" w:rsidR="00A97FF8" w:rsidRPr="00BE40D4" w:rsidRDefault="00A97FF8" w:rsidP="00BE40D4">
      <w:pPr>
        <w:pStyle w:val="ListParagraph"/>
        <w:numPr>
          <w:ilvl w:val="0"/>
          <w:numId w:val="15"/>
        </w:numPr>
        <w:spacing w:before="120" w:line="280" w:lineRule="exact"/>
        <w:rPr>
          <w:rFonts w:ascii="Segoe UI" w:hAnsi="Segoe UI" w:cs="Segoe UI"/>
          <w:color w:val="666666"/>
          <w:sz w:val="20"/>
          <w:szCs w:val="20"/>
        </w:rPr>
      </w:pPr>
      <w:r w:rsidRPr="00BE40D4">
        <w:rPr>
          <w:rFonts w:ascii="Segoe UI" w:hAnsi="Segoe UI" w:cs="Segoe UI"/>
          <w:color w:val="666666"/>
          <w:sz w:val="20"/>
          <w:szCs w:val="20"/>
        </w:rPr>
        <w:t xml:space="preserve">We shipped 1.0 million Xbox 360 consoles compared to 1.1 million during the fourth quarter of fiscal year 2012. </w:t>
      </w:r>
    </w:p>
    <w:p w14:paraId="7BFA00E4" w14:textId="77777777" w:rsidR="00A97FF8" w:rsidRPr="00CF6D7C" w:rsidRDefault="00A97FF8" w:rsidP="00A97FF8">
      <w:pPr>
        <w:pStyle w:val="NormalWeb"/>
        <w:spacing w:before="120" w:beforeAutospacing="0" w:after="200" w:afterAutospacing="0" w:line="280" w:lineRule="exact"/>
        <w:rPr>
          <w:rFonts w:ascii="Segoe UI" w:eastAsia="Calibri" w:hAnsi="Segoe UI" w:cs="Segoe UI"/>
          <w:color w:val="666666"/>
          <w:sz w:val="20"/>
          <w:szCs w:val="20"/>
        </w:rPr>
      </w:pPr>
      <w:r w:rsidRPr="00CF6D7C">
        <w:rPr>
          <w:rFonts w:ascii="Segoe UI" w:eastAsia="Calibri" w:hAnsi="Segoe UI" w:cs="Segoe UI"/>
          <w:color w:val="666666"/>
          <w:sz w:val="20"/>
          <w:szCs w:val="20"/>
        </w:rPr>
        <w:t xml:space="preserve">EDD operating income increased $142 million, due mainly to higher revenue. </w:t>
      </w:r>
    </w:p>
    <w:p w14:paraId="41011B12" w14:textId="77777777" w:rsidR="00A97FF8" w:rsidRPr="00F1249C" w:rsidRDefault="00A97FF8" w:rsidP="00BE40D4">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lastRenderedPageBreak/>
        <w:t>In June 2013, we announced that we expect our next generation console, Xbox One, will be available for purchase in the second quarter of fiscal year 2014.</w:t>
      </w:r>
    </w:p>
    <w:p w14:paraId="62785F46" w14:textId="77777777" w:rsidR="00A97FF8" w:rsidRPr="00F1249C" w:rsidRDefault="00A97FF8" w:rsidP="00F1249C">
      <w:pPr>
        <w:pStyle w:val="NormalWeb"/>
        <w:keepNext/>
        <w:spacing w:before="270" w:beforeAutospacing="0" w:after="270" w:afterAutospacing="0"/>
        <w:jc w:val="left"/>
        <w:rPr>
          <w:rFonts w:ascii="Segoe UI" w:hAnsi="Segoe UI" w:cs="Segoe UI"/>
          <w:b/>
          <w:bCs/>
          <w:i/>
          <w:color w:val="666666"/>
          <w:sz w:val="20"/>
          <w:szCs w:val="20"/>
        </w:rPr>
      </w:pPr>
      <w:r w:rsidRPr="00F1249C">
        <w:rPr>
          <w:rFonts w:ascii="Segoe UI" w:hAnsi="Segoe UI" w:cs="Segoe UI"/>
          <w:b/>
          <w:bCs/>
          <w:i/>
          <w:color w:val="666666"/>
          <w:sz w:val="20"/>
          <w:szCs w:val="20"/>
        </w:rPr>
        <w:t xml:space="preserve">Corporate-Level Activity </w:t>
      </w:r>
    </w:p>
    <w:p w14:paraId="3EEBE330" w14:textId="3FA1C24B" w:rsidR="00A97FF8" w:rsidRPr="00F1249C" w:rsidRDefault="00A97FF8" w:rsidP="00BE40D4">
      <w:pPr>
        <w:spacing w:before="120" w:line="280" w:lineRule="exact"/>
        <w:rPr>
          <w:rFonts w:ascii="Segoe UI" w:hAnsi="Segoe UI" w:cs="Segoe UI"/>
          <w:color w:val="666666"/>
          <w:sz w:val="20"/>
          <w:szCs w:val="20"/>
        </w:rPr>
      </w:pPr>
      <w:r w:rsidRPr="00F1249C">
        <w:rPr>
          <w:rFonts w:ascii="Segoe UI" w:hAnsi="Segoe UI" w:cs="Segoe UI"/>
          <w:color w:val="666666"/>
          <w:sz w:val="20"/>
          <w:szCs w:val="20"/>
        </w:rPr>
        <w:t xml:space="preserve">Corporate-level </w:t>
      </w:r>
      <w:r w:rsidR="004F2A1B">
        <w:rPr>
          <w:rFonts w:ascii="Segoe UI" w:hAnsi="Segoe UI" w:cs="Segoe UI"/>
          <w:color w:val="666666"/>
          <w:sz w:val="20"/>
          <w:szCs w:val="20"/>
        </w:rPr>
        <w:t>activity</w:t>
      </w:r>
      <w:r w:rsidRPr="00F1249C">
        <w:rPr>
          <w:rFonts w:ascii="Segoe UI" w:hAnsi="Segoe UI" w:cs="Segoe UI"/>
          <w:color w:val="666666"/>
          <w:sz w:val="20"/>
          <w:szCs w:val="20"/>
        </w:rPr>
        <w:t xml:space="preserve"> increased $</w:t>
      </w:r>
      <w:r w:rsidR="00FA63A9">
        <w:rPr>
          <w:rFonts w:ascii="Segoe UI" w:hAnsi="Segoe UI" w:cs="Segoe UI"/>
          <w:color w:val="666666"/>
          <w:sz w:val="20"/>
          <w:szCs w:val="20"/>
        </w:rPr>
        <w:t>303</w:t>
      </w:r>
      <w:r w:rsidRPr="00F1249C">
        <w:rPr>
          <w:rFonts w:ascii="Segoe UI" w:hAnsi="Segoe UI" w:cs="Segoe UI"/>
          <w:color w:val="666666"/>
          <w:sz w:val="20"/>
          <w:szCs w:val="20"/>
        </w:rPr>
        <w:t xml:space="preserve"> million due mainly to retail stores expenses and higher intellectual property licensing costs. </w:t>
      </w:r>
    </w:p>
    <w:p w14:paraId="7A776B58" w14:textId="77777777" w:rsidR="00A97FF8" w:rsidRPr="00BE40D4" w:rsidRDefault="00A97FF8" w:rsidP="00BE40D4">
      <w:pPr>
        <w:pStyle w:val="NormalWeb"/>
        <w:keepNext/>
        <w:spacing w:before="270" w:beforeAutospacing="0" w:after="270" w:afterAutospacing="0"/>
        <w:jc w:val="left"/>
        <w:rPr>
          <w:rFonts w:ascii="Segoe UI" w:hAnsi="Segoe UI" w:cs="Segoe UI"/>
          <w:b/>
          <w:bCs/>
          <w:i/>
          <w:color w:val="666666"/>
          <w:sz w:val="20"/>
          <w:szCs w:val="20"/>
        </w:rPr>
      </w:pPr>
      <w:r w:rsidRPr="00BE40D4">
        <w:rPr>
          <w:rFonts w:ascii="Segoe UI" w:hAnsi="Segoe UI" w:cs="Segoe UI"/>
          <w:b/>
          <w:bCs/>
          <w:i/>
          <w:color w:val="666666"/>
          <w:sz w:val="20"/>
          <w:szCs w:val="20"/>
        </w:rPr>
        <w:t>COST OF REVENUE</w:t>
      </w:r>
    </w:p>
    <w:p w14:paraId="525E170A" w14:textId="3541B5D1" w:rsidR="00A97FF8" w:rsidRPr="00F1249C" w:rsidRDefault="00E56956" w:rsidP="00BE40D4">
      <w:pPr>
        <w:spacing w:before="120" w:line="280" w:lineRule="exact"/>
        <w:rPr>
          <w:rFonts w:ascii="Segoe UI" w:hAnsi="Segoe UI" w:cs="Segoe UI"/>
          <w:color w:val="666666"/>
          <w:sz w:val="20"/>
          <w:szCs w:val="20"/>
        </w:rPr>
      </w:pPr>
      <w:r>
        <w:rPr>
          <w:rFonts w:ascii="Segoe UI" w:hAnsi="Segoe UI" w:cs="Segoe UI"/>
          <w:color w:val="666666"/>
          <w:sz w:val="20"/>
          <w:szCs w:val="20"/>
        </w:rPr>
        <w:t>Cost of revenue grew $1.4</w:t>
      </w:r>
      <w:r w:rsidR="00A97FF8" w:rsidRPr="00F1249C">
        <w:rPr>
          <w:rFonts w:ascii="Segoe UI" w:hAnsi="Segoe UI" w:cs="Segoe UI"/>
          <w:color w:val="666666"/>
          <w:sz w:val="20"/>
          <w:szCs w:val="20"/>
        </w:rPr>
        <w:t xml:space="preserve"> billion</w:t>
      </w:r>
      <w:r w:rsidR="00820248">
        <w:rPr>
          <w:rFonts w:ascii="Segoe UI" w:hAnsi="Segoe UI" w:cs="Segoe UI"/>
          <w:color w:val="666666"/>
          <w:sz w:val="20"/>
          <w:szCs w:val="20"/>
        </w:rPr>
        <w:t>,</w:t>
      </w:r>
      <w:r w:rsidR="00A97FF8" w:rsidRPr="00F1249C">
        <w:rPr>
          <w:rFonts w:ascii="Segoe UI" w:hAnsi="Segoe UI" w:cs="Segoe UI"/>
          <w:color w:val="666666"/>
          <w:sz w:val="20"/>
          <w:szCs w:val="20"/>
        </w:rPr>
        <w:t xml:space="preserve"> or 3</w:t>
      </w:r>
      <w:r>
        <w:rPr>
          <w:rFonts w:ascii="Segoe UI" w:hAnsi="Segoe UI" w:cs="Segoe UI"/>
          <w:color w:val="666666"/>
          <w:sz w:val="20"/>
          <w:szCs w:val="20"/>
        </w:rPr>
        <w:t>5</w:t>
      </w:r>
      <w:r w:rsidR="00A97FF8" w:rsidRPr="00F1249C">
        <w:rPr>
          <w:rFonts w:ascii="Segoe UI" w:hAnsi="Segoe UI" w:cs="Segoe UI"/>
          <w:color w:val="666666"/>
          <w:sz w:val="20"/>
          <w:szCs w:val="20"/>
        </w:rPr>
        <w:t xml:space="preserve">%, primarily reflecting product costs associated with Surface and Windows 8, including </w:t>
      </w:r>
      <w:r w:rsidR="003221A2">
        <w:rPr>
          <w:rFonts w:ascii="Segoe UI" w:hAnsi="Segoe UI" w:cs="Segoe UI"/>
          <w:color w:val="666666"/>
          <w:sz w:val="20"/>
          <w:szCs w:val="20"/>
        </w:rPr>
        <w:t xml:space="preserve">the charge for </w:t>
      </w:r>
      <w:r w:rsidR="0041530F">
        <w:rPr>
          <w:rFonts w:ascii="Segoe UI" w:hAnsi="Segoe UI" w:cs="Segoe UI"/>
          <w:color w:val="666666"/>
          <w:sz w:val="20"/>
          <w:szCs w:val="20"/>
        </w:rPr>
        <w:t xml:space="preserve">Surface RT </w:t>
      </w:r>
      <w:r w:rsidR="00A97FF8" w:rsidRPr="00F1249C">
        <w:rPr>
          <w:rFonts w:ascii="Segoe UI" w:hAnsi="Segoe UI" w:cs="Segoe UI"/>
          <w:color w:val="666666"/>
          <w:sz w:val="20"/>
          <w:szCs w:val="20"/>
        </w:rPr>
        <w:t>inventory</w:t>
      </w:r>
      <w:r w:rsidR="0041530F">
        <w:rPr>
          <w:rFonts w:ascii="Segoe UI" w:hAnsi="Segoe UI" w:cs="Segoe UI"/>
          <w:color w:val="666666"/>
          <w:sz w:val="20"/>
          <w:szCs w:val="20"/>
        </w:rPr>
        <w:t xml:space="preserve"> adjustments of approximately $9</w:t>
      </w:r>
      <w:r w:rsidR="00A97FF8" w:rsidRPr="00F1249C">
        <w:rPr>
          <w:rFonts w:ascii="Segoe UI" w:hAnsi="Segoe UI" w:cs="Segoe UI"/>
          <w:color w:val="666666"/>
          <w:sz w:val="20"/>
          <w:szCs w:val="20"/>
        </w:rPr>
        <w:t>00 million, higher headcount-related expenses</w:t>
      </w:r>
      <w:r w:rsidR="00281CE3">
        <w:rPr>
          <w:rFonts w:ascii="Segoe UI" w:hAnsi="Segoe UI" w:cs="Segoe UI"/>
          <w:color w:val="666666"/>
          <w:sz w:val="20"/>
          <w:szCs w:val="20"/>
        </w:rPr>
        <w:t>,</w:t>
      </w:r>
      <w:r w:rsidR="00A97FF8" w:rsidRPr="00F1249C">
        <w:rPr>
          <w:rFonts w:ascii="Segoe UI" w:hAnsi="Segoe UI" w:cs="Segoe UI"/>
          <w:color w:val="666666"/>
          <w:sz w:val="20"/>
          <w:szCs w:val="20"/>
        </w:rPr>
        <w:t xml:space="preserve"> and increased online infrastructure expenses, offset in part by decreased traffic acquisition costs.  </w:t>
      </w:r>
    </w:p>
    <w:p w14:paraId="7EA6AF13" w14:textId="77777777" w:rsidR="00A97FF8" w:rsidRPr="00F1249C" w:rsidRDefault="00A97FF8" w:rsidP="00F1249C">
      <w:pPr>
        <w:pStyle w:val="NormalWeb"/>
        <w:keepNext/>
        <w:spacing w:before="270" w:beforeAutospacing="0" w:after="270" w:afterAutospacing="0"/>
        <w:jc w:val="left"/>
        <w:rPr>
          <w:rFonts w:ascii="Segoe UI" w:hAnsi="Segoe UI" w:cs="Segoe UI"/>
          <w:b/>
          <w:bCs/>
          <w:i/>
          <w:color w:val="666666"/>
          <w:sz w:val="20"/>
          <w:szCs w:val="20"/>
        </w:rPr>
      </w:pPr>
      <w:r w:rsidRPr="00F1249C">
        <w:rPr>
          <w:rFonts w:ascii="Segoe UI" w:hAnsi="Segoe UI" w:cs="Segoe UI"/>
          <w:b/>
          <w:bCs/>
          <w:i/>
          <w:color w:val="666666"/>
          <w:sz w:val="20"/>
          <w:szCs w:val="20"/>
        </w:rPr>
        <w:t>OPERATING EXPENSES</w:t>
      </w:r>
    </w:p>
    <w:p w14:paraId="5B9760F0" w14:textId="4BF2ACE3" w:rsidR="00A97FF8" w:rsidRPr="00CF6D7C" w:rsidRDefault="00A97FF8" w:rsidP="00A97FF8">
      <w:pPr>
        <w:pStyle w:val="NormalWeb"/>
        <w:spacing w:before="120" w:beforeAutospacing="0" w:after="200" w:afterAutospacing="0" w:line="280" w:lineRule="exact"/>
        <w:rPr>
          <w:rFonts w:ascii="Segoe UI" w:eastAsia="Calibri" w:hAnsi="Segoe UI" w:cs="Segoe UI"/>
          <w:color w:val="666666"/>
          <w:sz w:val="20"/>
          <w:szCs w:val="20"/>
        </w:rPr>
      </w:pPr>
      <w:r w:rsidRPr="00CF6D7C">
        <w:rPr>
          <w:rFonts w:ascii="Segoe UI" w:eastAsia="Calibri" w:hAnsi="Segoe UI" w:cs="Segoe UI"/>
          <w:color w:val="666666"/>
          <w:sz w:val="20"/>
          <w:szCs w:val="20"/>
        </w:rPr>
        <w:t>Research and development expenses increased $189 million</w:t>
      </w:r>
      <w:r w:rsidR="00820248"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or 7%, reflecting increased headcount-related expenses.</w:t>
      </w:r>
    </w:p>
    <w:p w14:paraId="596ECCE6" w14:textId="52409DD4" w:rsidR="00A97FF8" w:rsidRPr="00CF6D7C" w:rsidRDefault="00A97FF8" w:rsidP="00A97FF8">
      <w:pPr>
        <w:pStyle w:val="NormalWeb"/>
        <w:spacing w:before="120" w:beforeAutospacing="0" w:after="200" w:afterAutospacing="0" w:line="280" w:lineRule="exact"/>
        <w:rPr>
          <w:rFonts w:ascii="Segoe UI" w:eastAsia="Calibri" w:hAnsi="Segoe UI" w:cs="Segoe UI"/>
          <w:color w:val="666666"/>
          <w:sz w:val="20"/>
          <w:szCs w:val="20"/>
        </w:rPr>
      </w:pPr>
      <w:r w:rsidRPr="00CF6D7C">
        <w:rPr>
          <w:rFonts w:ascii="Segoe UI" w:eastAsia="Calibri" w:hAnsi="Segoe UI" w:cs="Segoe UI"/>
          <w:color w:val="666666"/>
          <w:sz w:val="20"/>
          <w:szCs w:val="20"/>
        </w:rPr>
        <w:t>Sales and marketing expenses increased</w:t>
      </w:r>
      <w:r w:rsidR="00281CE3" w:rsidRPr="00CF6D7C">
        <w:rPr>
          <w:rFonts w:ascii="Segoe UI" w:eastAsia="Calibri" w:hAnsi="Segoe UI" w:cs="Segoe UI"/>
          <w:color w:val="666666"/>
          <w:sz w:val="20"/>
          <w:szCs w:val="20"/>
        </w:rPr>
        <w:t xml:space="preserve"> $447 million</w:t>
      </w:r>
      <w:r w:rsidR="00820248" w:rsidRPr="00CF6D7C">
        <w:rPr>
          <w:rFonts w:ascii="Segoe UI" w:eastAsia="Calibri" w:hAnsi="Segoe UI" w:cs="Segoe UI"/>
          <w:color w:val="666666"/>
          <w:sz w:val="20"/>
          <w:szCs w:val="20"/>
        </w:rPr>
        <w:t>,</w:t>
      </w:r>
      <w:r w:rsidR="00281CE3" w:rsidRPr="00CF6D7C">
        <w:rPr>
          <w:rFonts w:ascii="Segoe UI" w:eastAsia="Calibri" w:hAnsi="Segoe UI" w:cs="Segoe UI"/>
          <w:color w:val="666666"/>
          <w:sz w:val="20"/>
          <w:szCs w:val="20"/>
        </w:rPr>
        <w:t xml:space="preserve"> or 12%, </w:t>
      </w:r>
      <w:r w:rsidRPr="00CF6D7C">
        <w:rPr>
          <w:rFonts w:ascii="Segoe UI" w:eastAsia="Calibri" w:hAnsi="Segoe UI" w:cs="Segoe UI"/>
          <w:color w:val="666666"/>
          <w:sz w:val="20"/>
          <w:szCs w:val="20"/>
        </w:rPr>
        <w:t>reflecting advertising of Windows 8, Surface</w:t>
      </w:r>
      <w:r w:rsidR="00281CE3"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and the new Office. </w:t>
      </w:r>
    </w:p>
    <w:p w14:paraId="0AB77B1C" w14:textId="231E3C4D" w:rsidR="00A97FF8" w:rsidRPr="00CF6D7C" w:rsidRDefault="00A97FF8" w:rsidP="00A97FF8">
      <w:pPr>
        <w:pStyle w:val="NormalWeb"/>
        <w:spacing w:before="120" w:beforeAutospacing="0" w:after="200" w:afterAutospacing="0" w:line="280" w:lineRule="exact"/>
        <w:rPr>
          <w:rFonts w:ascii="Segoe UI" w:eastAsia="Calibri" w:hAnsi="Segoe UI" w:cs="Segoe UI"/>
          <w:color w:val="666666"/>
          <w:sz w:val="20"/>
          <w:szCs w:val="20"/>
        </w:rPr>
      </w:pPr>
      <w:r w:rsidRPr="00CF6D7C">
        <w:rPr>
          <w:rFonts w:ascii="Segoe UI" w:eastAsia="Calibri" w:hAnsi="Segoe UI" w:cs="Segoe UI"/>
          <w:color w:val="666666"/>
          <w:sz w:val="20"/>
          <w:szCs w:val="20"/>
        </w:rPr>
        <w:t>General and administrative expenses increased $74 million</w:t>
      </w:r>
      <w:r w:rsidR="00820248" w:rsidRPr="00CF6D7C">
        <w:rPr>
          <w:rFonts w:ascii="Segoe UI" w:eastAsia="Calibri" w:hAnsi="Segoe UI" w:cs="Segoe UI"/>
          <w:color w:val="666666"/>
          <w:sz w:val="20"/>
          <w:szCs w:val="20"/>
        </w:rPr>
        <w:t>,</w:t>
      </w:r>
      <w:r w:rsidRPr="00CF6D7C">
        <w:rPr>
          <w:rFonts w:ascii="Segoe UI" w:eastAsia="Calibri" w:hAnsi="Segoe UI" w:cs="Segoe UI"/>
          <w:color w:val="666666"/>
          <w:sz w:val="20"/>
          <w:szCs w:val="20"/>
        </w:rPr>
        <w:t xml:space="preserve"> or 7%, primarily due to higher headcount-related expenses. </w:t>
      </w:r>
    </w:p>
    <w:p w14:paraId="3BFA95B2" w14:textId="77777777" w:rsidR="00A97FF8" w:rsidRPr="00F1249C" w:rsidRDefault="00A97FF8" w:rsidP="00F1249C">
      <w:pPr>
        <w:pStyle w:val="NormalWeb"/>
        <w:keepNext/>
        <w:spacing w:before="270" w:beforeAutospacing="0" w:after="270" w:afterAutospacing="0"/>
        <w:jc w:val="left"/>
        <w:rPr>
          <w:rFonts w:ascii="Segoe UI" w:hAnsi="Segoe UI" w:cs="Segoe UI"/>
          <w:b/>
          <w:bCs/>
          <w:i/>
          <w:color w:val="666666"/>
          <w:sz w:val="20"/>
          <w:szCs w:val="20"/>
        </w:rPr>
      </w:pPr>
      <w:r w:rsidRPr="00F1249C">
        <w:rPr>
          <w:rFonts w:ascii="Segoe UI" w:hAnsi="Segoe UI" w:cs="Segoe UI"/>
          <w:b/>
          <w:bCs/>
          <w:i/>
          <w:color w:val="666666"/>
          <w:sz w:val="20"/>
          <w:szCs w:val="20"/>
        </w:rPr>
        <w:t>UNEARNED REVENUE</w:t>
      </w:r>
    </w:p>
    <w:p w14:paraId="174DB42B" w14:textId="77777777" w:rsidR="00A97FF8" w:rsidRPr="00CF6D7C" w:rsidRDefault="00A97FF8" w:rsidP="00F1249C">
      <w:pPr>
        <w:pStyle w:val="NormalWeb"/>
        <w:spacing w:before="120" w:beforeAutospacing="0" w:after="200" w:afterAutospacing="0" w:line="280" w:lineRule="exact"/>
        <w:rPr>
          <w:rFonts w:ascii="Segoe UI" w:eastAsia="Calibri" w:hAnsi="Segoe UI" w:cs="Segoe UI"/>
          <w:color w:val="666666"/>
          <w:sz w:val="20"/>
          <w:szCs w:val="20"/>
        </w:rPr>
      </w:pPr>
      <w:r w:rsidRPr="00CF6D7C">
        <w:rPr>
          <w:rFonts w:ascii="Segoe UI" w:eastAsia="Calibri" w:hAnsi="Segoe UI" w:cs="Segoe UI"/>
          <w:color w:val="666666"/>
          <w:sz w:val="20"/>
          <w:szCs w:val="20"/>
        </w:rPr>
        <w:t>The following table outlines unearned revenue by segment:  </w:t>
      </w:r>
    </w:p>
    <w:tbl>
      <w:tblPr>
        <w:tblW w:w="7655" w:type="dxa"/>
        <w:tblLayout w:type="fixed"/>
        <w:tblCellMar>
          <w:left w:w="0" w:type="dxa"/>
          <w:right w:w="0" w:type="dxa"/>
        </w:tblCellMar>
        <w:tblLook w:val="0000" w:firstRow="0" w:lastRow="0" w:firstColumn="0" w:lastColumn="0" w:noHBand="0" w:noVBand="0"/>
      </w:tblPr>
      <w:tblGrid>
        <w:gridCol w:w="5137"/>
        <w:gridCol w:w="269"/>
        <w:gridCol w:w="181"/>
        <w:gridCol w:w="721"/>
        <w:gridCol w:w="271"/>
        <w:gridCol w:w="90"/>
        <w:gridCol w:w="179"/>
        <w:gridCol w:w="724"/>
        <w:gridCol w:w="83"/>
      </w:tblGrid>
      <w:tr w:rsidR="007642A8" w:rsidRPr="00CF6D7C" w14:paraId="54E4FB7B" w14:textId="77777777" w:rsidTr="0050159E">
        <w:trPr>
          <w:tblHeader/>
        </w:trPr>
        <w:tc>
          <w:tcPr>
            <w:tcW w:w="3355" w:type="pct"/>
            <w:vAlign w:val="center"/>
          </w:tcPr>
          <w:p w14:paraId="6D2B8EEB" w14:textId="77777777" w:rsidR="007642A8" w:rsidRPr="00CF6D7C" w:rsidRDefault="007642A8" w:rsidP="0050159E">
            <w:pPr>
              <w:rPr>
                <w:rFonts w:ascii="Segoe UI" w:hAnsi="Segoe UI" w:cs="Segoe UI"/>
                <w:color w:val="666666"/>
                <w:sz w:val="20"/>
                <w:szCs w:val="20"/>
              </w:rPr>
            </w:pPr>
          </w:p>
        </w:tc>
        <w:tc>
          <w:tcPr>
            <w:tcW w:w="176" w:type="pct"/>
            <w:vAlign w:val="bottom"/>
          </w:tcPr>
          <w:p w14:paraId="3B16CCAD" w14:textId="77777777" w:rsidR="007642A8" w:rsidRPr="00CF6D7C" w:rsidRDefault="007642A8" w:rsidP="0050159E">
            <w:pPr>
              <w:rPr>
                <w:rFonts w:ascii="Segoe UI" w:hAnsi="Segoe UI" w:cs="Segoe UI"/>
                <w:color w:val="666666"/>
                <w:sz w:val="20"/>
                <w:szCs w:val="20"/>
              </w:rPr>
            </w:pPr>
          </w:p>
        </w:tc>
        <w:tc>
          <w:tcPr>
            <w:tcW w:w="118" w:type="pct"/>
            <w:vAlign w:val="center"/>
          </w:tcPr>
          <w:p w14:paraId="74B6D3B3" w14:textId="77777777" w:rsidR="007642A8" w:rsidRPr="00CF6D7C" w:rsidRDefault="007642A8" w:rsidP="0050159E">
            <w:pPr>
              <w:rPr>
                <w:rFonts w:ascii="Segoe UI" w:hAnsi="Segoe UI" w:cs="Segoe UI"/>
                <w:color w:val="666666"/>
                <w:sz w:val="20"/>
                <w:szCs w:val="20"/>
              </w:rPr>
            </w:pPr>
          </w:p>
        </w:tc>
        <w:tc>
          <w:tcPr>
            <w:tcW w:w="471" w:type="pct"/>
            <w:vAlign w:val="center"/>
          </w:tcPr>
          <w:p w14:paraId="24E4657A" w14:textId="77777777" w:rsidR="007642A8" w:rsidRPr="00CF6D7C" w:rsidRDefault="007642A8" w:rsidP="0050159E">
            <w:pPr>
              <w:rPr>
                <w:rFonts w:ascii="Segoe UI" w:hAnsi="Segoe UI" w:cs="Segoe UI"/>
                <w:color w:val="666666"/>
                <w:sz w:val="20"/>
                <w:szCs w:val="20"/>
              </w:rPr>
            </w:pPr>
          </w:p>
        </w:tc>
        <w:tc>
          <w:tcPr>
            <w:tcW w:w="177" w:type="pct"/>
            <w:vAlign w:val="center"/>
          </w:tcPr>
          <w:p w14:paraId="6915BF14" w14:textId="77777777" w:rsidR="007642A8" w:rsidRPr="00CF6D7C" w:rsidRDefault="007642A8" w:rsidP="0050159E">
            <w:pPr>
              <w:rPr>
                <w:rFonts w:ascii="Segoe UI" w:hAnsi="Segoe UI" w:cs="Segoe UI"/>
                <w:color w:val="666666"/>
                <w:sz w:val="20"/>
                <w:szCs w:val="20"/>
              </w:rPr>
            </w:pPr>
          </w:p>
        </w:tc>
        <w:tc>
          <w:tcPr>
            <w:tcW w:w="59" w:type="pct"/>
            <w:vAlign w:val="bottom"/>
          </w:tcPr>
          <w:p w14:paraId="0250403B" w14:textId="77777777" w:rsidR="007642A8" w:rsidRPr="00CF6D7C" w:rsidRDefault="007642A8" w:rsidP="0050159E">
            <w:pPr>
              <w:rPr>
                <w:rFonts w:ascii="Segoe UI" w:hAnsi="Segoe UI" w:cs="Segoe UI"/>
                <w:color w:val="666666"/>
                <w:sz w:val="20"/>
                <w:szCs w:val="20"/>
              </w:rPr>
            </w:pPr>
          </w:p>
        </w:tc>
        <w:tc>
          <w:tcPr>
            <w:tcW w:w="117" w:type="pct"/>
            <w:vAlign w:val="center"/>
          </w:tcPr>
          <w:p w14:paraId="5BBCC25E" w14:textId="77777777" w:rsidR="007642A8" w:rsidRPr="00CF6D7C" w:rsidRDefault="007642A8" w:rsidP="0050159E">
            <w:pPr>
              <w:rPr>
                <w:rFonts w:ascii="Segoe UI" w:hAnsi="Segoe UI" w:cs="Segoe UI"/>
                <w:color w:val="666666"/>
                <w:sz w:val="20"/>
                <w:szCs w:val="20"/>
              </w:rPr>
            </w:pPr>
          </w:p>
        </w:tc>
        <w:tc>
          <w:tcPr>
            <w:tcW w:w="473" w:type="pct"/>
            <w:vAlign w:val="center"/>
          </w:tcPr>
          <w:p w14:paraId="73796D0F" w14:textId="77777777" w:rsidR="007642A8" w:rsidRPr="00CF6D7C" w:rsidRDefault="007642A8" w:rsidP="0050159E">
            <w:pPr>
              <w:rPr>
                <w:rFonts w:ascii="Segoe UI" w:hAnsi="Segoe UI" w:cs="Segoe UI"/>
                <w:color w:val="666666"/>
                <w:sz w:val="20"/>
                <w:szCs w:val="20"/>
              </w:rPr>
            </w:pPr>
          </w:p>
        </w:tc>
        <w:tc>
          <w:tcPr>
            <w:tcW w:w="54" w:type="pct"/>
            <w:vAlign w:val="center"/>
          </w:tcPr>
          <w:p w14:paraId="1459D249" w14:textId="77777777" w:rsidR="007642A8" w:rsidRPr="00CF6D7C" w:rsidRDefault="007642A8" w:rsidP="0050159E">
            <w:pPr>
              <w:rPr>
                <w:rFonts w:ascii="Segoe UI" w:hAnsi="Segoe UI" w:cs="Segoe UI"/>
                <w:color w:val="666666"/>
                <w:sz w:val="20"/>
                <w:szCs w:val="20"/>
              </w:rPr>
            </w:pPr>
          </w:p>
        </w:tc>
      </w:tr>
      <w:tr w:rsidR="007642A8" w:rsidRPr="00CF6D7C" w14:paraId="0338300E" w14:textId="77777777" w:rsidTr="0050159E">
        <w:trPr>
          <w:tblHeader/>
        </w:trPr>
        <w:tc>
          <w:tcPr>
            <w:tcW w:w="3355" w:type="pct"/>
          </w:tcPr>
          <w:p w14:paraId="6F908A07" w14:textId="77777777" w:rsidR="007642A8" w:rsidRPr="000C2BE0" w:rsidRDefault="007642A8" w:rsidP="0050159E">
            <w:pPr>
              <w:pStyle w:val="NormalWeb"/>
              <w:keepNext/>
              <w:spacing w:before="0" w:beforeAutospacing="0" w:after="0" w:afterAutospacing="0"/>
              <w:rPr>
                <w:rFonts w:ascii="Segoe UI" w:hAnsi="Segoe UI" w:cs="Segoe UI"/>
                <w:color w:val="666666"/>
                <w:sz w:val="18"/>
                <w:szCs w:val="18"/>
              </w:rPr>
            </w:pPr>
            <w:r w:rsidRPr="000C2BE0">
              <w:rPr>
                <w:rFonts w:ascii="Segoe UI" w:hAnsi="Segoe UI" w:cs="Segoe UI"/>
                <w:b/>
                <w:bCs/>
                <w:color w:val="666666"/>
                <w:sz w:val="18"/>
                <w:szCs w:val="18"/>
              </w:rPr>
              <w:t>(In millions)</w:t>
            </w:r>
          </w:p>
        </w:tc>
        <w:tc>
          <w:tcPr>
            <w:tcW w:w="176" w:type="pct"/>
          </w:tcPr>
          <w:p w14:paraId="170C2169"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589" w:type="pct"/>
            <w:gridSpan w:val="2"/>
          </w:tcPr>
          <w:p w14:paraId="476A7E27"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177" w:type="pct"/>
          </w:tcPr>
          <w:p w14:paraId="5B76832C" w14:textId="77777777" w:rsidR="007642A8" w:rsidRPr="00CF6D7C" w:rsidRDefault="007642A8" w:rsidP="0050159E">
            <w:pPr>
              <w:spacing w:after="0"/>
              <w:rPr>
                <w:rFonts w:ascii="Segoe UI" w:hAnsi="Segoe UI" w:cs="Segoe UI"/>
                <w:color w:val="666666"/>
                <w:sz w:val="18"/>
                <w:szCs w:val="18"/>
              </w:rPr>
            </w:pPr>
            <w:r w:rsidRPr="00CF6D7C">
              <w:rPr>
                <w:rFonts w:ascii="Segoe UI" w:hAnsi="Segoe UI" w:cs="Segoe UI"/>
                <w:color w:val="666666"/>
                <w:sz w:val="18"/>
                <w:szCs w:val="18"/>
              </w:rPr>
              <w:t> </w:t>
            </w:r>
          </w:p>
        </w:tc>
        <w:tc>
          <w:tcPr>
            <w:tcW w:w="59" w:type="pct"/>
          </w:tcPr>
          <w:p w14:paraId="6C930320"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590" w:type="pct"/>
            <w:gridSpan w:val="2"/>
          </w:tcPr>
          <w:p w14:paraId="5EEBE227"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54" w:type="pct"/>
          </w:tcPr>
          <w:p w14:paraId="1A4FD201" w14:textId="77777777" w:rsidR="007642A8" w:rsidRPr="00CF6D7C" w:rsidRDefault="007642A8" w:rsidP="0050159E">
            <w:pPr>
              <w:spacing w:after="0"/>
              <w:rPr>
                <w:rFonts w:ascii="Segoe UI" w:hAnsi="Segoe UI" w:cs="Segoe UI"/>
                <w:color w:val="666666"/>
                <w:sz w:val="20"/>
                <w:szCs w:val="20"/>
              </w:rPr>
            </w:pPr>
            <w:r w:rsidRPr="00CF6D7C">
              <w:rPr>
                <w:rFonts w:ascii="Segoe UI" w:hAnsi="Segoe UI" w:cs="Segoe UI"/>
                <w:color w:val="666666"/>
                <w:sz w:val="20"/>
                <w:szCs w:val="20"/>
              </w:rPr>
              <w:t> </w:t>
            </w:r>
          </w:p>
        </w:tc>
      </w:tr>
      <w:tr w:rsidR="007642A8" w:rsidRPr="00CF6D7C" w14:paraId="7A120EDA" w14:textId="77777777" w:rsidTr="0050159E">
        <w:tc>
          <w:tcPr>
            <w:tcW w:w="4946" w:type="pct"/>
            <w:gridSpan w:val="8"/>
          </w:tcPr>
          <w:p w14:paraId="1D984BB3" w14:textId="77777777" w:rsidR="007642A8" w:rsidRPr="000C2BE0" w:rsidRDefault="007642A8" w:rsidP="0050159E">
            <w:pPr>
              <w:pStyle w:val="rrdsinglerule"/>
              <w:spacing w:before="0"/>
              <w:rPr>
                <w:rFonts w:ascii="Segoe UI" w:hAnsi="Segoe UI" w:cs="Segoe UI"/>
                <w:color w:val="666666"/>
                <w:sz w:val="18"/>
                <w:szCs w:val="18"/>
              </w:rPr>
            </w:pPr>
            <w:r w:rsidRPr="000C2BE0">
              <w:rPr>
                <w:rFonts w:ascii="Segoe UI" w:hAnsi="Segoe UI" w:cs="Segoe UI"/>
                <w:color w:val="666666"/>
                <w:sz w:val="18"/>
                <w:szCs w:val="18"/>
              </w:rPr>
              <w:t> </w:t>
            </w:r>
          </w:p>
        </w:tc>
        <w:tc>
          <w:tcPr>
            <w:tcW w:w="54" w:type="pct"/>
          </w:tcPr>
          <w:p w14:paraId="769CD7DC" w14:textId="77777777" w:rsidR="007642A8" w:rsidRPr="00DF31D8" w:rsidRDefault="007642A8" w:rsidP="0050159E">
            <w:pPr>
              <w:pStyle w:val="la2"/>
              <w:rPr>
                <w:rFonts w:ascii="Segoe UI" w:hAnsi="Segoe UI" w:cs="Segoe UI"/>
                <w:color w:val="666666"/>
                <w:sz w:val="20"/>
                <w:szCs w:val="20"/>
              </w:rPr>
            </w:pPr>
            <w:r w:rsidRPr="00DF31D8">
              <w:rPr>
                <w:rFonts w:ascii="Segoe UI" w:hAnsi="Segoe UI" w:cs="Segoe UI"/>
                <w:color w:val="666666"/>
                <w:sz w:val="20"/>
                <w:szCs w:val="20"/>
              </w:rPr>
              <w:t> </w:t>
            </w:r>
          </w:p>
        </w:tc>
      </w:tr>
      <w:tr w:rsidR="007642A8" w:rsidRPr="00CF6D7C" w14:paraId="1E30BB13" w14:textId="77777777" w:rsidTr="0050159E">
        <w:tc>
          <w:tcPr>
            <w:tcW w:w="3355" w:type="pct"/>
          </w:tcPr>
          <w:p w14:paraId="21D0ABD2" w14:textId="77777777" w:rsidR="007642A8" w:rsidRPr="000C2BE0" w:rsidRDefault="007642A8" w:rsidP="0050159E">
            <w:pPr>
              <w:pStyle w:val="NormalWeb"/>
              <w:keepNext/>
              <w:spacing w:before="0" w:beforeAutospacing="0" w:after="0" w:afterAutospacing="0"/>
              <w:rPr>
                <w:rFonts w:ascii="Segoe UI" w:hAnsi="Segoe UI" w:cs="Segoe UI"/>
                <w:color w:val="666666"/>
                <w:sz w:val="18"/>
                <w:szCs w:val="18"/>
              </w:rPr>
            </w:pPr>
            <w:r w:rsidRPr="000C2BE0">
              <w:rPr>
                <w:rFonts w:ascii="Segoe UI" w:hAnsi="Segoe UI" w:cs="Segoe UI"/>
                <w:b/>
                <w:bCs/>
                <w:color w:val="666666"/>
                <w:sz w:val="18"/>
                <w:szCs w:val="18"/>
              </w:rPr>
              <w:t>June 30,</w:t>
            </w:r>
          </w:p>
        </w:tc>
        <w:tc>
          <w:tcPr>
            <w:tcW w:w="176" w:type="pct"/>
          </w:tcPr>
          <w:p w14:paraId="5D5C5D0C"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589" w:type="pct"/>
            <w:gridSpan w:val="2"/>
            <w:tcMar>
              <w:top w:w="0" w:type="dxa"/>
              <w:left w:w="14" w:type="dxa"/>
              <w:bottom w:w="0" w:type="dxa"/>
              <w:right w:w="14" w:type="dxa"/>
            </w:tcMar>
          </w:tcPr>
          <w:p w14:paraId="3B6A7352"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2013</w:t>
            </w:r>
          </w:p>
        </w:tc>
        <w:tc>
          <w:tcPr>
            <w:tcW w:w="177" w:type="pct"/>
          </w:tcPr>
          <w:p w14:paraId="7DD6E215" w14:textId="77777777" w:rsidR="007642A8" w:rsidRPr="00CF6D7C" w:rsidRDefault="007642A8" w:rsidP="0050159E">
            <w:pPr>
              <w:spacing w:after="0" w:line="240" w:lineRule="auto"/>
              <w:rPr>
                <w:rFonts w:ascii="Segoe UI" w:hAnsi="Segoe UI" w:cs="Segoe UI"/>
                <w:b/>
                <w:color w:val="666666"/>
                <w:sz w:val="18"/>
                <w:szCs w:val="18"/>
              </w:rPr>
            </w:pPr>
          </w:p>
        </w:tc>
        <w:tc>
          <w:tcPr>
            <w:tcW w:w="59" w:type="pct"/>
          </w:tcPr>
          <w:p w14:paraId="37AC42E7" w14:textId="77777777" w:rsidR="007642A8" w:rsidRPr="00CF6D7C" w:rsidRDefault="007642A8" w:rsidP="0050159E">
            <w:pPr>
              <w:pStyle w:val="la2"/>
              <w:spacing w:line="240" w:lineRule="auto"/>
              <w:rPr>
                <w:rFonts w:ascii="Segoe UI" w:eastAsia="Calibri" w:hAnsi="Segoe UI" w:cs="Segoe UI"/>
                <w:noProof w:val="0"/>
                <w:color w:val="666666"/>
                <w:sz w:val="18"/>
                <w:szCs w:val="18"/>
              </w:rPr>
            </w:pPr>
            <w:r w:rsidRPr="00CF6D7C">
              <w:rPr>
                <w:rFonts w:ascii="Segoe UI" w:eastAsia="Calibri" w:hAnsi="Segoe UI" w:cs="Segoe UI"/>
                <w:noProof w:val="0"/>
                <w:color w:val="666666"/>
                <w:sz w:val="18"/>
                <w:szCs w:val="18"/>
              </w:rPr>
              <w:t> </w:t>
            </w:r>
          </w:p>
        </w:tc>
        <w:tc>
          <w:tcPr>
            <w:tcW w:w="590" w:type="pct"/>
            <w:gridSpan w:val="2"/>
            <w:tcMar>
              <w:top w:w="0" w:type="dxa"/>
              <w:left w:w="14" w:type="dxa"/>
              <w:bottom w:w="0" w:type="dxa"/>
              <w:right w:w="14" w:type="dxa"/>
            </w:tcMar>
          </w:tcPr>
          <w:p w14:paraId="668F7ABF"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2012</w:t>
            </w:r>
          </w:p>
        </w:tc>
        <w:tc>
          <w:tcPr>
            <w:tcW w:w="54" w:type="pct"/>
          </w:tcPr>
          <w:p w14:paraId="2964E1A2" w14:textId="77777777" w:rsidR="007642A8" w:rsidRPr="00CF6D7C" w:rsidRDefault="007642A8" w:rsidP="0050159E">
            <w:pPr>
              <w:spacing w:after="0" w:line="240" w:lineRule="auto"/>
              <w:rPr>
                <w:rFonts w:ascii="Segoe UI" w:hAnsi="Segoe UI" w:cs="Segoe UI"/>
                <w:color w:val="666666"/>
                <w:sz w:val="18"/>
                <w:szCs w:val="18"/>
              </w:rPr>
            </w:pPr>
            <w:r w:rsidRPr="00CF6D7C">
              <w:rPr>
                <w:rFonts w:ascii="Segoe UI" w:hAnsi="Segoe UI" w:cs="Segoe UI"/>
                <w:color w:val="666666"/>
                <w:sz w:val="18"/>
                <w:szCs w:val="18"/>
              </w:rPr>
              <w:t> </w:t>
            </w:r>
          </w:p>
        </w:tc>
      </w:tr>
      <w:tr w:rsidR="007642A8" w:rsidRPr="00CF6D7C" w14:paraId="00B41AE9" w14:textId="77777777" w:rsidTr="0050159E">
        <w:tc>
          <w:tcPr>
            <w:tcW w:w="3355" w:type="pct"/>
          </w:tcPr>
          <w:p w14:paraId="4E859CB8" w14:textId="77777777" w:rsidR="007642A8" w:rsidRPr="003146F2" w:rsidRDefault="007642A8" w:rsidP="0050159E">
            <w:pPr>
              <w:pStyle w:val="NormalWeb"/>
              <w:spacing w:before="0" w:beforeAutospacing="0" w:after="0" w:afterAutospacing="0"/>
              <w:ind w:left="240" w:hanging="240"/>
              <w:rPr>
                <w:rFonts w:ascii="Segoe UI" w:hAnsi="Segoe UI" w:cs="Segoe UI"/>
                <w:color w:val="666666"/>
                <w:sz w:val="18"/>
                <w:szCs w:val="18"/>
              </w:rPr>
            </w:pPr>
          </w:p>
        </w:tc>
        <w:tc>
          <w:tcPr>
            <w:tcW w:w="176" w:type="pct"/>
          </w:tcPr>
          <w:p w14:paraId="76DA305B" w14:textId="77777777" w:rsidR="007642A8" w:rsidRPr="003146F2" w:rsidRDefault="007642A8" w:rsidP="0050159E">
            <w:pPr>
              <w:pStyle w:val="la2"/>
              <w:rPr>
                <w:rFonts w:ascii="Segoe UI" w:hAnsi="Segoe UI" w:cs="Segoe UI"/>
                <w:color w:val="666666"/>
                <w:sz w:val="18"/>
                <w:szCs w:val="18"/>
              </w:rPr>
            </w:pPr>
          </w:p>
        </w:tc>
        <w:tc>
          <w:tcPr>
            <w:tcW w:w="118" w:type="pct"/>
          </w:tcPr>
          <w:p w14:paraId="2B7E1A61" w14:textId="77777777" w:rsidR="007642A8" w:rsidRPr="00CF6D7C" w:rsidRDefault="007642A8" w:rsidP="0050159E">
            <w:pPr>
              <w:spacing w:after="0" w:line="240" w:lineRule="auto"/>
              <w:jc w:val="right"/>
              <w:rPr>
                <w:rFonts w:ascii="Segoe UI" w:hAnsi="Segoe UI" w:cs="Segoe UI"/>
                <w:b/>
                <w:color w:val="666666"/>
                <w:sz w:val="18"/>
                <w:szCs w:val="18"/>
              </w:rPr>
            </w:pPr>
          </w:p>
        </w:tc>
        <w:tc>
          <w:tcPr>
            <w:tcW w:w="471" w:type="pct"/>
          </w:tcPr>
          <w:p w14:paraId="1FC6D6E1" w14:textId="77777777" w:rsidR="007642A8" w:rsidRPr="00CF6D7C" w:rsidRDefault="007642A8" w:rsidP="0050159E">
            <w:pPr>
              <w:spacing w:after="0" w:line="240" w:lineRule="auto"/>
              <w:jc w:val="right"/>
              <w:rPr>
                <w:rFonts w:ascii="Segoe UI" w:hAnsi="Segoe UI" w:cs="Segoe UI"/>
                <w:b/>
                <w:color w:val="666666"/>
                <w:sz w:val="18"/>
                <w:szCs w:val="18"/>
              </w:rPr>
            </w:pPr>
          </w:p>
        </w:tc>
        <w:tc>
          <w:tcPr>
            <w:tcW w:w="177" w:type="pct"/>
            <w:noWrap/>
          </w:tcPr>
          <w:p w14:paraId="2A2E2ED6" w14:textId="77777777" w:rsidR="007642A8" w:rsidRPr="00CF6D7C" w:rsidRDefault="007642A8" w:rsidP="0050159E">
            <w:pPr>
              <w:spacing w:after="0" w:line="240" w:lineRule="auto"/>
              <w:jc w:val="right"/>
              <w:rPr>
                <w:rFonts w:ascii="Segoe UI" w:hAnsi="Segoe UI" w:cs="Segoe UI"/>
                <w:b/>
                <w:color w:val="666666"/>
                <w:sz w:val="18"/>
                <w:szCs w:val="18"/>
              </w:rPr>
            </w:pPr>
          </w:p>
        </w:tc>
        <w:tc>
          <w:tcPr>
            <w:tcW w:w="59" w:type="pct"/>
          </w:tcPr>
          <w:p w14:paraId="48C78AF4" w14:textId="77777777" w:rsidR="007642A8" w:rsidRPr="00CF6D7C" w:rsidRDefault="007642A8" w:rsidP="0050159E">
            <w:pPr>
              <w:pStyle w:val="la2"/>
              <w:spacing w:line="240" w:lineRule="auto"/>
              <w:jc w:val="right"/>
              <w:rPr>
                <w:rFonts w:ascii="Segoe UI" w:eastAsia="Calibri" w:hAnsi="Segoe UI" w:cs="Segoe UI"/>
                <w:noProof w:val="0"/>
                <w:color w:val="666666"/>
                <w:sz w:val="18"/>
                <w:szCs w:val="18"/>
              </w:rPr>
            </w:pPr>
          </w:p>
        </w:tc>
        <w:tc>
          <w:tcPr>
            <w:tcW w:w="117" w:type="pct"/>
          </w:tcPr>
          <w:p w14:paraId="2A2A89DC" w14:textId="77777777" w:rsidR="007642A8" w:rsidRPr="00CF6D7C" w:rsidRDefault="007642A8" w:rsidP="0050159E">
            <w:pPr>
              <w:spacing w:after="0" w:line="240" w:lineRule="auto"/>
              <w:jc w:val="right"/>
              <w:rPr>
                <w:rFonts w:ascii="Segoe UI" w:hAnsi="Segoe UI" w:cs="Segoe UI"/>
                <w:color w:val="666666"/>
                <w:sz w:val="18"/>
                <w:szCs w:val="18"/>
              </w:rPr>
            </w:pPr>
          </w:p>
        </w:tc>
        <w:tc>
          <w:tcPr>
            <w:tcW w:w="473" w:type="pct"/>
          </w:tcPr>
          <w:p w14:paraId="3CF780E2" w14:textId="77777777" w:rsidR="007642A8" w:rsidRPr="00CF6D7C" w:rsidRDefault="007642A8" w:rsidP="0050159E">
            <w:pPr>
              <w:spacing w:after="0" w:line="240" w:lineRule="auto"/>
              <w:jc w:val="right"/>
              <w:rPr>
                <w:rFonts w:ascii="Segoe UI" w:hAnsi="Segoe UI" w:cs="Segoe UI"/>
                <w:color w:val="666666"/>
                <w:sz w:val="18"/>
                <w:szCs w:val="18"/>
              </w:rPr>
            </w:pPr>
          </w:p>
        </w:tc>
        <w:tc>
          <w:tcPr>
            <w:tcW w:w="54" w:type="pct"/>
            <w:noWrap/>
          </w:tcPr>
          <w:p w14:paraId="7E182E45" w14:textId="77777777" w:rsidR="007642A8" w:rsidRPr="00CF6D7C" w:rsidRDefault="007642A8" w:rsidP="0050159E">
            <w:pPr>
              <w:spacing w:after="0" w:line="240" w:lineRule="auto"/>
              <w:jc w:val="right"/>
              <w:rPr>
                <w:rFonts w:ascii="Segoe UI" w:hAnsi="Segoe UI" w:cs="Segoe UI"/>
                <w:color w:val="666666"/>
                <w:sz w:val="18"/>
                <w:szCs w:val="18"/>
              </w:rPr>
            </w:pPr>
          </w:p>
        </w:tc>
      </w:tr>
      <w:tr w:rsidR="007642A8" w:rsidRPr="00CF6D7C" w14:paraId="0855E192" w14:textId="77777777" w:rsidTr="0050159E">
        <w:tc>
          <w:tcPr>
            <w:tcW w:w="3355" w:type="pct"/>
          </w:tcPr>
          <w:p w14:paraId="18790A47" w14:textId="77777777" w:rsidR="007642A8" w:rsidRPr="003146F2" w:rsidRDefault="007642A8" w:rsidP="0050159E">
            <w:pPr>
              <w:pStyle w:val="NormalWeb"/>
              <w:spacing w:before="0" w:beforeAutospacing="0" w:after="0" w:afterAutospacing="0"/>
              <w:ind w:left="240" w:hanging="240"/>
              <w:rPr>
                <w:rFonts w:ascii="Segoe UI" w:hAnsi="Segoe UI" w:cs="Segoe UI"/>
                <w:color w:val="666666"/>
                <w:sz w:val="18"/>
                <w:szCs w:val="18"/>
              </w:rPr>
            </w:pPr>
            <w:r w:rsidRPr="003146F2">
              <w:rPr>
                <w:rFonts w:ascii="Segoe UI" w:hAnsi="Segoe UI" w:cs="Segoe UI"/>
                <w:color w:val="666666"/>
                <w:sz w:val="18"/>
                <w:szCs w:val="18"/>
              </w:rPr>
              <w:t>Windows Division</w:t>
            </w:r>
          </w:p>
        </w:tc>
        <w:tc>
          <w:tcPr>
            <w:tcW w:w="176" w:type="pct"/>
          </w:tcPr>
          <w:p w14:paraId="768C1105" w14:textId="77777777" w:rsidR="007642A8" w:rsidRPr="003146F2" w:rsidRDefault="007642A8" w:rsidP="0050159E">
            <w:pPr>
              <w:pStyle w:val="la2"/>
              <w:rPr>
                <w:rFonts w:ascii="Segoe UI" w:hAnsi="Segoe UI" w:cs="Segoe UI"/>
                <w:color w:val="666666"/>
                <w:sz w:val="18"/>
                <w:szCs w:val="18"/>
              </w:rPr>
            </w:pPr>
            <w:r w:rsidRPr="003146F2">
              <w:rPr>
                <w:rFonts w:ascii="Segoe UI" w:hAnsi="Segoe UI" w:cs="Segoe UI"/>
                <w:color w:val="666666"/>
                <w:sz w:val="18"/>
                <w:szCs w:val="18"/>
              </w:rPr>
              <w:t> </w:t>
            </w:r>
          </w:p>
        </w:tc>
        <w:tc>
          <w:tcPr>
            <w:tcW w:w="118" w:type="pct"/>
          </w:tcPr>
          <w:p w14:paraId="7675E03E"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w:t>
            </w:r>
          </w:p>
        </w:tc>
        <w:tc>
          <w:tcPr>
            <w:tcW w:w="471" w:type="pct"/>
          </w:tcPr>
          <w:p w14:paraId="232890A7"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2,086</w:t>
            </w:r>
          </w:p>
        </w:tc>
        <w:tc>
          <w:tcPr>
            <w:tcW w:w="177" w:type="pct"/>
            <w:noWrap/>
          </w:tcPr>
          <w:p w14:paraId="66422052"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59" w:type="pct"/>
          </w:tcPr>
          <w:p w14:paraId="11DED8D6" w14:textId="77777777" w:rsidR="007642A8" w:rsidRPr="00CF6D7C" w:rsidRDefault="007642A8" w:rsidP="0050159E">
            <w:pPr>
              <w:pStyle w:val="la2"/>
              <w:spacing w:line="240" w:lineRule="auto"/>
              <w:jc w:val="right"/>
              <w:rPr>
                <w:rFonts w:ascii="Segoe UI" w:eastAsia="Calibri" w:hAnsi="Segoe UI" w:cs="Segoe UI"/>
                <w:noProof w:val="0"/>
                <w:color w:val="666666"/>
                <w:sz w:val="18"/>
                <w:szCs w:val="18"/>
              </w:rPr>
            </w:pPr>
            <w:r w:rsidRPr="00CF6D7C">
              <w:rPr>
                <w:rFonts w:ascii="Segoe UI" w:eastAsia="Calibri" w:hAnsi="Segoe UI" w:cs="Segoe UI"/>
                <w:noProof w:val="0"/>
                <w:color w:val="666666"/>
                <w:sz w:val="18"/>
                <w:szCs w:val="18"/>
              </w:rPr>
              <w:t> </w:t>
            </w:r>
          </w:p>
        </w:tc>
        <w:tc>
          <w:tcPr>
            <w:tcW w:w="117" w:type="pct"/>
          </w:tcPr>
          <w:p w14:paraId="2D314490"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w:t>
            </w:r>
          </w:p>
        </w:tc>
        <w:tc>
          <w:tcPr>
            <w:tcW w:w="473" w:type="pct"/>
          </w:tcPr>
          <w:p w14:paraId="56201257"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2,444</w:t>
            </w:r>
          </w:p>
        </w:tc>
        <w:tc>
          <w:tcPr>
            <w:tcW w:w="54" w:type="pct"/>
            <w:noWrap/>
          </w:tcPr>
          <w:p w14:paraId="276C7F21"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r>
      <w:tr w:rsidR="007642A8" w:rsidRPr="00CF6D7C" w14:paraId="18F4F1B5" w14:textId="77777777" w:rsidTr="0050159E">
        <w:tc>
          <w:tcPr>
            <w:tcW w:w="3355" w:type="pct"/>
          </w:tcPr>
          <w:p w14:paraId="61BB4394" w14:textId="77777777" w:rsidR="007642A8" w:rsidRPr="000C2BE0" w:rsidRDefault="007642A8" w:rsidP="0050159E">
            <w:pPr>
              <w:pStyle w:val="NormalWeb"/>
              <w:spacing w:before="0" w:beforeAutospacing="0" w:after="0" w:afterAutospacing="0"/>
              <w:rPr>
                <w:rFonts w:ascii="Segoe UI" w:hAnsi="Segoe UI" w:cs="Segoe UI"/>
                <w:color w:val="666666"/>
                <w:sz w:val="18"/>
                <w:szCs w:val="18"/>
              </w:rPr>
            </w:pPr>
            <w:r w:rsidRPr="000C2BE0">
              <w:rPr>
                <w:rFonts w:ascii="Segoe UI" w:hAnsi="Segoe UI" w:cs="Segoe UI"/>
                <w:color w:val="666666"/>
                <w:sz w:val="18"/>
                <w:szCs w:val="18"/>
              </w:rPr>
              <w:t>Server and Tools</w:t>
            </w:r>
          </w:p>
        </w:tc>
        <w:tc>
          <w:tcPr>
            <w:tcW w:w="176" w:type="pct"/>
          </w:tcPr>
          <w:p w14:paraId="681C5EAD"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118" w:type="pct"/>
          </w:tcPr>
          <w:p w14:paraId="236911DA"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471" w:type="pct"/>
          </w:tcPr>
          <w:p w14:paraId="10DEAD78"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8,639</w:t>
            </w:r>
          </w:p>
        </w:tc>
        <w:tc>
          <w:tcPr>
            <w:tcW w:w="177" w:type="pct"/>
            <w:noWrap/>
          </w:tcPr>
          <w:p w14:paraId="49B17CD4"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59" w:type="pct"/>
          </w:tcPr>
          <w:p w14:paraId="390EBF9C" w14:textId="77777777" w:rsidR="007642A8" w:rsidRPr="00CF6D7C" w:rsidRDefault="007642A8" w:rsidP="0050159E">
            <w:pPr>
              <w:pStyle w:val="la2"/>
              <w:spacing w:line="240" w:lineRule="auto"/>
              <w:jc w:val="right"/>
              <w:rPr>
                <w:rFonts w:ascii="Segoe UI" w:eastAsia="Calibri" w:hAnsi="Segoe UI" w:cs="Segoe UI"/>
                <w:noProof w:val="0"/>
                <w:color w:val="666666"/>
                <w:sz w:val="18"/>
                <w:szCs w:val="18"/>
              </w:rPr>
            </w:pPr>
            <w:r w:rsidRPr="00CF6D7C">
              <w:rPr>
                <w:rFonts w:ascii="Segoe UI" w:eastAsia="Calibri" w:hAnsi="Segoe UI" w:cs="Segoe UI"/>
                <w:noProof w:val="0"/>
                <w:color w:val="666666"/>
                <w:sz w:val="18"/>
                <w:szCs w:val="18"/>
              </w:rPr>
              <w:t> </w:t>
            </w:r>
          </w:p>
        </w:tc>
        <w:tc>
          <w:tcPr>
            <w:tcW w:w="117" w:type="pct"/>
          </w:tcPr>
          <w:p w14:paraId="05D9A169"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c>
          <w:tcPr>
            <w:tcW w:w="473" w:type="pct"/>
          </w:tcPr>
          <w:p w14:paraId="0911F58A"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7,445</w:t>
            </w:r>
          </w:p>
        </w:tc>
        <w:tc>
          <w:tcPr>
            <w:tcW w:w="54" w:type="pct"/>
            <w:noWrap/>
          </w:tcPr>
          <w:p w14:paraId="1105720C"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r>
      <w:tr w:rsidR="007642A8" w:rsidRPr="00CF6D7C" w14:paraId="7ED08E7E" w14:textId="77777777" w:rsidTr="0050159E">
        <w:tc>
          <w:tcPr>
            <w:tcW w:w="3355" w:type="pct"/>
          </w:tcPr>
          <w:p w14:paraId="07E95AD7" w14:textId="77777777" w:rsidR="007642A8" w:rsidRPr="000C2BE0" w:rsidRDefault="007642A8" w:rsidP="0050159E">
            <w:pPr>
              <w:pStyle w:val="NormalWeb"/>
              <w:spacing w:before="0" w:beforeAutospacing="0" w:after="0" w:afterAutospacing="0"/>
              <w:ind w:left="240" w:hanging="240"/>
              <w:rPr>
                <w:rFonts w:ascii="Segoe UI" w:hAnsi="Segoe UI" w:cs="Segoe UI"/>
                <w:color w:val="666666"/>
                <w:sz w:val="18"/>
                <w:szCs w:val="18"/>
              </w:rPr>
            </w:pPr>
            <w:r w:rsidRPr="000C2BE0">
              <w:rPr>
                <w:rFonts w:ascii="Segoe UI" w:hAnsi="Segoe UI" w:cs="Segoe UI"/>
                <w:color w:val="666666"/>
                <w:sz w:val="18"/>
                <w:szCs w:val="18"/>
              </w:rPr>
              <w:t>Microsoft Business Division</w:t>
            </w:r>
          </w:p>
        </w:tc>
        <w:tc>
          <w:tcPr>
            <w:tcW w:w="176" w:type="pct"/>
          </w:tcPr>
          <w:p w14:paraId="1E4E926B"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118" w:type="pct"/>
          </w:tcPr>
          <w:p w14:paraId="4753E212"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471" w:type="pct"/>
          </w:tcPr>
          <w:p w14:paraId="7814A626"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10,142</w:t>
            </w:r>
          </w:p>
        </w:tc>
        <w:tc>
          <w:tcPr>
            <w:tcW w:w="177" w:type="pct"/>
            <w:noWrap/>
          </w:tcPr>
          <w:p w14:paraId="4B37094C"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59" w:type="pct"/>
          </w:tcPr>
          <w:p w14:paraId="196C8E71" w14:textId="77777777" w:rsidR="007642A8" w:rsidRPr="00CF6D7C" w:rsidRDefault="007642A8" w:rsidP="0050159E">
            <w:pPr>
              <w:pStyle w:val="la2"/>
              <w:spacing w:line="240" w:lineRule="auto"/>
              <w:jc w:val="right"/>
              <w:rPr>
                <w:rFonts w:ascii="Segoe UI" w:eastAsia="Calibri" w:hAnsi="Segoe UI" w:cs="Segoe UI"/>
                <w:noProof w:val="0"/>
                <w:color w:val="666666"/>
                <w:sz w:val="18"/>
                <w:szCs w:val="18"/>
              </w:rPr>
            </w:pPr>
            <w:r w:rsidRPr="00CF6D7C">
              <w:rPr>
                <w:rFonts w:ascii="Segoe UI" w:eastAsia="Calibri" w:hAnsi="Segoe UI" w:cs="Segoe UI"/>
                <w:noProof w:val="0"/>
                <w:color w:val="666666"/>
                <w:sz w:val="18"/>
                <w:szCs w:val="18"/>
              </w:rPr>
              <w:t> </w:t>
            </w:r>
          </w:p>
        </w:tc>
        <w:tc>
          <w:tcPr>
            <w:tcW w:w="117" w:type="pct"/>
          </w:tcPr>
          <w:p w14:paraId="74A132C1"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c>
          <w:tcPr>
            <w:tcW w:w="473" w:type="pct"/>
          </w:tcPr>
          <w:p w14:paraId="67250EAC"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9,015</w:t>
            </w:r>
          </w:p>
        </w:tc>
        <w:tc>
          <w:tcPr>
            <w:tcW w:w="54" w:type="pct"/>
            <w:noWrap/>
          </w:tcPr>
          <w:p w14:paraId="13B0C05E"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r>
      <w:tr w:rsidR="007642A8" w:rsidRPr="00CF6D7C" w14:paraId="3498B81B" w14:textId="77777777" w:rsidTr="0050159E">
        <w:tc>
          <w:tcPr>
            <w:tcW w:w="3355" w:type="pct"/>
          </w:tcPr>
          <w:p w14:paraId="21F76865" w14:textId="77777777" w:rsidR="007642A8" w:rsidRPr="000C2BE0" w:rsidRDefault="007642A8" w:rsidP="0050159E">
            <w:pPr>
              <w:pStyle w:val="NormalWeb"/>
              <w:spacing w:before="0" w:beforeAutospacing="0" w:after="0" w:afterAutospacing="0"/>
              <w:ind w:left="240" w:hanging="240"/>
              <w:rPr>
                <w:rFonts w:ascii="Segoe UI" w:hAnsi="Segoe UI" w:cs="Segoe UI"/>
                <w:color w:val="666666"/>
                <w:sz w:val="18"/>
                <w:szCs w:val="18"/>
              </w:rPr>
            </w:pPr>
            <w:r w:rsidRPr="000C2BE0">
              <w:rPr>
                <w:rFonts w:ascii="Segoe UI" w:hAnsi="Segoe UI" w:cs="Segoe UI"/>
                <w:color w:val="666666"/>
                <w:sz w:val="18"/>
                <w:szCs w:val="18"/>
              </w:rPr>
              <w:t>Other segments</w:t>
            </w:r>
          </w:p>
        </w:tc>
        <w:tc>
          <w:tcPr>
            <w:tcW w:w="176" w:type="pct"/>
          </w:tcPr>
          <w:p w14:paraId="2B6C9E78"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118" w:type="pct"/>
          </w:tcPr>
          <w:p w14:paraId="010828C8"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471" w:type="pct"/>
          </w:tcPr>
          <w:p w14:paraId="31112333"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1,532</w:t>
            </w:r>
          </w:p>
        </w:tc>
        <w:tc>
          <w:tcPr>
            <w:tcW w:w="177" w:type="pct"/>
            <w:noWrap/>
          </w:tcPr>
          <w:p w14:paraId="79802B40"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59" w:type="pct"/>
          </w:tcPr>
          <w:p w14:paraId="450825C8" w14:textId="77777777" w:rsidR="007642A8" w:rsidRPr="00CF6D7C" w:rsidRDefault="007642A8" w:rsidP="0050159E">
            <w:pPr>
              <w:pStyle w:val="la2"/>
              <w:spacing w:line="240" w:lineRule="auto"/>
              <w:jc w:val="right"/>
              <w:rPr>
                <w:rFonts w:ascii="Segoe UI" w:eastAsia="Calibri" w:hAnsi="Segoe UI" w:cs="Segoe UI"/>
                <w:noProof w:val="0"/>
                <w:color w:val="666666"/>
                <w:sz w:val="18"/>
                <w:szCs w:val="18"/>
              </w:rPr>
            </w:pPr>
            <w:r w:rsidRPr="00CF6D7C">
              <w:rPr>
                <w:rFonts w:ascii="Segoe UI" w:eastAsia="Calibri" w:hAnsi="Segoe UI" w:cs="Segoe UI"/>
                <w:noProof w:val="0"/>
                <w:color w:val="666666"/>
                <w:sz w:val="18"/>
                <w:szCs w:val="18"/>
              </w:rPr>
              <w:t> </w:t>
            </w:r>
          </w:p>
        </w:tc>
        <w:tc>
          <w:tcPr>
            <w:tcW w:w="117" w:type="pct"/>
          </w:tcPr>
          <w:p w14:paraId="649E3EB3"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c>
          <w:tcPr>
            <w:tcW w:w="473" w:type="pct"/>
          </w:tcPr>
          <w:p w14:paraId="25D83916"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1,155</w:t>
            </w:r>
          </w:p>
        </w:tc>
        <w:tc>
          <w:tcPr>
            <w:tcW w:w="54" w:type="pct"/>
            <w:noWrap/>
          </w:tcPr>
          <w:p w14:paraId="7312D595"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r>
      <w:tr w:rsidR="007642A8" w:rsidRPr="00CF6D7C" w14:paraId="1D3A9344" w14:textId="77777777" w:rsidTr="0050159E">
        <w:tc>
          <w:tcPr>
            <w:tcW w:w="4120" w:type="pct"/>
            <w:gridSpan w:val="4"/>
          </w:tcPr>
          <w:p w14:paraId="61DBAAC4" w14:textId="77777777" w:rsidR="007642A8" w:rsidRPr="000C2BE0" w:rsidRDefault="007642A8" w:rsidP="0050159E">
            <w:pPr>
              <w:pStyle w:val="rrdsinglerule"/>
              <w:spacing w:before="0"/>
              <w:rPr>
                <w:rFonts w:ascii="Segoe UI" w:hAnsi="Segoe UI" w:cs="Segoe UI"/>
                <w:color w:val="666666"/>
                <w:sz w:val="18"/>
                <w:szCs w:val="18"/>
              </w:rPr>
            </w:pPr>
            <w:r w:rsidRPr="000C2BE0">
              <w:rPr>
                <w:rFonts w:ascii="Segoe UI" w:hAnsi="Segoe UI" w:cs="Segoe UI"/>
                <w:color w:val="666666"/>
                <w:sz w:val="18"/>
                <w:szCs w:val="18"/>
              </w:rPr>
              <w:t> </w:t>
            </w:r>
          </w:p>
        </w:tc>
        <w:tc>
          <w:tcPr>
            <w:tcW w:w="177" w:type="pct"/>
          </w:tcPr>
          <w:p w14:paraId="4332FB91" w14:textId="77777777" w:rsidR="007642A8" w:rsidRPr="000C2BE0" w:rsidRDefault="007642A8" w:rsidP="0050159E">
            <w:pPr>
              <w:pStyle w:val="rrdsinglerule"/>
              <w:spacing w:before="0"/>
              <w:rPr>
                <w:rFonts w:ascii="Segoe UI" w:hAnsi="Segoe UI" w:cs="Segoe UI"/>
                <w:color w:val="666666"/>
                <w:sz w:val="18"/>
                <w:szCs w:val="18"/>
              </w:rPr>
            </w:pPr>
            <w:r w:rsidRPr="000C2BE0">
              <w:rPr>
                <w:rFonts w:ascii="Segoe UI" w:hAnsi="Segoe UI" w:cs="Segoe UI"/>
                <w:color w:val="666666"/>
                <w:sz w:val="18"/>
                <w:szCs w:val="18"/>
              </w:rPr>
              <w:t> </w:t>
            </w:r>
          </w:p>
        </w:tc>
        <w:tc>
          <w:tcPr>
            <w:tcW w:w="59" w:type="pct"/>
          </w:tcPr>
          <w:p w14:paraId="15E9C5C4" w14:textId="77777777" w:rsidR="007642A8" w:rsidRPr="000C2BE0" w:rsidRDefault="007642A8" w:rsidP="0050159E">
            <w:pPr>
              <w:pStyle w:val="rrdsinglerule"/>
              <w:spacing w:before="0"/>
              <w:rPr>
                <w:rFonts w:ascii="Segoe UI" w:hAnsi="Segoe UI" w:cs="Segoe UI"/>
                <w:color w:val="666666"/>
                <w:sz w:val="18"/>
                <w:szCs w:val="18"/>
              </w:rPr>
            </w:pPr>
            <w:r w:rsidRPr="000C2BE0">
              <w:rPr>
                <w:rFonts w:ascii="Segoe UI" w:hAnsi="Segoe UI" w:cs="Segoe UI"/>
                <w:color w:val="666666"/>
                <w:sz w:val="18"/>
                <w:szCs w:val="18"/>
              </w:rPr>
              <w:t> </w:t>
            </w:r>
          </w:p>
        </w:tc>
        <w:tc>
          <w:tcPr>
            <w:tcW w:w="590" w:type="pct"/>
            <w:gridSpan w:val="2"/>
          </w:tcPr>
          <w:p w14:paraId="4454ACBF" w14:textId="77777777" w:rsidR="007642A8" w:rsidRPr="000C2BE0" w:rsidRDefault="007642A8" w:rsidP="0050159E">
            <w:pPr>
              <w:pStyle w:val="rrdsinglerule"/>
              <w:spacing w:before="0"/>
              <w:rPr>
                <w:rFonts w:ascii="Segoe UI" w:hAnsi="Segoe UI" w:cs="Segoe UI"/>
                <w:color w:val="666666"/>
                <w:sz w:val="18"/>
                <w:szCs w:val="18"/>
              </w:rPr>
            </w:pPr>
            <w:r w:rsidRPr="000C2BE0">
              <w:rPr>
                <w:rFonts w:ascii="Segoe UI" w:hAnsi="Segoe UI" w:cs="Segoe UI"/>
                <w:color w:val="666666"/>
                <w:sz w:val="18"/>
                <w:szCs w:val="18"/>
              </w:rPr>
              <w:t>  </w:t>
            </w:r>
          </w:p>
        </w:tc>
        <w:tc>
          <w:tcPr>
            <w:tcW w:w="54" w:type="pct"/>
          </w:tcPr>
          <w:p w14:paraId="7F73EC3B" w14:textId="77777777" w:rsidR="007642A8" w:rsidRPr="00D20FBC" w:rsidRDefault="007642A8" w:rsidP="0050159E">
            <w:pPr>
              <w:pStyle w:val="rrdsinglerule"/>
              <w:spacing w:before="0"/>
              <w:rPr>
                <w:rFonts w:ascii="Segoe UI" w:hAnsi="Segoe UI" w:cs="Segoe UI"/>
                <w:color w:val="666666"/>
                <w:sz w:val="18"/>
                <w:szCs w:val="18"/>
              </w:rPr>
            </w:pPr>
            <w:r w:rsidRPr="00D20FBC">
              <w:rPr>
                <w:rFonts w:ascii="Segoe UI" w:hAnsi="Segoe UI" w:cs="Segoe UI"/>
                <w:color w:val="666666"/>
                <w:sz w:val="18"/>
                <w:szCs w:val="18"/>
              </w:rPr>
              <w:t> </w:t>
            </w:r>
          </w:p>
        </w:tc>
      </w:tr>
      <w:tr w:rsidR="007642A8" w:rsidRPr="00CF6D7C" w14:paraId="2FEFF5B5" w14:textId="77777777" w:rsidTr="0050159E">
        <w:tc>
          <w:tcPr>
            <w:tcW w:w="3355" w:type="pct"/>
          </w:tcPr>
          <w:p w14:paraId="6B3046AE" w14:textId="77777777" w:rsidR="007642A8" w:rsidRPr="000C2BE0" w:rsidRDefault="007642A8" w:rsidP="0050159E">
            <w:pPr>
              <w:pStyle w:val="NormalWeb"/>
              <w:spacing w:before="0" w:beforeAutospacing="0" w:after="0" w:afterAutospacing="0"/>
              <w:ind w:left="480" w:hanging="240"/>
              <w:rPr>
                <w:rFonts w:ascii="Segoe UI" w:hAnsi="Segoe UI" w:cs="Segoe UI"/>
                <w:color w:val="666666"/>
                <w:sz w:val="18"/>
                <w:szCs w:val="18"/>
              </w:rPr>
            </w:pPr>
            <w:r w:rsidRPr="000C2BE0">
              <w:rPr>
                <w:rFonts w:ascii="Segoe UI" w:hAnsi="Segoe UI" w:cs="Segoe UI"/>
                <w:color w:val="666666"/>
                <w:sz w:val="18"/>
                <w:szCs w:val="18"/>
              </w:rPr>
              <w:t>Total</w:t>
            </w:r>
          </w:p>
        </w:tc>
        <w:tc>
          <w:tcPr>
            <w:tcW w:w="176" w:type="pct"/>
          </w:tcPr>
          <w:p w14:paraId="36147D25" w14:textId="77777777" w:rsidR="007642A8" w:rsidRPr="000C2BE0" w:rsidRDefault="007642A8" w:rsidP="0050159E">
            <w:pPr>
              <w:pStyle w:val="la2"/>
              <w:rPr>
                <w:rFonts w:ascii="Segoe UI" w:hAnsi="Segoe UI" w:cs="Segoe UI"/>
                <w:color w:val="666666"/>
                <w:sz w:val="18"/>
                <w:szCs w:val="18"/>
              </w:rPr>
            </w:pPr>
            <w:r w:rsidRPr="000C2BE0">
              <w:rPr>
                <w:rFonts w:ascii="Segoe UI" w:hAnsi="Segoe UI" w:cs="Segoe UI"/>
                <w:color w:val="666666"/>
                <w:sz w:val="18"/>
                <w:szCs w:val="18"/>
              </w:rPr>
              <w:t> </w:t>
            </w:r>
          </w:p>
        </w:tc>
        <w:tc>
          <w:tcPr>
            <w:tcW w:w="118" w:type="pct"/>
          </w:tcPr>
          <w:p w14:paraId="4B11B8B3"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w:t>
            </w:r>
          </w:p>
        </w:tc>
        <w:tc>
          <w:tcPr>
            <w:tcW w:w="471" w:type="pct"/>
          </w:tcPr>
          <w:p w14:paraId="01E79714"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22,399</w:t>
            </w:r>
          </w:p>
        </w:tc>
        <w:tc>
          <w:tcPr>
            <w:tcW w:w="177" w:type="pct"/>
            <w:noWrap/>
          </w:tcPr>
          <w:p w14:paraId="2C9B8AE5" w14:textId="77777777" w:rsidR="007642A8" w:rsidRPr="00CF6D7C" w:rsidRDefault="007642A8" w:rsidP="0050159E">
            <w:pPr>
              <w:spacing w:after="0" w:line="240" w:lineRule="auto"/>
              <w:jc w:val="right"/>
              <w:rPr>
                <w:rFonts w:ascii="Segoe UI" w:hAnsi="Segoe UI" w:cs="Segoe UI"/>
                <w:b/>
                <w:color w:val="666666"/>
                <w:sz w:val="18"/>
                <w:szCs w:val="18"/>
              </w:rPr>
            </w:pPr>
            <w:r w:rsidRPr="00CF6D7C">
              <w:rPr>
                <w:rFonts w:ascii="Segoe UI" w:hAnsi="Segoe UI" w:cs="Segoe UI"/>
                <w:b/>
                <w:color w:val="666666"/>
                <w:sz w:val="18"/>
                <w:szCs w:val="18"/>
              </w:rPr>
              <w:t> </w:t>
            </w:r>
          </w:p>
        </w:tc>
        <w:tc>
          <w:tcPr>
            <w:tcW w:w="59" w:type="pct"/>
          </w:tcPr>
          <w:p w14:paraId="662C489C" w14:textId="77777777" w:rsidR="007642A8" w:rsidRPr="00CF6D7C" w:rsidRDefault="007642A8" w:rsidP="0050159E">
            <w:pPr>
              <w:pStyle w:val="la2"/>
              <w:spacing w:line="240" w:lineRule="auto"/>
              <w:jc w:val="right"/>
              <w:rPr>
                <w:rFonts w:ascii="Segoe UI" w:eastAsia="Calibri" w:hAnsi="Segoe UI" w:cs="Segoe UI"/>
                <w:noProof w:val="0"/>
                <w:color w:val="666666"/>
                <w:sz w:val="18"/>
                <w:szCs w:val="18"/>
              </w:rPr>
            </w:pPr>
            <w:r w:rsidRPr="00CF6D7C">
              <w:rPr>
                <w:rFonts w:ascii="Segoe UI" w:eastAsia="Calibri" w:hAnsi="Segoe UI" w:cs="Segoe UI"/>
                <w:noProof w:val="0"/>
                <w:color w:val="666666"/>
                <w:sz w:val="18"/>
                <w:szCs w:val="18"/>
              </w:rPr>
              <w:t> </w:t>
            </w:r>
          </w:p>
        </w:tc>
        <w:tc>
          <w:tcPr>
            <w:tcW w:w="117" w:type="pct"/>
          </w:tcPr>
          <w:p w14:paraId="4BEA7C36"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w:t>
            </w:r>
          </w:p>
        </w:tc>
        <w:tc>
          <w:tcPr>
            <w:tcW w:w="473" w:type="pct"/>
          </w:tcPr>
          <w:p w14:paraId="7DAC00E6"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20,059</w:t>
            </w:r>
          </w:p>
        </w:tc>
        <w:tc>
          <w:tcPr>
            <w:tcW w:w="54" w:type="pct"/>
            <w:noWrap/>
          </w:tcPr>
          <w:p w14:paraId="4AAB7D3A" w14:textId="77777777" w:rsidR="007642A8" w:rsidRPr="00CF6D7C" w:rsidRDefault="007642A8" w:rsidP="0050159E">
            <w:pP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 </w:t>
            </w:r>
          </w:p>
        </w:tc>
      </w:tr>
      <w:tr w:rsidR="007642A8" w:rsidRPr="00CF6D7C" w14:paraId="3D8B9661" w14:textId="77777777" w:rsidTr="0050159E">
        <w:tc>
          <w:tcPr>
            <w:tcW w:w="3355" w:type="pct"/>
          </w:tcPr>
          <w:p w14:paraId="23B20037" w14:textId="77777777" w:rsidR="007642A8" w:rsidRPr="00CF6D7C" w:rsidRDefault="007642A8" w:rsidP="0050159E">
            <w:pPr>
              <w:spacing w:line="40" w:lineRule="exact"/>
              <w:rPr>
                <w:rFonts w:ascii="Segoe UI" w:hAnsi="Segoe UI" w:cs="Segoe UI"/>
                <w:noProof/>
                <w:color w:val="666666"/>
                <w:sz w:val="20"/>
                <w:szCs w:val="20"/>
              </w:rPr>
            </w:pPr>
            <w:r w:rsidRPr="00CF6D7C">
              <w:rPr>
                <w:rFonts w:ascii="Segoe UI" w:hAnsi="Segoe UI" w:cs="Segoe UI"/>
                <w:noProof/>
                <w:color w:val="666666"/>
                <w:sz w:val="20"/>
                <w:szCs w:val="20"/>
              </w:rPr>
              <w:t> </w:t>
            </w:r>
          </w:p>
        </w:tc>
        <w:tc>
          <w:tcPr>
            <w:tcW w:w="176" w:type="pct"/>
          </w:tcPr>
          <w:p w14:paraId="7EBF0130" w14:textId="77777777" w:rsidR="007642A8" w:rsidRPr="00CF6D7C" w:rsidRDefault="007642A8" w:rsidP="0050159E">
            <w:pPr>
              <w:spacing w:line="40" w:lineRule="exact"/>
              <w:rPr>
                <w:rFonts w:ascii="Segoe UI" w:hAnsi="Segoe UI" w:cs="Segoe UI"/>
                <w:noProof/>
                <w:color w:val="666666"/>
                <w:sz w:val="20"/>
                <w:szCs w:val="20"/>
              </w:rPr>
            </w:pPr>
            <w:r w:rsidRPr="00CF6D7C">
              <w:rPr>
                <w:rFonts w:ascii="Segoe UI" w:hAnsi="Segoe UI" w:cs="Segoe UI"/>
                <w:noProof/>
                <w:color w:val="666666"/>
                <w:sz w:val="20"/>
                <w:szCs w:val="20"/>
              </w:rPr>
              <w:t> </w:t>
            </w:r>
          </w:p>
        </w:tc>
        <w:tc>
          <w:tcPr>
            <w:tcW w:w="589" w:type="pct"/>
            <w:gridSpan w:val="2"/>
          </w:tcPr>
          <w:p w14:paraId="009D8C06" w14:textId="77777777" w:rsidR="007642A8" w:rsidRPr="00CF6D7C" w:rsidRDefault="007642A8" w:rsidP="0050159E">
            <w:pPr>
              <w:pBdr>
                <w:top w:val="double" w:sz="6" w:space="1" w:color="auto"/>
              </w:pBdr>
              <w:spacing w:line="40" w:lineRule="exact"/>
              <w:rPr>
                <w:rFonts w:ascii="Segoe UI" w:hAnsi="Segoe UI" w:cs="Segoe UI"/>
                <w:noProof/>
                <w:color w:val="666666"/>
                <w:sz w:val="20"/>
                <w:szCs w:val="20"/>
              </w:rPr>
            </w:pPr>
          </w:p>
        </w:tc>
        <w:tc>
          <w:tcPr>
            <w:tcW w:w="177" w:type="pct"/>
          </w:tcPr>
          <w:p w14:paraId="37115FC7" w14:textId="77777777" w:rsidR="007642A8" w:rsidRPr="00CF6D7C" w:rsidRDefault="007642A8" w:rsidP="0050159E">
            <w:pPr>
              <w:spacing w:line="40" w:lineRule="exact"/>
              <w:rPr>
                <w:rFonts w:ascii="Segoe UI" w:hAnsi="Segoe UI" w:cs="Segoe UI"/>
                <w:noProof/>
                <w:color w:val="666666"/>
                <w:sz w:val="20"/>
                <w:szCs w:val="20"/>
              </w:rPr>
            </w:pPr>
            <w:r w:rsidRPr="00CF6D7C">
              <w:rPr>
                <w:rFonts w:ascii="Segoe UI" w:hAnsi="Segoe UI" w:cs="Segoe UI"/>
                <w:noProof/>
                <w:color w:val="666666"/>
                <w:sz w:val="20"/>
                <w:szCs w:val="20"/>
              </w:rPr>
              <w:t> </w:t>
            </w:r>
          </w:p>
        </w:tc>
        <w:tc>
          <w:tcPr>
            <w:tcW w:w="59" w:type="pct"/>
          </w:tcPr>
          <w:p w14:paraId="30942578" w14:textId="77777777" w:rsidR="007642A8" w:rsidRPr="00CF6D7C" w:rsidRDefault="007642A8" w:rsidP="0050159E">
            <w:pPr>
              <w:spacing w:line="40" w:lineRule="exact"/>
              <w:rPr>
                <w:rFonts w:ascii="Segoe UI" w:hAnsi="Segoe UI" w:cs="Segoe UI"/>
                <w:noProof/>
                <w:color w:val="666666"/>
                <w:sz w:val="20"/>
                <w:szCs w:val="20"/>
              </w:rPr>
            </w:pPr>
            <w:r w:rsidRPr="00CF6D7C">
              <w:rPr>
                <w:rFonts w:ascii="Segoe UI" w:hAnsi="Segoe UI" w:cs="Segoe UI"/>
                <w:noProof/>
                <w:color w:val="666666"/>
                <w:sz w:val="20"/>
                <w:szCs w:val="20"/>
              </w:rPr>
              <w:t> </w:t>
            </w:r>
          </w:p>
        </w:tc>
        <w:tc>
          <w:tcPr>
            <w:tcW w:w="590" w:type="pct"/>
            <w:gridSpan w:val="2"/>
          </w:tcPr>
          <w:p w14:paraId="3E6E392C" w14:textId="77777777" w:rsidR="007642A8" w:rsidRPr="00CF6D7C" w:rsidRDefault="007642A8" w:rsidP="0050159E">
            <w:pPr>
              <w:pBdr>
                <w:top w:val="double" w:sz="6" w:space="1" w:color="auto"/>
              </w:pBdr>
              <w:spacing w:line="40" w:lineRule="exact"/>
              <w:rPr>
                <w:rFonts w:ascii="Segoe UI" w:hAnsi="Segoe UI" w:cs="Segoe UI"/>
                <w:noProof/>
                <w:color w:val="666666"/>
                <w:sz w:val="20"/>
                <w:szCs w:val="20"/>
              </w:rPr>
            </w:pPr>
          </w:p>
        </w:tc>
        <w:tc>
          <w:tcPr>
            <w:tcW w:w="54" w:type="pct"/>
          </w:tcPr>
          <w:p w14:paraId="259418E4" w14:textId="77777777" w:rsidR="007642A8" w:rsidRPr="00CF6D7C" w:rsidRDefault="007642A8" w:rsidP="0050159E">
            <w:pPr>
              <w:spacing w:line="40" w:lineRule="exact"/>
              <w:rPr>
                <w:rFonts w:ascii="Segoe UI" w:hAnsi="Segoe UI" w:cs="Segoe UI"/>
                <w:noProof/>
                <w:color w:val="666666"/>
                <w:sz w:val="20"/>
                <w:szCs w:val="20"/>
              </w:rPr>
            </w:pPr>
            <w:r w:rsidRPr="00CF6D7C">
              <w:rPr>
                <w:rFonts w:ascii="Segoe UI" w:hAnsi="Segoe UI" w:cs="Segoe UI"/>
                <w:noProof/>
                <w:color w:val="666666"/>
                <w:sz w:val="20"/>
                <w:szCs w:val="20"/>
              </w:rPr>
              <w:t> </w:t>
            </w:r>
          </w:p>
        </w:tc>
      </w:tr>
    </w:tbl>
    <w:p w14:paraId="272D3A98" w14:textId="77777777" w:rsidR="00A97FF8" w:rsidRPr="00CF6D7C" w:rsidRDefault="00A97FF8" w:rsidP="00F1249C">
      <w:pPr>
        <w:pStyle w:val="NormalWeb"/>
        <w:spacing w:before="120" w:beforeAutospacing="0" w:after="200" w:afterAutospacing="0" w:line="280" w:lineRule="exact"/>
        <w:rPr>
          <w:rFonts w:ascii="Segoe UI" w:eastAsia="Calibri" w:hAnsi="Segoe UI" w:cs="Segoe UI"/>
          <w:color w:val="666666"/>
          <w:sz w:val="20"/>
          <w:szCs w:val="20"/>
        </w:rPr>
      </w:pPr>
      <w:r w:rsidRPr="00CF6D7C">
        <w:rPr>
          <w:rFonts w:ascii="Segoe UI" w:eastAsia="Calibri" w:hAnsi="Segoe UI" w:cs="Segoe UI"/>
          <w:color w:val="666666"/>
          <w:sz w:val="20"/>
          <w:szCs w:val="20"/>
        </w:rPr>
        <w:t>Windows Division unearned revenue at June 30, 2012 includes $540 million related to the Windows Upgrade Offer.</w:t>
      </w:r>
    </w:p>
    <w:p w14:paraId="46C09000" w14:textId="0D2DA2E0" w:rsidR="002A64A7" w:rsidRPr="00123413" w:rsidRDefault="002A64A7" w:rsidP="002A64A7">
      <w:pPr>
        <w:pStyle w:val="NormalWeb"/>
        <w:keepNext/>
        <w:spacing w:before="270" w:after="0"/>
        <w:jc w:val="left"/>
        <w:rPr>
          <w:rFonts w:ascii="Segoe UI" w:hAnsi="Segoe UI" w:cs="Segoe UI"/>
          <w:b/>
          <w:bCs/>
          <w:color w:val="666666"/>
          <w:sz w:val="20"/>
          <w:szCs w:val="20"/>
        </w:rPr>
      </w:pPr>
      <w:r w:rsidRPr="00123413">
        <w:rPr>
          <w:rFonts w:ascii="Segoe UI" w:hAnsi="Segoe UI" w:cs="Segoe UI"/>
          <w:b/>
          <w:bCs/>
          <w:color w:val="666666"/>
          <w:sz w:val="20"/>
          <w:szCs w:val="20"/>
        </w:rPr>
        <w:t xml:space="preserve">Adjusted Financial Results and Non-GAAP Measures </w:t>
      </w:r>
    </w:p>
    <w:p w14:paraId="64613587" w14:textId="1FAF6803" w:rsidR="002A64A7" w:rsidRPr="00123413" w:rsidRDefault="002A64A7" w:rsidP="002A64A7">
      <w:pPr>
        <w:spacing w:line="280" w:lineRule="exact"/>
        <w:rPr>
          <w:rFonts w:ascii="Segoe UI" w:hAnsi="Segoe UI" w:cs="Segoe UI"/>
          <w:color w:val="666666"/>
          <w:sz w:val="20"/>
          <w:szCs w:val="20"/>
        </w:rPr>
      </w:pPr>
      <w:r>
        <w:rPr>
          <w:rFonts w:ascii="Segoe UI" w:hAnsi="Segoe UI" w:cs="Segoe UI"/>
          <w:color w:val="666666"/>
          <w:sz w:val="20"/>
          <w:szCs w:val="20"/>
        </w:rPr>
        <w:t>For the fourth</w:t>
      </w:r>
      <w:r w:rsidRPr="00123413">
        <w:rPr>
          <w:rFonts w:ascii="Segoe UI" w:hAnsi="Segoe UI" w:cs="Segoe UI"/>
          <w:color w:val="666666"/>
          <w:sz w:val="20"/>
          <w:szCs w:val="20"/>
        </w:rPr>
        <w:t xml:space="preserve"> quarter fiscal year 2013</w:t>
      </w:r>
      <w:r>
        <w:rPr>
          <w:rFonts w:ascii="Segoe UI" w:hAnsi="Segoe UI" w:cs="Segoe UI"/>
          <w:color w:val="666666"/>
          <w:sz w:val="20"/>
          <w:szCs w:val="20"/>
        </w:rPr>
        <w:t>,</w:t>
      </w:r>
      <w:r w:rsidRPr="00123413">
        <w:rPr>
          <w:rFonts w:ascii="Segoe UI" w:hAnsi="Segoe UI" w:cs="Segoe UI"/>
          <w:color w:val="666666"/>
          <w:sz w:val="20"/>
          <w:szCs w:val="20"/>
        </w:rPr>
        <w:t xml:space="preserve"> </w:t>
      </w:r>
      <w:r>
        <w:rPr>
          <w:rFonts w:ascii="Segoe UI" w:hAnsi="Segoe UI" w:cs="Segoe UI"/>
          <w:color w:val="666666"/>
          <w:sz w:val="20"/>
          <w:szCs w:val="20"/>
        </w:rPr>
        <w:t xml:space="preserve">GAAP </w:t>
      </w:r>
      <w:r w:rsidRPr="00123413">
        <w:rPr>
          <w:rFonts w:ascii="Segoe UI" w:hAnsi="Segoe UI" w:cs="Segoe UI"/>
          <w:color w:val="666666"/>
          <w:sz w:val="20"/>
          <w:szCs w:val="20"/>
        </w:rPr>
        <w:t>revenue, operating incom</w:t>
      </w:r>
      <w:r>
        <w:rPr>
          <w:rFonts w:ascii="Segoe UI" w:hAnsi="Segoe UI" w:cs="Segoe UI"/>
          <w:color w:val="666666"/>
          <w:sz w:val="20"/>
          <w:szCs w:val="20"/>
        </w:rPr>
        <w:t xml:space="preserve">e, and </w:t>
      </w:r>
      <w:r w:rsidR="00FC2A4B">
        <w:rPr>
          <w:rFonts w:ascii="Segoe UI" w:hAnsi="Segoe UI" w:cs="Segoe UI"/>
          <w:color w:val="666666"/>
          <w:sz w:val="20"/>
          <w:szCs w:val="20"/>
        </w:rPr>
        <w:t xml:space="preserve">diluted </w:t>
      </w:r>
      <w:r>
        <w:rPr>
          <w:rFonts w:ascii="Segoe UI" w:hAnsi="Segoe UI" w:cs="Segoe UI"/>
          <w:color w:val="666666"/>
          <w:sz w:val="20"/>
          <w:szCs w:val="20"/>
        </w:rPr>
        <w:t>earnings per share</w:t>
      </w:r>
      <w:r w:rsidRPr="00123413">
        <w:rPr>
          <w:rFonts w:ascii="Segoe UI" w:hAnsi="Segoe UI" w:cs="Segoe UI"/>
          <w:color w:val="666666"/>
          <w:sz w:val="20"/>
          <w:szCs w:val="20"/>
        </w:rPr>
        <w:t xml:space="preserve"> included the </w:t>
      </w:r>
      <w:r>
        <w:rPr>
          <w:rFonts w:ascii="Segoe UI" w:hAnsi="Segoe UI" w:cs="Segoe UI"/>
          <w:color w:val="666666"/>
          <w:sz w:val="20"/>
          <w:szCs w:val="20"/>
        </w:rPr>
        <w:t xml:space="preserve">recognition of </w:t>
      </w:r>
      <w:r w:rsidR="00327954">
        <w:rPr>
          <w:rFonts w:ascii="Segoe UI" w:hAnsi="Segoe UI" w:cs="Segoe UI"/>
          <w:color w:val="666666"/>
          <w:sz w:val="20"/>
          <w:szCs w:val="20"/>
        </w:rPr>
        <w:t xml:space="preserve">previously deferred </w:t>
      </w:r>
      <w:r>
        <w:rPr>
          <w:rFonts w:ascii="Segoe UI" w:hAnsi="Segoe UI" w:cs="Segoe UI"/>
          <w:color w:val="666666"/>
          <w:sz w:val="20"/>
          <w:szCs w:val="20"/>
        </w:rPr>
        <w:t>revenue for the</w:t>
      </w:r>
      <w:r w:rsidRPr="00123413">
        <w:rPr>
          <w:rFonts w:ascii="Segoe UI" w:hAnsi="Segoe UI" w:cs="Segoe UI"/>
          <w:color w:val="666666"/>
          <w:sz w:val="20"/>
          <w:szCs w:val="20"/>
        </w:rPr>
        <w:t xml:space="preserve"> </w:t>
      </w:r>
      <w:r>
        <w:rPr>
          <w:rFonts w:ascii="Segoe UI" w:hAnsi="Segoe UI" w:cs="Segoe UI"/>
          <w:color w:val="666666"/>
          <w:sz w:val="20"/>
          <w:szCs w:val="20"/>
        </w:rPr>
        <w:t xml:space="preserve">Office Upgrade Offer. For Microsoft’s fiscal year 2013, the financial results included the recognition of </w:t>
      </w:r>
      <w:r w:rsidR="00327954">
        <w:rPr>
          <w:rFonts w:ascii="Segoe UI" w:hAnsi="Segoe UI" w:cs="Segoe UI"/>
          <w:color w:val="666666"/>
          <w:sz w:val="20"/>
          <w:szCs w:val="20"/>
        </w:rPr>
        <w:t xml:space="preserve">previously deferred </w:t>
      </w:r>
      <w:r>
        <w:rPr>
          <w:rFonts w:ascii="Segoe UI" w:hAnsi="Segoe UI" w:cs="Segoe UI"/>
          <w:color w:val="666666"/>
          <w:sz w:val="20"/>
          <w:szCs w:val="20"/>
        </w:rPr>
        <w:t xml:space="preserve">revenue related to the Windows Upgrade Offer </w:t>
      </w:r>
      <w:r w:rsidR="003E6FC7">
        <w:rPr>
          <w:rFonts w:ascii="Segoe UI" w:hAnsi="Segoe UI" w:cs="Segoe UI"/>
          <w:color w:val="666666"/>
          <w:sz w:val="20"/>
          <w:szCs w:val="20"/>
        </w:rPr>
        <w:t>as well as th</w:t>
      </w:r>
      <w:r>
        <w:rPr>
          <w:rFonts w:ascii="Segoe UI" w:hAnsi="Segoe UI" w:cs="Segoe UI"/>
          <w:color w:val="666666"/>
          <w:sz w:val="20"/>
          <w:szCs w:val="20"/>
        </w:rPr>
        <w:t xml:space="preserve">e European Commission fine. These items are defined below in the Non-GAAP Reconciliations for the period ended June 30, 2013. </w:t>
      </w:r>
      <w:r w:rsidRPr="00123413">
        <w:rPr>
          <w:rFonts w:ascii="Segoe UI" w:hAnsi="Segoe UI" w:cs="Segoe UI"/>
          <w:color w:val="666666"/>
          <w:sz w:val="20"/>
          <w:szCs w:val="20"/>
        </w:rPr>
        <w:t xml:space="preserve">In addition to </w:t>
      </w:r>
      <w:r>
        <w:rPr>
          <w:rFonts w:ascii="Segoe UI" w:hAnsi="Segoe UI" w:cs="Segoe UI"/>
          <w:color w:val="666666"/>
          <w:sz w:val="20"/>
          <w:szCs w:val="20"/>
        </w:rPr>
        <w:t xml:space="preserve">these </w:t>
      </w:r>
      <w:r w:rsidRPr="00123413">
        <w:rPr>
          <w:rFonts w:ascii="Segoe UI" w:hAnsi="Segoe UI" w:cs="Segoe UI"/>
          <w:color w:val="666666"/>
          <w:sz w:val="20"/>
          <w:szCs w:val="20"/>
        </w:rPr>
        <w:t xml:space="preserve">financial results </w:t>
      </w:r>
      <w:r w:rsidRPr="00123413">
        <w:rPr>
          <w:rFonts w:ascii="Segoe UI" w:hAnsi="Segoe UI" w:cs="Segoe UI"/>
          <w:color w:val="666666"/>
          <w:sz w:val="20"/>
          <w:szCs w:val="20"/>
        </w:rPr>
        <w:lastRenderedPageBreak/>
        <w:t>reported in accord</w:t>
      </w:r>
      <w:r w:rsidR="00925D70">
        <w:rPr>
          <w:rFonts w:ascii="Segoe UI" w:hAnsi="Segoe UI" w:cs="Segoe UI"/>
          <w:color w:val="666666"/>
          <w:sz w:val="20"/>
          <w:szCs w:val="20"/>
        </w:rPr>
        <w:t xml:space="preserve">ance with </w:t>
      </w:r>
      <w:r w:rsidRPr="00123413">
        <w:rPr>
          <w:rFonts w:ascii="Segoe UI" w:hAnsi="Segoe UI" w:cs="Segoe UI"/>
          <w:color w:val="666666"/>
          <w:sz w:val="20"/>
          <w:szCs w:val="20"/>
        </w:rPr>
        <w:t xml:space="preserve">GAAP, we have provided certain non-GAAP financial information to aid investors in better understanding </w:t>
      </w:r>
      <w:r>
        <w:rPr>
          <w:rFonts w:ascii="Segoe UI" w:hAnsi="Segoe UI" w:cs="Segoe UI"/>
          <w:color w:val="666666"/>
          <w:sz w:val="20"/>
          <w:szCs w:val="20"/>
        </w:rPr>
        <w:t xml:space="preserve">the company’s performance. </w:t>
      </w:r>
      <w:r w:rsidRPr="00123413">
        <w:rPr>
          <w:rFonts w:ascii="Segoe UI" w:hAnsi="Segoe UI" w:cs="Segoe UI"/>
          <w:color w:val="666666"/>
          <w:sz w:val="20"/>
          <w:szCs w:val="20"/>
        </w:rPr>
        <w:t>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004F5A9B" w14:textId="77777777" w:rsidR="002A64A7" w:rsidRDefault="002A64A7" w:rsidP="00B35935">
      <w:pPr>
        <w:pStyle w:val="NormalWeb"/>
        <w:keepNext/>
        <w:spacing w:before="270" w:beforeAutospacing="0" w:after="270" w:afterAutospacing="0"/>
        <w:jc w:val="left"/>
        <w:rPr>
          <w:rFonts w:ascii="Segoe UI" w:hAnsi="Segoe UI" w:cs="Segoe UI"/>
          <w:b/>
          <w:bCs/>
          <w:color w:val="666666"/>
          <w:sz w:val="20"/>
          <w:szCs w:val="20"/>
        </w:rPr>
      </w:pPr>
      <w:r w:rsidRPr="00123413">
        <w:rPr>
          <w:rFonts w:ascii="Segoe UI" w:hAnsi="Segoe UI" w:cs="Segoe UI"/>
          <w:b/>
          <w:bCs/>
          <w:color w:val="666666"/>
          <w:sz w:val="20"/>
          <w:szCs w:val="20"/>
        </w:rPr>
        <w:t>Non-GAAP Reconciliations</w:t>
      </w:r>
    </w:p>
    <w:p w14:paraId="2FF71E07" w14:textId="5A63CC37" w:rsidR="003352FC" w:rsidRDefault="00B35935" w:rsidP="00B35935">
      <w:pPr>
        <w:pStyle w:val="NormalWeb"/>
        <w:keepNext/>
        <w:spacing w:before="270" w:beforeAutospacing="0" w:after="270" w:afterAutospacing="0"/>
        <w:jc w:val="left"/>
        <w:rPr>
          <w:rFonts w:ascii="Segoe UI" w:hAnsi="Segoe UI" w:cs="Segoe UI"/>
          <w:b/>
          <w:bCs/>
          <w:color w:val="666666"/>
          <w:sz w:val="20"/>
          <w:szCs w:val="20"/>
        </w:rPr>
      </w:pPr>
      <w:r>
        <w:rPr>
          <w:rFonts w:ascii="Segoe UI" w:hAnsi="Segoe UI" w:cs="Segoe UI"/>
          <w:b/>
          <w:bCs/>
          <w:color w:val="666666"/>
          <w:sz w:val="20"/>
          <w:szCs w:val="20"/>
        </w:rPr>
        <w:t>Revenue, Operating Income and EPS</w:t>
      </w:r>
    </w:p>
    <w:tbl>
      <w:tblPr>
        <w:tblW w:w="7655" w:type="dxa"/>
        <w:tblLayout w:type="fixed"/>
        <w:tblCellMar>
          <w:left w:w="0" w:type="dxa"/>
          <w:right w:w="0" w:type="dxa"/>
        </w:tblCellMar>
        <w:tblLook w:val="04A0" w:firstRow="1" w:lastRow="0" w:firstColumn="1" w:lastColumn="0" w:noHBand="0" w:noVBand="1"/>
      </w:tblPr>
      <w:tblGrid>
        <w:gridCol w:w="2435"/>
        <w:gridCol w:w="810"/>
        <w:gridCol w:w="900"/>
        <w:gridCol w:w="810"/>
        <w:gridCol w:w="900"/>
        <w:gridCol w:w="990"/>
        <w:gridCol w:w="810"/>
      </w:tblGrid>
      <w:tr w:rsidR="004B3063" w:rsidRPr="00CF6D7C" w14:paraId="2EAD82FE" w14:textId="77777777" w:rsidTr="00145439">
        <w:trPr>
          <w:trHeight w:val="302"/>
        </w:trPr>
        <w:tc>
          <w:tcPr>
            <w:tcW w:w="2435" w:type="dxa"/>
            <w:shd w:val="clear" w:color="auto" w:fill="auto"/>
            <w:tcMar>
              <w:left w:w="0" w:type="dxa"/>
              <w:right w:w="0" w:type="dxa"/>
            </w:tcMar>
          </w:tcPr>
          <w:p w14:paraId="783950BD" w14:textId="77777777" w:rsidR="004B3063" w:rsidRPr="00CF6D7C" w:rsidRDefault="004B3063" w:rsidP="00145439">
            <w:pPr>
              <w:spacing w:after="0" w:line="240" w:lineRule="auto"/>
              <w:rPr>
                <w:rFonts w:ascii="Segoe UI" w:hAnsi="Segoe UI" w:cs="Segoe UI"/>
                <w:b/>
                <w:color w:val="666666"/>
                <w:sz w:val="18"/>
                <w:szCs w:val="18"/>
              </w:rPr>
            </w:pPr>
          </w:p>
        </w:tc>
        <w:tc>
          <w:tcPr>
            <w:tcW w:w="2520" w:type="dxa"/>
            <w:gridSpan w:val="3"/>
            <w:shd w:val="clear" w:color="auto" w:fill="auto"/>
            <w:tcMar>
              <w:left w:w="0" w:type="dxa"/>
              <w:right w:w="0" w:type="dxa"/>
            </w:tcMar>
            <w:vAlign w:val="bottom"/>
          </w:tcPr>
          <w:p w14:paraId="49DB5BE5" w14:textId="77777777" w:rsidR="004B3063" w:rsidRPr="00CF6D7C" w:rsidRDefault="004B3063" w:rsidP="00145439">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7F613621" w14:textId="77777777" w:rsidR="004B3063" w:rsidRPr="00CF6D7C" w:rsidRDefault="004B3063" w:rsidP="00145439">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c>
          <w:tcPr>
            <w:tcW w:w="2700" w:type="dxa"/>
            <w:gridSpan w:val="3"/>
            <w:shd w:val="clear" w:color="auto" w:fill="auto"/>
            <w:tcMar>
              <w:left w:w="0" w:type="dxa"/>
              <w:right w:w="0" w:type="dxa"/>
            </w:tcMar>
            <w:vAlign w:val="bottom"/>
          </w:tcPr>
          <w:p w14:paraId="4F669D4D" w14:textId="77777777" w:rsidR="004B3063" w:rsidRPr="00CF6D7C" w:rsidRDefault="004B3063" w:rsidP="00145439">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Percentage Change</w:t>
            </w:r>
          </w:p>
        </w:tc>
      </w:tr>
      <w:tr w:rsidR="004B3063" w:rsidRPr="00CF6D7C" w14:paraId="4FF77756" w14:textId="77777777" w:rsidTr="00145439">
        <w:trPr>
          <w:trHeight w:val="647"/>
        </w:trPr>
        <w:tc>
          <w:tcPr>
            <w:tcW w:w="2435" w:type="dxa"/>
            <w:shd w:val="clear" w:color="auto" w:fill="auto"/>
            <w:tcMar>
              <w:left w:w="0" w:type="dxa"/>
              <w:right w:w="0" w:type="dxa"/>
            </w:tcMar>
            <w:vAlign w:val="bottom"/>
          </w:tcPr>
          <w:p w14:paraId="518712F4" w14:textId="77777777" w:rsidR="004B3063" w:rsidRPr="00CF6D7C" w:rsidRDefault="004B3063" w:rsidP="00145439">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 share amounts and percentages)</w:t>
            </w:r>
          </w:p>
        </w:tc>
        <w:tc>
          <w:tcPr>
            <w:tcW w:w="810" w:type="dxa"/>
            <w:shd w:val="clear" w:color="auto" w:fill="auto"/>
            <w:tcMar>
              <w:left w:w="0" w:type="dxa"/>
              <w:right w:w="0" w:type="dxa"/>
            </w:tcMar>
            <w:vAlign w:val="bottom"/>
          </w:tcPr>
          <w:p w14:paraId="45EEFBD3" w14:textId="77777777" w:rsidR="004B3063" w:rsidRPr="00CF6D7C" w:rsidRDefault="004B3063" w:rsidP="00145439">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Revenue</w:t>
            </w:r>
          </w:p>
        </w:tc>
        <w:tc>
          <w:tcPr>
            <w:tcW w:w="900" w:type="dxa"/>
            <w:shd w:val="clear" w:color="auto" w:fill="auto"/>
            <w:tcMar>
              <w:left w:w="0" w:type="dxa"/>
              <w:right w:w="0" w:type="dxa"/>
            </w:tcMar>
            <w:vAlign w:val="bottom"/>
          </w:tcPr>
          <w:p w14:paraId="7C3F97AE"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2EAAD9BC"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c>
          <w:tcPr>
            <w:tcW w:w="900" w:type="dxa"/>
            <w:shd w:val="clear" w:color="auto" w:fill="auto"/>
            <w:tcMar>
              <w:left w:w="0" w:type="dxa"/>
              <w:right w:w="0" w:type="dxa"/>
            </w:tcMar>
            <w:vAlign w:val="bottom"/>
          </w:tcPr>
          <w:p w14:paraId="6B6FCDF2"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Revenue</w:t>
            </w:r>
          </w:p>
        </w:tc>
        <w:tc>
          <w:tcPr>
            <w:tcW w:w="990" w:type="dxa"/>
            <w:shd w:val="clear" w:color="auto" w:fill="auto"/>
            <w:tcMar>
              <w:left w:w="0" w:type="dxa"/>
              <w:right w:w="0" w:type="dxa"/>
            </w:tcMar>
            <w:vAlign w:val="bottom"/>
          </w:tcPr>
          <w:p w14:paraId="3B3CB626"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Operating income</w:t>
            </w:r>
          </w:p>
        </w:tc>
        <w:tc>
          <w:tcPr>
            <w:tcW w:w="810" w:type="dxa"/>
            <w:shd w:val="clear" w:color="auto" w:fill="auto"/>
            <w:tcMar>
              <w:left w:w="0" w:type="dxa"/>
              <w:right w:w="0" w:type="dxa"/>
            </w:tcMar>
            <w:vAlign w:val="bottom"/>
          </w:tcPr>
          <w:p w14:paraId="2324A5C0"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Diluted EPS</w:t>
            </w:r>
          </w:p>
        </w:tc>
      </w:tr>
      <w:tr w:rsidR="004B3063" w:rsidRPr="00CF6D7C" w14:paraId="15F0B084" w14:textId="77777777" w:rsidTr="00145439">
        <w:trPr>
          <w:trHeight w:val="418"/>
        </w:trPr>
        <w:tc>
          <w:tcPr>
            <w:tcW w:w="2435" w:type="dxa"/>
            <w:shd w:val="clear" w:color="auto" w:fill="auto"/>
            <w:tcMar>
              <w:left w:w="0" w:type="dxa"/>
              <w:right w:w="0" w:type="dxa"/>
            </w:tcMar>
            <w:vAlign w:val="bottom"/>
          </w:tcPr>
          <w:p w14:paraId="63AA0E1C" w14:textId="77777777" w:rsidR="004B3063" w:rsidRPr="00CF6D7C" w:rsidRDefault="004B3063" w:rsidP="00145439">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reported (GAAP)</w:t>
            </w:r>
          </w:p>
        </w:tc>
        <w:tc>
          <w:tcPr>
            <w:tcW w:w="810" w:type="dxa"/>
            <w:shd w:val="clear" w:color="auto" w:fill="auto"/>
            <w:tcMar>
              <w:left w:w="0" w:type="dxa"/>
              <w:right w:w="0" w:type="dxa"/>
            </w:tcMar>
            <w:vAlign w:val="bottom"/>
          </w:tcPr>
          <w:p w14:paraId="0DEC2948"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$18,059</w:t>
            </w:r>
          </w:p>
        </w:tc>
        <w:tc>
          <w:tcPr>
            <w:tcW w:w="900" w:type="dxa"/>
            <w:shd w:val="clear" w:color="auto" w:fill="auto"/>
            <w:tcMar>
              <w:left w:w="0" w:type="dxa"/>
              <w:right w:w="0" w:type="dxa"/>
            </w:tcMar>
            <w:vAlign w:val="bottom"/>
          </w:tcPr>
          <w:p w14:paraId="37F87238"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$192</w:t>
            </w:r>
          </w:p>
        </w:tc>
        <w:tc>
          <w:tcPr>
            <w:tcW w:w="810" w:type="dxa"/>
            <w:shd w:val="clear" w:color="auto" w:fill="auto"/>
            <w:tcMar>
              <w:left w:w="0" w:type="dxa"/>
              <w:right w:w="0" w:type="dxa"/>
            </w:tcMar>
            <w:vAlign w:val="bottom"/>
          </w:tcPr>
          <w:p w14:paraId="5142979F"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($0.06)</w:t>
            </w:r>
          </w:p>
        </w:tc>
        <w:tc>
          <w:tcPr>
            <w:tcW w:w="900" w:type="dxa"/>
            <w:shd w:val="clear" w:color="auto" w:fill="auto"/>
            <w:tcMar>
              <w:left w:w="0" w:type="dxa"/>
              <w:right w:w="0" w:type="dxa"/>
            </w:tcMar>
            <w:vAlign w:val="bottom"/>
          </w:tcPr>
          <w:p w14:paraId="02BFA155"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0C9CE2F1"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79BAFFB5"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r>
      <w:tr w:rsidR="004B3063" w:rsidRPr="00CF6D7C" w14:paraId="23BA7598" w14:textId="77777777" w:rsidTr="00145439">
        <w:trPr>
          <w:trHeight w:val="302"/>
        </w:trPr>
        <w:tc>
          <w:tcPr>
            <w:tcW w:w="2435" w:type="dxa"/>
            <w:shd w:val="clear" w:color="auto" w:fill="auto"/>
            <w:tcMar>
              <w:left w:w="288" w:type="dxa"/>
              <w:right w:w="0" w:type="dxa"/>
            </w:tcMar>
            <w:vAlign w:val="bottom"/>
          </w:tcPr>
          <w:p w14:paraId="4DB0868D" w14:textId="77777777" w:rsidR="004B3063" w:rsidRPr="00CF6D7C" w:rsidRDefault="004B3063" w:rsidP="00145439">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Goodwill impairment</w:t>
            </w:r>
          </w:p>
        </w:tc>
        <w:tc>
          <w:tcPr>
            <w:tcW w:w="810" w:type="dxa"/>
            <w:shd w:val="clear" w:color="auto" w:fill="auto"/>
            <w:tcMar>
              <w:left w:w="0" w:type="dxa"/>
              <w:right w:w="0" w:type="dxa"/>
            </w:tcMar>
            <w:vAlign w:val="bottom"/>
          </w:tcPr>
          <w:p w14:paraId="0826BDD2"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900" w:type="dxa"/>
            <w:shd w:val="clear" w:color="auto" w:fill="auto"/>
            <w:tcMar>
              <w:left w:w="0" w:type="dxa"/>
              <w:right w:w="0" w:type="dxa"/>
            </w:tcMar>
            <w:vAlign w:val="bottom"/>
          </w:tcPr>
          <w:p w14:paraId="514CD8A9"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$6,193</w:t>
            </w:r>
          </w:p>
        </w:tc>
        <w:tc>
          <w:tcPr>
            <w:tcW w:w="810" w:type="dxa"/>
            <w:shd w:val="clear" w:color="auto" w:fill="auto"/>
            <w:tcMar>
              <w:left w:w="0" w:type="dxa"/>
              <w:right w:w="0" w:type="dxa"/>
            </w:tcMar>
            <w:vAlign w:val="bottom"/>
          </w:tcPr>
          <w:p w14:paraId="0C20AE27"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$0.73</w:t>
            </w:r>
          </w:p>
        </w:tc>
        <w:tc>
          <w:tcPr>
            <w:tcW w:w="900" w:type="dxa"/>
            <w:shd w:val="clear" w:color="auto" w:fill="auto"/>
            <w:tcMar>
              <w:left w:w="0" w:type="dxa"/>
              <w:right w:w="0" w:type="dxa"/>
            </w:tcMar>
            <w:vAlign w:val="bottom"/>
          </w:tcPr>
          <w:p w14:paraId="5CC5D114"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2BF2CDF9"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1CD49DE7"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r>
      <w:tr w:rsidR="004B3063" w:rsidRPr="00CF6D7C" w14:paraId="5659AE8E" w14:textId="77777777" w:rsidTr="00145439">
        <w:trPr>
          <w:trHeight w:val="302"/>
        </w:trPr>
        <w:tc>
          <w:tcPr>
            <w:tcW w:w="2435" w:type="dxa"/>
            <w:shd w:val="clear" w:color="auto" w:fill="auto"/>
            <w:tcMar>
              <w:left w:w="288" w:type="dxa"/>
              <w:right w:w="0" w:type="dxa"/>
            </w:tcMar>
            <w:vAlign w:val="bottom"/>
          </w:tcPr>
          <w:p w14:paraId="433E176B" w14:textId="77777777" w:rsidR="004B3063" w:rsidRPr="00CF6D7C" w:rsidRDefault="004B3063" w:rsidP="00145439">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Windows Upgrade Offer</w:t>
            </w:r>
          </w:p>
        </w:tc>
        <w:tc>
          <w:tcPr>
            <w:tcW w:w="810" w:type="dxa"/>
            <w:shd w:val="clear" w:color="auto" w:fill="auto"/>
            <w:tcMar>
              <w:left w:w="0" w:type="dxa"/>
              <w:right w:w="0" w:type="dxa"/>
            </w:tcMar>
            <w:vAlign w:val="bottom"/>
          </w:tcPr>
          <w:p w14:paraId="40153D7C"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$540</w:t>
            </w:r>
          </w:p>
        </w:tc>
        <w:tc>
          <w:tcPr>
            <w:tcW w:w="900" w:type="dxa"/>
            <w:shd w:val="clear" w:color="auto" w:fill="auto"/>
            <w:tcMar>
              <w:left w:w="0" w:type="dxa"/>
              <w:right w:w="0" w:type="dxa"/>
            </w:tcMar>
            <w:vAlign w:val="bottom"/>
          </w:tcPr>
          <w:p w14:paraId="09E4A12E"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$540</w:t>
            </w:r>
          </w:p>
        </w:tc>
        <w:tc>
          <w:tcPr>
            <w:tcW w:w="810" w:type="dxa"/>
            <w:shd w:val="clear" w:color="auto" w:fill="auto"/>
            <w:tcMar>
              <w:left w:w="0" w:type="dxa"/>
              <w:right w:w="0" w:type="dxa"/>
            </w:tcMar>
            <w:vAlign w:val="bottom"/>
          </w:tcPr>
          <w:p w14:paraId="2308211A"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$0.06</w:t>
            </w:r>
          </w:p>
        </w:tc>
        <w:tc>
          <w:tcPr>
            <w:tcW w:w="900" w:type="dxa"/>
            <w:shd w:val="clear" w:color="auto" w:fill="auto"/>
            <w:tcMar>
              <w:left w:w="0" w:type="dxa"/>
              <w:right w:w="0" w:type="dxa"/>
            </w:tcMar>
            <w:vAlign w:val="bottom"/>
          </w:tcPr>
          <w:p w14:paraId="09EAAF8D"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0B5D642E"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18D8F5C8"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r>
      <w:tr w:rsidR="004B3063" w:rsidRPr="00CF6D7C" w14:paraId="043C64F8" w14:textId="77777777" w:rsidTr="00145439">
        <w:trPr>
          <w:trHeight w:val="418"/>
        </w:trPr>
        <w:tc>
          <w:tcPr>
            <w:tcW w:w="2435" w:type="dxa"/>
            <w:shd w:val="clear" w:color="auto" w:fill="auto"/>
            <w:tcMar>
              <w:left w:w="0" w:type="dxa"/>
              <w:right w:w="0" w:type="dxa"/>
            </w:tcMar>
            <w:vAlign w:val="bottom"/>
          </w:tcPr>
          <w:p w14:paraId="498A6091" w14:textId="77777777" w:rsidR="004B3063" w:rsidRPr="00CF6D7C" w:rsidRDefault="004B3063" w:rsidP="00145439">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2012 As adjusted (non-GAAP)</w:t>
            </w:r>
          </w:p>
        </w:tc>
        <w:tc>
          <w:tcPr>
            <w:tcW w:w="810" w:type="dxa"/>
            <w:shd w:val="clear" w:color="auto" w:fill="auto"/>
            <w:tcMar>
              <w:left w:w="0" w:type="dxa"/>
              <w:right w:w="0" w:type="dxa"/>
            </w:tcMar>
            <w:vAlign w:val="bottom"/>
          </w:tcPr>
          <w:p w14:paraId="5CA7727E"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$18,599</w:t>
            </w:r>
          </w:p>
        </w:tc>
        <w:tc>
          <w:tcPr>
            <w:tcW w:w="900" w:type="dxa"/>
            <w:shd w:val="clear" w:color="auto" w:fill="auto"/>
            <w:tcMar>
              <w:left w:w="0" w:type="dxa"/>
              <w:right w:w="0" w:type="dxa"/>
            </w:tcMar>
            <w:vAlign w:val="bottom"/>
          </w:tcPr>
          <w:p w14:paraId="1EE0211E"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$6,925</w:t>
            </w:r>
          </w:p>
        </w:tc>
        <w:tc>
          <w:tcPr>
            <w:tcW w:w="810" w:type="dxa"/>
            <w:shd w:val="clear" w:color="auto" w:fill="auto"/>
            <w:tcMar>
              <w:left w:w="0" w:type="dxa"/>
              <w:right w:w="0" w:type="dxa"/>
            </w:tcMar>
            <w:vAlign w:val="bottom"/>
          </w:tcPr>
          <w:p w14:paraId="17635178"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$0.73</w:t>
            </w:r>
          </w:p>
        </w:tc>
        <w:tc>
          <w:tcPr>
            <w:tcW w:w="900" w:type="dxa"/>
            <w:shd w:val="clear" w:color="auto" w:fill="auto"/>
            <w:tcMar>
              <w:left w:w="0" w:type="dxa"/>
              <w:right w:w="0" w:type="dxa"/>
            </w:tcMar>
            <w:vAlign w:val="bottom"/>
          </w:tcPr>
          <w:p w14:paraId="58392CB4"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2474D381"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30E2B4BC"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r>
      <w:tr w:rsidR="004B3063" w:rsidRPr="00CF6D7C" w14:paraId="23B81C63" w14:textId="77777777" w:rsidTr="00145439">
        <w:trPr>
          <w:trHeight w:val="418"/>
        </w:trPr>
        <w:tc>
          <w:tcPr>
            <w:tcW w:w="2435" w:type="dxa"/>
            <w:shd w:val="clear" w:color="auto" w:fill="auto"/>
            <w:tcMar>
              <w:left w:w="0" w:type="dxa"/>
              <w:right w:w="0" w:type="dxa"/>
            </w:tcMar>
            <w:vAlign w:val="bottom"/>
          </w:tcPr>
          <w:p w14:paraId="1BFA3B50" w14:textId="77777777" w:rsidR="004B3063" w:rsidRPr="00CF6D7C" w:rsidRDefault="004B3063" w:rsidP="00145439">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2013 As reported (GAAP)</w:t>
            </w:r>
          </w:p>
        </w:tc>
        <w:tc>
          <w:tcPr>
            <w:tcW w:w="810" w:type="dxa"/>
            <w:shd w:val="clear" w:color="auto" w:fill="auto"/>
            <w:tcMar>
              <w:left w:w="0" w:type="dxa"/>
              <w:right w:w="0" w:type="dxa"/>
            </w:tcMar>
            <w:vAlign w:val="bottom"/>
          </w:tcPr>
          <w:p w14:paraId="69C22EE5"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$19,896</w:t>
            </w:r>
          </w:p>
        </w:tc>
        <w:tc>
          <w:tcPr>
            <w:tcW w:w="900" w:type="dxa"/>
            <w:shd w:val="clear" w:color="auto" w:fill="auto"/>
            <w:tcMar>
              <w:left w:w="0" w:type="dxa"/>
              <w:right w:w="0" w:type="dxa"/>
            </w:tcMar>
            <w:vAlign w:val="bottom"/>
          </w:tcPr>
          <w:p w14:paraId="598E084B"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w:t>
            </w:r>
            <w:r>
              <w:rPr>
                <w:rFonts w:ascii="Segoe UI" w:hAnsi="Segoe UI" w:cs="Segoe UI"/>
                <w:bCs/>
                <w:color w:val="666666"/>
                <w:sz w:val="18"/>
                <w:szCs w:val="18"/>
              </w:rPr>
              <w:t>0</w:t>
            </w:r>
            <w:r w:rsidRPr="00CF6D7C">
              <w:rPr>
                <w:rFonts w:ascii="Segoe UI" w:hAnsi="Segoe UI" w:cs="Segoe UI"/>
                <w:bCs/>
                <w:color w:val="666666"/>
                <w:sz w:val="18"/>
                <w:szCs w:val="18"/>
              </w:rPr>
              <w:t>73</w:t>
            </w:r>
          </w:p>
        </w:tc>
        <w:tc>
          <w:tcPr>
            <w:tcW w:w="810" w:type="dxa"/>
            <w:shd w:val="clear" w:color="auto" w:fill="auto"/>
            <w:tcMar>
              <w:left w:w="0" w:type="dxa"/>
              <w:right w:w="0" w:type="dxa"/>
            </w:tcMar>
            <w:vAlign w:val="bottom"/>
          </w:tcPr>
          <w:p w14:paraId="38E0FDD0"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w:t>
            </w:r>
            <w:r>
              <w:rPr>
                <w:rFonts w:ascii="Segoe UI" w:hAnsi="Segoe UI" w:cs="Segoe UI"/>
                <w:bCs/>
                <w:color w:val="666666"/>
                <w:sz w:val="18"/>
                <w:szCs w:val="18"/>
              </w:rPr>
              <w:t>59</w:t>
            </w:r>
          </w:p>
        </w:tc>
        <w:tc>
          <w:tcPr>
            <w:tcW w:w="900" w:type="dxa"/>
            <w:shd w:val="clear" w:color="auto" w:fill="auto"/>
            <w:tcMar>
              <w:left w:w="0" w:type="dxa"/>
              <w:right w:w="0" w:type="dxa"/>
            </w:tcMar>
            <w:vAlign w:val="bottom"/>
          </w:tcPr>
          <w:p w14:paraId="2A75E2DD"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10%</w:t>
            </w:r>
          </w:p>
        </w:tc>
        <w:tc>
          <w:tcPr>
            <w:tcW w:w="990" w:type="dxa"/>
            <w:shd w:val="clear" w:color="auto" w:fill="auto"/>
            <w:tcMar>
              <w:left w:w="0" w:type="dxa"/>
              <w:right w:w="0" w:type="dxa"/>
            </w:tcMar>
            <w:vAlign w:val="bottom"/>
          </w:tcPr>
          <w:p w14:paraId="078D0B02"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p>
        </w:tc>
        <w:tc>
          <w:tcPr>
            <w:tcW w:w="810" w:type="dxa"/>
            <w:shd w:val="clear" w:color="auto" w:fill="auto"/>
            <w:tcMar>
              <w:left w:w="0" w:type="dxa"/>
              <w:right w:w="0" w:type="dxa"/>
            </w:tcMar>
            <w:vAlign w:val="bottom"/>
          </w:tcPr>
          <w:p w14:paraId="48EC1395"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p>
        </w:tc>
      </w:tr>
      <w:tr w:rsidR="004B3063" w:rsidRPr="00CF6D7C" w14:paraId="7B46E9BE" w14:textId="77777777" w:rsidTr="00145439">
        <w:trPr>
          <w:trHeight w:val="302"/>
        </w:trPr>
        <w:tc>
          <w:tcPr>
            <w:tcW w:w="2435" w:type="dxa"/>
            <w:shd w:val="clear" w:color="auto" w:fill="auto"/>
            <w:tcMar>
              <w:left w:w="288" w:type="dxa"/>
              <w:right w:w="0" w:type="dxa"/>
            </w:tcMar>
            <w:vAlign w:val="bottom"/>
          </w:tcPr>
          <w:p w14:paraId="6925D2F6" w14:textId="77777777" w:rsidR="004B3063" w:rsidRPr="00CF6D7C" w:rsidRDefault="004B3063" w:rsidP="00145439">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Office Upgrade Offer</w:t>
            </w:r>
          </w:p>
        </w:tc>
        <w:tc>
          <w:tcPr>
            <w:tcW w:w="810" w:type="dxa"/>
            <w:shd w:val="clear" w:color="auto" w:fill="auto"/>
            <w:tcMar>
              <w:left w:w="0" w:type="dxa"/>
              <w:right w:w="0" w:type="dxa"/>
            </w:tcMar>
            <w:vAlign w:val="bottom"/>
          </w:tcPr>
          <w:p w14:paraId="6B1B0EC4"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($782)</w:t>
            </w:r>
          </w:p>
        </w:tc>
        <w:tc>
          <w:tcPr>
            <w:tcW w:w="900" w:type="dxa"/>
            <w:shd w:val="clear" w:color="auto" w:fill="auto"/>
            <w:tcMar>
              <w:left w:w="0" w:type="dxa"/>
              <w:right w:w="0" w:type="dxa"/>
            </w:tcMar>
            <w:vAlign w:val="bottom"/>
          </w:tcPr>
          <w:p w14:paraId="08126886"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($782)</w:t>
            </w:r>
          </w:p>
        </w:tc>
        <w:tc>
          <w:tcPr>
            <w:tcW w:w="810" w:type="dxa"/>
            <w:shd w:val="clear" w:color="auto" w:fill="auto"/>
            <w:tcMar>
              <w:left w:w="0" w:type="dxa"/>
              <w:right w:w="0" w:type="dxa"/>
            </w:tcMar>
            <w:vAlign w:val="bottom"/>
          </w:tcPr>
          <w:p w14:paraId="45407EC6"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($0.07)</w:t>
            </w:r>
          </w:p>
        </w:tc>
        <w:tc>
          <w:tcPr>
            <w:tcW w:w="900" w:type="dxa"/>
            <w:shd w:val="clear" w:color="auto" w:fill="auto"/>
            <w:tcMar>
              <w:left w:w="0" w:type="dxa"/>
              <w:right w:w="0" w:type="dxa"/>
            </w:tcMar>
            <w:vAlign w:val="bottom"/>
          </w:tcPr>
          <w:p w14:paraId="564C3E35"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45FB4DA5"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54DE9D57" w14:textId="77777777" w:rsidR="004B3063" w:rsidRPr="00CF6D7C" w:rsidRDefault="004B3063" w:rsidP="00145439">
            <w:pPr>
              <w:pBdr>
                <w:bottom w:val="single" w:sz="4" w:space="1" w:color="auto"/>
              </w:pBdr>
              <w:spacing w:after="0" w:line="240" w:lineRule="auto"/>
              <w:jc w:val="right"/>
              <w:rPr>
                <w:rFonts w:ascii="Segoe UI" w:hAnsi="Segoe UI" w:cs="Segoe UI"/>
                <w:color w:val="666666"/>
                <w:sz w:val="18"/>
                <w:szCs w:val="18"/>
              </w:rPr>
            </w:pPr>
          </w:p>
        </w:tc>
      </w:tr>
      <w:tr w:rsidR="004B3063" w:rsidRPr="00CF6D7C" w14:paraId="57E0D7B5" w14:textId="77777777" w:rsidTr="00145439">
        <w:trPr>
          <w:trHeight w:val="367"/>
        </w:trPr>
        <w:tc>
          <w:tcPr>
            <w:tcW w:w="2435" w:type="dxa"/>
            <w:shd w:val="clear" w:color="auto" w:fill="auto"/>
            <w:tcMar>
              <w:left w:w="0" w:type="dxa"/>
              <w:right w:w="0" w:type="dxa"/>
            </w:tcMar>
            <w:vAlign w:val="bottom"/>
          </w:tcPr>
          <w:p w14:paraId="6A8227BD" w14:textId="77777777" w:rsidR="004B3063" w:rsidRPr="00CF6D7C" w:rsidRDefault="004B3063" w:rsidP="00145439">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2013 As adjusted (non-GAAP)</w:t>
            </w:r>
          </w:p>
        </w:tc>
        <w:tc>
          <w:tcPr>
            <w:tcW w:w="810" w:type="dxa"/>
            <w:shd w:val="clear" w:color="auto" w:fill="auto"/>
            <w:tcMar>
              <w:left w:w="0" w:type="dxa"/>
              <w:right w:w="0" w:type="dxa"/>
            </w:tcMar>
            <w:vAlign w:val="bottom"/>
          </w:tcPr>
          <w:p w14:paraId="1E3B7878"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$19,114</w:t>
            </w:r>
          </w:p>
        </w:tc>
        <w:tc>
          <w:tcPr>
            <w:tcW w:w="900" w:type="dxa"/>
            <w:shd w:val="clear" w:color="auto" w:fill="auto"/>
            <w:tcMar>
              <w:left w:w="0" w:type="dxa"/>
              <w:right w:w="0" w:type="dxa"/>
            </w:tcMar>
            <w:vAlign w:val="bottom"/>
          </w:tcPr>
          <w:p w14:paraId="6A896244"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$5,</w:t>
            </w:r>
            <w:r>
              <w:rPr>
                <w:rFonts w:ascii="Segoe UI" w:hAnsi="Segoe UI" w:cs="Segoe UI"/>
                <w:bCs/>
                <w:color w:val="666666"/>
                <w:sz w:val="18"/>
                <w:szCs w:val="18"/>
              </w:rPr>
              <w:t>2</w:t>
            </w:r>
            <w:r w:rsidRPr="00CF6D7C">
              <w:rPr>
                <w:rFonts w:ascii="Segoe UI" w:hAnsi="Segoe UI" w:cs="Segoe UI"/>
                <w:bCs/>
                <w:color w:val="666666"/>
                <w:sz w:val="18"/>
                <w:szCs w:val="18"/>
              </w:rPr>
              <w:t>91</w:t>
            </w:r>
          </w:p>
        </w:tc>
        <w:tc>
          <w:tcPr>
            <w:tcW w:w="810" w:type="dxa"/>
            <w:shd w:val="clear" w:color="auto" w:fill="auto"/>
            <w:tcMar>
              <w:left w:w="0" w:type="dxa"/>
              <w:right w:w="0" w:type="dxa"/>
            </w:tcMar>
            <w:vAlign w:val="bottom"/>
          </w:tcPr>
          <w:p w14:paraId="338BC044"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$0.5</w:t>
            </w:r>
            <w:r>
              <w:rPr>
                <w:rFonts w:ascii="Segoe UI" w:hAnsi="Segoe UI" w:cs="Segoe UI"/>
                <w:bCs/>
                <w:color w:val="666666"/>
                <w:sz w:val="18"/>
                <w:szCs w:val="18"/>
              </w:rPr>
              <w:t>2</w:t>
            </w:r>
          </w:p>
        </w:tc>
        <w:tc>
          <w:tcPr>
            <w:tcW w:w="900" w:type="dxa"/>
            <w:shd w:val="clear" w:color="auto" w:fill="auto"/>
            <w:tcMar>
              <w:left w:w="0" w:type="dxa"/>
              <w:right w:w="0" w:type="dxa"/>
            </w:tcMar>
            <w:vAlign w:val="bottom"/>
          </w:tcPr>
          <w:p w14:paraId="135BCA52"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3%</w:t>
            </w:r>
          </w:p>
        </w:tc>
        <w:tc>
          <w:tcPr>
            <w:tcW w:w="990" w:type="dxa"/>
            <w:shd w:val="clear" w:color="auto" w:fill="auto"/>
            <w:tcMar>
              <w:left w:w="0" w:type="dxa"/>
              <w:right w:w="0" w:type="dxa"/>
            </w:tcMar>
            <w:vAlign w:val="bottom"/>
          </w:tcPr>
          <w:p w14:paraId="436D688E"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r>
              <w:rPr>
                <w:rFonts w:ascii="Segoe UI" w:hAnsi="Segoe UI" w:cs="Segoe UI"/>
                <w:bCs/>
                <w:color w:val="666666"/>
                <w:sz w:val="18"/>
                <w:szCs w:val="18"/>
              </w:rPr>
              <w:t>4</w:t>
            </w:r>
            <w:r w:rsidRPr="00CF6D7C">
              <w:rPr>
                <w:rFonts w:ascii="Segoe UI" w:hAnsi="Segoe UI" w:cs="Segoe UI"/>
                <w:bCs/>
                <w:color w:val="666666"/>
                <w:sz w:val="18"/>
                <w:szCs w:val="18"/>
              </w:rPr>
              <w:t>)%</w:t>
            </w:r>
          </w:p>
        </w:tc>
        <w:tc>
          <w:tcPr>
            <w:tcW w:w="810" w:type="dxa"/>
            <w:shd w:val="clear" w:color="auto" w:fill="auto"/>
            <w:tcMar>
              <w:left w:w="0" w:type="dxa"/>
              <w:right w:w="0" w:type="dxa"/>
            </w:tcMar>
            <w:vAlign w:val="bottom"/>
          </w:tcPr>
          <w:p w14:paraId="5750F556" w14:textId="77777777" w:rsidR="004B3063" w:rsidRPr="00CF6D7C" w:rsidRDefault="004B3063" w:rsidP="00145439">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r>
              <w:rPr>
                <w:rFonts w:ascii="Segoe UI" w:hAnsi="Segoe UI" w:cs="Segoe UI"/>
                <w:bCs/>
                <w:color w:val="666666"/>
                <w:sz w:val="18"/>
                <w:szCs w:val="18"/>
              </w:rPr>
              <w:t>9</w:t>
            </w:r>
            <w:r w:rsidRPr="00CF6D7C">
              <w:rPr>
                <w:rFonts w:ascii="Segoe UI" w:hAnsi="Segoe UI" w:cs="Segoe UI"/>
                <w:bCs/>
                <w:color w:val="666666"/>
                <w:sz w:val="18"/>
                <w:szCs w:val="18"/>
              </w:rPr>
              <w:t>)%</w:t>
            </w:r>
          </w:p>
        </w:tc>
      </w:tr>
    </w:tbl>
    <w:p w14:paraId="4E3D082D" w14:textId="77777777" w:rsidR="00B35935" w:rsidRPr="006273F8" w:rsidRDefault="00B35935" w:rsidP="00B35935">
      <w:pPr>
        <w:ind w:firstLine="90"/>
        <w:rPr>
          <w:rFonts w:ascii="Segoe UI" w:hAnsi="Segoe UI" w:cs="Segoe UI"/>
          <w:i/>
          <w:color w:val="666666"/>
          <w:sz w:val="16"/>
          <w:szCs w:val="16"/>
        </w:rPr>
      </w:pPr>
      <w:r w:rsidRPr="006273F8">
        <w:rPr>
          <w:rFonts w:ascii="Segoe UI" w:hAnsi="Segoe UI" w:cs="Segoe UI"/>
          <w:i/>
          <w:color w:val="666666"/>
          <w:sz w:val="16"/>
          <w:szCs w:val="16"/>
        </w:rPr>
        <w:t>*Not meaningful</w:t>
      </w:r>
    </w:p>
    <w:p w14:paraId="7F53A89F" w14:textId="77777777" w:rsidR="002A64A7" w:rsidRPr="00762F7E" w:rsidRDefault="002A64A7" w:rsidP="002A64A7">
      <w:pPr>
        <w:pStyle w:val="NormalWeb"/>
        <w:keepNext/>
        <w:spacing w:before="270" w:beforeAutospacing="0" w:after="270" w:afterAutospacing="0"/>
        <w:jc w:val="left"/>
        <w:rPr>
          <w:rFonts w:ascii="Segoe UI" w:hAnsi="Segoe UI" w:cs="Segoe UI"/>
          <w:b/>
          <w:bCs/>
          <w:color w:val="666666"/>
          <w:sz w:val="20"/>
          <w:szCs w:val="20"/>
        </w:rPr>
      </w:pPr>
      <w:r w:rsidRPr="00762F7E">
        <w:rPr>
          <w:rFonts w:ascii="Segoe UI" w:hAnsi="Segoe UI" w:cs="Segoe UI"/>
          <w:b/>
          <w:bCs/>
          <w:color w:val="666666"/>
          <w:sz w:val="20"/>
          <w:szCs w:val="20"/>
        </w:rPr>
        <w:t>Windows Division</w:t>
      </w:r>
    </w:p>
    <w:tbl>
      <w:tblPr>
        <w:tblW w:w="7655" w:type="dxa"/>
        <w:tblLayout w:type="fixed"/>
        <w:tblCellMar>
          <w:left w:w="0" w:type="dxa"/>
          <w:right w:w="0" w:type="dxa"/>
        </w:tblCellMar>
        <w:tblLook w:val="04A0" w:firstRow="1" w:lastRow="0" w:firstColumn="1" w:lastColumn="0" w:noHBand="0" w:noVBand="1"/>
      </w:tblPr>
      <w:tblGrid>
        <w:gridCol w:w="3065"/>
        <w:gridCol w:w="720"/>
        <w:gridCol w:w="720"/>
        <w:gridCol w:w="630"/>
        <w:gridCol w:w="990"/>
        <w:gridCol w:w="900"/>
        <w:gridCol w:w="630"/>
      </w:tblGrid>
      <w:tr w:rsidR="00CF6D7C" w:rsidRPr="00CF6D7C" w14:paraId="47BC6942" w14:textId="77777777" w:rsidTr="00327954">
        <w:trPr>
          <w:trHeight w:val="302"/>
        </w:trPr>
        <w:tc>
          <w:tcPr>
            <w:tcW w:w="3065" w:type="dxa"/>
            <w:shd w:val="clear" w:color="auto" w:fill="auto"/>
            <w:tcMar>
              <w:left w:w="0" w:type="dxa"/>
              <w:right w:w="0" w:type="dxa"/>
            </w:tcMar>
          </w:tcPr>
          <w:p w14:paraId="2C7D5A1F" w14:textId="77777777" w:rsidR="00CF6D7C" w:rsidRPr="00CF6D7C" w:rsidRDefault="00CF6D7C" w:rsidP="00327954">
            <w:pPr>
              <w:spacing w:after="0" w:line="240" w:lineRule="auto"/>
              <w:rPr>
                <w:rFonts w:ascii="Segoe UI" w:hAnsi="Segoe UI" w:cs="Segoe UI"/>
                <w:b/>
                <w:color w:val="666666"/>
                <w:sz w:val="18"/>
                <w:szCs w:val="18"/>
              </w:rPr>
            </w:pPr>
          </w:p>
        </w:tc>
        <w:tc>
          <w:tcPr>
            <w:tcW w:w="2070" w:type="dxa"/>
            <w:gridSpan w:val="3"/>
            <w:shd w:val="clear" w:color="auto" w:fill="auto"/>
            <w:tcMar>
              <w:left w:w="0" w:type="dxa"/>
              <w:right w:w="0" w:type="dxa"/>
            </w:tcMar>
            <w:vAlign w:val="bottom"/>
          </w:tcPr>
          <w:p w14:paraId="5FF73332"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2974007F"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c>
          <w:tcPr>
            <w:tcW w:w="2520" w:type="dxa"/>
            <w:gridSpan w:val="3"/>
            <w:shd w:val="clear" w:color="auto" w:fill="auto"/>
            <w:tcMar>
              <w:left w:w="0" w:type="dxa"/>
              <w:right w:w="0" w:type="dxa"/>
            </w:tcMar>
            <w:vAlign w:val="bottom"/>
          </w:tcPr>
          <w:p w14:paraId="6243E13A"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Twelve Months Ended</w:t>
            </w:r>
          </w:p>
          <w:p w14:paraId="612446C9"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June 30,</w:t>
            </w:r>
          </w:p>
        </w:tc>
      </w:tr>
      <w:tr w:rsidR="00CF6D7C" w:rsidRPr="00CF6D7C" w14:paraId="77BBDE41" w14:textId="77777777" w:rsidTr="00327954">
        <w:trPr>
          <w:trHeight w:val="647"/>
        </w:trPr>
        <w:tc>
          <w:tcPr>
            <w:tcW w:w="3065" w:type="dxa"/>
            <w:shd w:val="clear" w:color="auto" w:fill="auto"/>
            <w:tcMar>
              <w:left w:w="0" w:type="dxa"/>
              <w:right w:w="0" w:type="dxa"/>
            </w:tcMar>
            <w:vAlign w:val="bottom"/>
          </w:tcPr>
          <w:p w14:paraId="221ED375"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percentages)</w:t>
            </w:r>
          </w:p>
        </w:tc>
        <w:tc>
          <w:tcPr>
            <w:tcW w:w="720" w:type="dxa"/>
            <w:shd w:val="clear" w:color="auto" w:fill="auto"/>
            <w:tcMar>
              <w:left w:w="0" w:type="dxa"/>
              <w:right w:w="0" w:type="dxa"/>
            </w:tcMar>
            <w:vAlign w:val="bottom"/>
          </w:tcPr>
          <w:p w14:paraId="13A2F81D"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2013</w:t>
            </w:r>
          </w:p>
        </w:tc>
        <w:tc>
          <w:tcPr>
            <w:tcW w:w="720" w:type="dxa"/>
            <w:shd w:val="clear" w:color="auto" w:fill="auto"/>
            <w:tcMar>
              <w:left w:w="0" w:type="dxa"/>
              <w:right w:w="0" w:type="dxa"/>
            </w:tcMar>
            <w:vAlign w:val="bottom"/>
          </w:tcPr>
          <w:p w14:paraId="6E152462"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2012</w:t>
            </w:r>
          </w:p>
        </w:tc>
        <w:tc>
          <w:tcPr>
            <w:tcW w:w="630" w:type="dxa"/>
            <w:shd w:val="clear" w:color="auto" w:fill="auto"/>
            <w:tcMar>
              <w:left w:w="0" w:type="dxa"/>
              <w:right w:w="0" w:type="dxa"/>
            </w:tcMar>
            <w:vAlign w:val="bottom"/>
          </w:tcPr>
          <w:p w14:paraId="3C21B81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 Y/Y</w:t>
            </w:r>
          </w:p>
        </w:tc>
        <w:tc>
          <w:tcPr>
            <w:tcW w:w="990" w:type="dxa"/>
            <w:shd w:val="clear" w:color="auto" w:fill="auto"/>
            <w:tcMar>
              <w:left w:w="0" w:type="dxa"/>
              <w:right w:w="0" w:type="dxa"/>
            </w:tcMar>
            <w:vAlign w:val="bottom"/>
          </w:tcPr>
          <w:p w14:paraId="74A11BC1"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2013</w:t>
            </w:r>
          </w:p>
        </w:tc>
        <w:tc>
          <w:tcPr>
            <w:tcW w:w="900" w:type="dxa"/>
            <w:shd w:val="clear" w:color="auto" w:fill="auto"/>
            <w:tcMar>
              <w:left w:w="0" w:type="dxa"/>
              <w:right w:w="0" w:type="dxa"/>
            </w:tcMar>
            <w:vAlign w:val="bottom"/>
          </w:tcPr>
          <w:p w14:paraId="63B2B88B"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2012</w:t>
            </w:r>
          </w:p>
        </w:tc>
        <w:tc>
          <w:tcPr>
            <w:tcW w:w="630" w:type="dxa"/>
            <w:shd w:val="clear" w:color="auto" w:fill="auto"/>
            <w:tcMar>
              <w:left w:w="0" w:type="dxa"/>
              <w:right w:w="0" w:type="dxa"/>
            </w:tcMar>
            <w:vAlign w:val="bottom"/>
          </w:tcPr>
          <w:p w14:paraId="5A5E8908"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 Y/Y</w:t>
            </w:r>
          </w:p>
        </w:tc>
      </w:tr>
      <w:tr w:rsidR="00CF6D7C" w:rsidRPr="00CF6D7C" w14:paraId="689EC0EB" w14:textId="77777777" w:rsidTr="00327954">
        <w:trPr>
          <w:trHeight w:val="418"/>
        </w:trPr>
        <w:tc>
          <w:tcPr>
            <w:tcW w:w="3065" w:type="dxa"/>
            <w:shd w:val="clear" w:color="auto" w:fill="auto"/>
            <w:tcMar>
              <w:left w:w="0" w:type="dxa"/>
              <w:right w:w="0" w:type="dxa"/>
            </w:tcMar>
            <w:vAlign w:val="bottom"/>
          </w:tcPr>
          <w:p w14:paraId="7D4A6875"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As reported revenue (GAAP)</w:t>
            </w:r>
          </w:p>
        </w:tc>
        <w:tc>
          <w:tcPr>
            <w:tcW w:w="720" w:type="dxa"/>
            <w:shd w:val="clear" w:color="auto" w:fill="auto"/>
            <w:tcMar>
              <w:left w:w="0" w:type="dxa"/>
              <w:right w:w="0" w:type="dxa"/>
            </w:tcMar>
            <w:vAlign w:val="bottom"/>
          </w:tcPr>
          <w:p w14:paraId="2A9652A8"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$4,411</w:t>
            </w:r>
          </w:p>
        </w:tc>
        <w:tc>
          <w:tcPr>
            <w:tcW w:w="720" w:type="dxa"/>
            <w:shd w:val="clear" w:color="auto" w:fill="auto"/>
            <w:tcMar>
              <w:left w:w="0" w:type="dxa"/>
              <w:right w:w="0" w:type="dxa"/>
            </w:tcMar>
            <w:vAlign w:val="bottom"/>
          </w:tcPr>
          <w:p w14:paraId="63EDBE23"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$4,152</w:t>
            </w:r>
          </w:p>
        </w:tc>
        <w:tc>
          <w:tcPr>
            <w:tcW w:w="630" w:type="dxa"/>
            <w:shd w:val="clear" w:color="auto" w:fill="auto"/>
            <w:tcMar>
              <w:left w:w="0" w:type="dxa"/>
              <w:right w:w="0" w:type="dxa"/>
            </w:tcMar>
            <w:vAlign w:val="bottom"/>
          </w:tcPr>
          <w:p w14:paraId="32A42D04"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w:t>
            </w:r>
          </w:p>
        </w:tc>
        <w:tc>
          <w:tcPr>
            <w:tcW w:w="990" w:type="dxa"/>
            <w:shd w:val="clear" w:color="auto" w:fill="auto"/>
            <w:tcMar>
              <w:left w:w="0" w:type="dxa"/>
              <w:right w:w="0" w:type="dxa"/>
            </w:tcMar>
            <w:vAlign w:val="bottom"/>
          </w:tcPr>
          <w:p w14:paraId="5F5FC64C"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$19,239</w:t>
            </w:r>
          </w:p>
        </w:tc>
        <w:tc>
          <w:tcPr>
            <w:tcW w:w="900" w:type="dxa"/>
            <w:shd w:val="clear" w:color="auto" w:fill="auto"/>
            <w:tcMar>
              <w:left w:w="0" w:type="dxa"/>
              <w:right w:w="0" w:type="dxa"/>
            </w:tcMar>
            <w:vAlign w:val="bottom"/>
          </w:tcPr>
          <w:p w14:paraId="78473543"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$18,400</w:t>
            </w:r>
          </w:p>
        </w:tc>
        <w:tc>
          <w:tcPr>
            <w:tcW w:w="630" w:type="dxa"/>
            <w:shd w:val="clear" w:color="auto" w:fill="auto"/>
            <w:tcMar>
              <w:left w:w="0" w:type="dxa"/>
              <w:right w:w="0" w:type="dxa"/>
            </w:tcMar>
            <w:vAlign w:val="bottom"/>
          </w:tcPr>
          <w:p w14:paraId="5ED33B82"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w:t>
            </w:r>
          </w:p>
        </w:tc>
      </w:tr>
      <w:tr w:rsidR="00CF6D7C" w:rsidRPr="00CF6D7C" w14:paraId="68FDB79B" w14:textId="77777777" w:rsidTr="00327954">
        <w:trPr>
          <w:trHeight w:val="302"/>
        </w:trPr>
        <w:tc>
          <w:tcPr>
            <w:tcW w:w="3065" w:type="dxa"/>
            <w:shd w:val="clear" w:color="auto" w:fill="auto"/>
            <w:tcMar>
              <w:left w:w="288" w:type="dxa"/>
              <w:right w:w="0" w:type="dxa"/>
            </w:tcMar>
            <w:vAlign w:val="bottom"/>
          </w:tcPr>
          <w:p w14:paraId="2D5BD748"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Windows Upgrade Offer</w:t>
            </w:r>
          </w:p>
        </w:tc>
        <w:tc>
          <w:tcPr>
            <w:tcW w:w="720" w:type="dxa"/>
            <w:shd w:val="clear" w:color="auto" w:fill="auto"/>
            <w:tcMar>
              <w:left w:w="0" w:type="dxa"/>
              <w:right w:w="0" w:type="dxa"/>
            </w:tcMar>
            <w:vAlign w:val="bottom"/>
          </w:tcPr>
          <w:p w14:paraId="375EABD1"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720" w:type="dxa"/>
            <w:shd w:val="clear" w:color="auto" w:fill="auto"/>
            <w:tcMar>
              <w:left w:w="0" w:type="dxa"/>
              <w:right w:w="0" w:type="dxa"/>
            </w:tcMar>
            <w:vAlign w:val="bottom"/>
          </w:tcPr>
          <w:p w14:paraId="45F22F6A"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$540</w:t>
            </w:r>
          </w:p>
        </w:tc>
        <w:tc>
          <w:tcPr>
            <w:tcW w:w="630" w:type="dxa"/>
            <w:shd w:val="clear" w:color="auto" w:fill="auto"/>
            <w:tcMar>
              <w:left w:w="0" w:type="dxa"/>
              <w:right w:w="0" w:type="dxa"/>
            </w:tcMar>
            <w:vAlign w:val="bottom"/>
          </w:tcPr>
          <w:p w14:paraId="7711E213"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990" w:type="dxa"/>
            <w:shd w:val="clear" w:color="auto" w:fill="auto"/>
            <w:tcMar>
              <w:left w:w="0" w:type="dxa"/>
              <w:right w:w="0" w:type="dxa"/>
            </w:tcMar>
            <w:vAlign w:val="bottom"/>
          </w:tcPr>
          <w:p w14:paraId="041AFAAD"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($540)</w:t>
            </w:r>
          </w:p>
        </w:tc>
        <w:tc>
          <w:tcPr>
            <w:tcW w:w="900" w:type="dxa"/>
            <w:shd w:val="clear" w:color="auto" w:fill="auto"/>
            <w:tcMar>
              <w:left w:w="0" w:type="dxa"/>
              <w:right w:w="0" w:type="dxa"/>
            </w:tcMar>
            <w:vAlign w:val="bottom"/>
          </w:tcPr>
          <w:p w14:paraId="1A0F776C" w14:textId="7F0DA50A" w:rsidR="00CF6D7C" w:rsidRPr="00CF6D7C" w:rsidRDefault="00F113CB" w:rsidP="00327954">
            <w:pPr>
              <w:pBdr>
                <w:bottom w:val="single" w:sz="4" w:space="1" w:color="auto"/>
              </w:pBdr>
              <w:spacing w:after="0" w:line="240" w:lineRule="auto"/>
              <w:jc w:val="right"/>
              <w:rPr>
                <w:rFonts w:ascii="Segoe UI" w:hAnsi="Segoe UI" w:cs="Segoe UI"/>
                <w:color w:val="666666"/>
                <w:sz w:val="18"/>
                <w:szCs w:val="18"/>
              </w:rPr>
            </w:pPr>
            <w:r>
              <w:rPr>
                <w:rFonts w:ascii="Segoe UI" w:hAnsi="Segoe UI" w:cs="Segoe UI"/>
                <w:color w:val="666666"/>
                <w:sz w:val="18"/>
                <w:szCs w:val="18"/>
              </w:rPr>
              <w:t>$</w:t>
            </w:r>
            <w:r w:rsidR="00CF6D7C" w:rsidRPr="00CF6D7C">
              <w:rPr>
                <w:rFonts w:ascii="Segoe UI" w:hAnsi="Segoe UI" w:cs="Segoe UI"/>
                <w:color w:val="666666"/>
                <w:sz w:val="18"/>
                <w:szCs w:val="18"/>
              </w:rPr>
              <w:t>540</w:t>
            </w:r>
          </w:p>
        </w:tc>
        <w:tc>
          <w:tcPr>
            <w:tcW w:w="630" w:type="dxa"/>
            <w:shd w:val="clear" w:color="auto" w:fill="auto"/>
            <w:tcMar>
              <w:left w:w="0" w:type="dxa"/>
              <w:right w:w="0" w:type="dxa"/>
            </w:tcMar>
            <w:vAlign w:val="bottom"/>
          </w:tcPr>
          <w:p w14:paraId="5E652307"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r>
      <w:tr w:rsidR="00CF6D7C" w:rsidRPr="00CF6D7C" w14:paraId="56699C4C" w14:textId="77777777" w:rsidTr="00327954">
        <w:trPr>
          <w:trHeight w:val="421"/>
        </w:trPr>
        <w:tc>
          <w:tcPr>
            <w:tcW w:w="3065" w:type="dxa"/>
            <w:shd w:val="clear" w:color="auto" w:fill="auto"/>
            <w:tcMar>
              <w:left w:w="0" w:type="dxa"/>
              <w:right w:w="0" w:type="dxa"/>
            </w:tcMar>
            <w:vAlign w:val="bottom"/>
          </w:tcPr>
          <w:p w14:paraId="68799D02" w14:textId="152D1F12"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As adjusted revenue (non-GAAP)</w:t>
            </w:r>
          </w:p>
        </w:tc>
        <w:tc>
          <w:tcPr>
            <w:tcW w:w="720" w:type="dxa"/>
            <w:shd w:val="clear" w:color="auto" w:fill="auto"/>
            <w:tcMar>
              <w:left w:w="0" w:type="dxa"/>
              <w:right w:w="0" w:type="dxa"/>
            </w:tcMar>
            <w:vAlign w:val="bottom"/>
          </w:tcPr>
          <w:p w14:paraId="1C893E8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$4,411</w:t>
            </w:r>
          </w:p>
        </w:tc>
        <w:tc>
          <w:tcPr>
            <w:tcW w:w="720" w:type="dxa"/>
            <w:shd w:val="clear" w:color="auto" w:fill="auto"/>
            <w:tcMar>
              <w:left w:w="0" w:type="dxa"/>
              <w:right w:w="0" w:type="dxa"/>
            </w:tcMar>
            <w:vAlign w:val="bottom"/>
          </w:tcPr>
          <w:p w14:paraId="5831857B"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$4,692</w:t>
            </w:r>
          </w:p>
        </w:tc>
        <w:tc>
          <w:tcPr>
            <w:tcW w:w="630" w:type="dxa"/>
            <w:shd w:val="clear" w:color="auto" w:fill="auto"/>
            <w:tcMar>
              <w:left w:w="0" w:type="dxa"/>
              <w:right w:w="0" w:type="dxa"/>
            </w:tcMar>
            <w:vAlign w:val="bottom"/>
          </w:tcPr>
          <w:p w14:paraId="7EDAACDA"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w:t>
            </w:r>
          </w:p>
        </w:tc>
        <w:tc>
          <w:tcPr>
            <w:tcW w:w="990" w:type="dxa"/>
            <w:shd w:val="clear" w:color="auto" w:fill="auto"/>
            <w:tcMar>
              <w:left w:w="0" w:type="dxa"/>
              <w:right w:w="0" w:type="dxa"/>
            </w:tcMar>
            <w:vAlign w:val="bottom"/>
          </w:tcPr>
          <w:p w14:paraId="262619FD"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$18,699</w:t>
            </w:r>
          </w:p>
        </w:tc>
        <w:tc>
          <w:tcPr>
            <w:tcW w:w="900" w:type="dxa"/>
            <w:shd w:val="clear" w:color="auto" w:fill="auto"/>
            <w:tcMar>
              <w:left w:w="0" w:type="dxa"/>
              <w:right w:w="0" w:type="dxa"/>
            </w:tcMar>
            <w:vAlign w:val="bottom"/>
          </w:tcPr>
          <w:p w14:paraId="1EBFBCE1"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$18,940</w:t>
            </w:r>
          </w:p>
        </w:tc>
        <w:tc>
          <w:tcPr>
            <w:tcW w:w="630" w:type="dxa"/>
            <w:shd w:val="clear" w:color="auto" w:fill="auto"/>
            <w:tcMar>
              <w:left w:w="0" w:type="dxa"/>
              <w:right w:w="0" w:type="dxa"/>
            </w:tcMar>
            <w:vAlign w:val="bottom"/>
          </w:tcPr>
          <w:p w14:paraId="3CBDBF88"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(1)%</w:t>
            </w:r>
          </w:p>
        </w:tc>
      </w:tr>
    </w:tbl>
    <w:p w14:paraId="5938D238" w14:textId="77777777" w:rsidR="001F2E3F" w:rsidRDefault="001F2E3F" w:rsidP="001F2E3F">
      <w:pPr>
        <w:pStyle w:val="NormalWeb"/>
        <w:keepNext/>
        <w:spacing w:before="270" w:beforeAutospacing="0" w:after="270" w:afterAutospacing="0"/>
        <w:jc w:val="left"/>
        <w:rPr>
          <w:rFonts w:ascii="Segoe UI" w:hAnsi="Segoe UI" w:cs="Segoe UI"/>
          <w:b/>
          <w:color w:val="666666"/>
          <w:sz w:val="20"/>
          <w:szCs w:val="20"/>
        </w:rPr>
      </w:pPr>
      <w:r>
        <w:rPr>
          <w:rFonts w:ascii="Segoe UI" w:hAnsi="Segoe UI" w:cs="Segoe UI"/>
          <w:b/>
          <w:color w:val="666666"/>
          <w:sz w:val="20"/>
          <w:szCs w:val="20"/>
        </w:rPr>
        <w:t>Windows Division OEM Revenue</w:t>
      </w:r>
    </w:p>
    <w:tbl>
      <w:tblPr>
        <w:tblW w:w="5405" w:type="dxa"/>
        <w:tblLayout w:type="fixed"/>
        <w:tblCellMar>
          <w:left w:w="0" w:type="dxa"/>
          <w:right w:w="0" w:type="dxa"/>
        </w:tblCellMar>
        <w:tblLook w:val="04A0" w:firstRow="1" w:lastRow="0" w:firstColumn="1" w:lastColumn="0" w:noHBand="0" w:noVBand="1"/>
      </w:tblPr>
      <w:tblGrid>
        <w:gridCol w:w="3155"/>
        <w:gridCol w:w="720"/>
        <w:gridCol w:w="810"/>
        <w:gridCol w:w="720"/>
      </w:tblGrid>
      <w:tr w:rsidR="00CF6D7C" w:rsidRPr="00CF6D7C" w14:paraId="3269768E" w14:textId="77777777" w:rsidTr="00327954">
        <w:trPr>
          <w:trHeight w:val="302"/>
        </w:trPr>
        <w:tc>
          <w:tcPr>
            <w:tcW w:w="3155" w:type="dxa"/>
            <w:shd w:val="clear" w:color="auto" w:fill="auto"/>
            <w:tcMar>
              <w:left w:w="0" w:type="dxa"/>
              <w:right w:w="0" w:type="dxa"/>
            </w:tcMar>
          </w:tcPr>
          <w:p w14:paraId="38169BAA" w14:textId="77777777" w:rsidR="00CF6D7C" w:rsidRPr="00CF6D7C" w:rsidRDefault="00CF6D7C" w:rsidP="00327954">
            <w:pPr>
              <w:spacing w:after="0" w:line="240" w:lineRule="auto"/>
              <w:rPr>
                <w:rFonts w:ascii="Segoe UI" w:hAnsi="Segoe UI" w:cs="Segoe UI"/>
                <w:b/>
                <w:color w:val="666666"/>
                <w:sz w:val="18"/>
                <w:szCs w:val="18"/>
              </w:rPr>
            </w:pPr>
          </w:p>
        </w:tc>
        <w:tc>
          <w:tcPr>
            <w:tcW w:w="2250" w:type="dxa"/>
            <w:gridSpan w:val="3"/>
            <w:shd w:val="clear" w:color="auto" w:fill="auto"/>
            <w:tcMar>
              <w:left w:w="0" w:type="dxa"/>
              <w:right w:w="0" w:type="dxa"/>
            </w:tcMar>
            <w:vAlign w:val="bottom"/>
          </w:tcPr>
          <w:p w14:paraId="565E8AEB"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04044220"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r>
      <w:tr w:rsidR="00CF6D7C" w:rsidRPr="00CF6D7C" w14:paraId="4A0754E5" w14:textId="77777777" w:rsidTr="00327954">
        <w:trPr>
          <w:trHeight w:val="647"/>
        </w:trPr>
        <w:tc>
          <w:tcPr>
            <w:tcW w:w="3155" w:type="dxa"/>
            <w:shd w:val="clear" w:color="auto" w:fill="auto"/>
            <w:tcMar>
              <w:left w:w="0" w:type="dxa"/>
              <w:right w:w="0" w:type="dxa"/>
            </w:tcMar>
            <w:vAlign w:val="bottom"/>
          </w:tcPr>
          <w:p w14:paraId="12F5F084"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percentages)</w:t>
            </w:r>
          </w:p>
        </w:tc>
        <w:tc>
          <w:tcPr>
            <w:tcW w:w="720" w:type="dxa"/>
            <w:shd w:val="clear" w:color="auto" w:fill="auto"/>
            <w:tcMar>
              <w:left w:w="0" w:type="dxa"/>
              <w:right w:w="0" w:type="dxa"/>
            </w:tcMar>
            <w:vAlign w:val="bottom"/>
          </w:tcPr>
          <w:p w14:paraId="0018C402"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2013</w:t>
            </w:r>
          </w:p>
        </w:tc>
        <w:tc>
          <w:tcPr>
            <w:tcW w:w="810" w:type="dxa"/>
            <w:shd w:val="clear" w:color="auto" w:fill="auto"/>
            <w:tcMar>
              <w:left w:w="0" w:type="dxa"/>
              <w:right w:w="0" w:type="dxa"/>
            </w:tcMar>
            <w:vAlign w:val="bottom"/>
          </w:tcPr>
          <w:p w14:paraId="51244237"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2012</w:t>
            </w:r>
          </w:p>
        </w:tc>
        <w:tc>
          <w:tcPr>
            <w:tcW w:w="720" w:type="dxa"/>
            <w:shd w:val="clear" w:color="auto" w:fill="auto"/>
            <w:tcMar>
              <w:left w:w="0" w:type="dxa"/>
              <w:right w:w="0" w:type="dxa"/>
            </w:tcMar>
            <w:vAlign w:val="bottom"/>
          </w:tcPr>
          <w:p w14:paraId="770D0860"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 Y/Y</w:t>
            </w:r>
          </w:p>
        </w:tc>
      </w:tr>
      <w:tr w:rsidR="00CF6D7C" w:rsidRPr="00CF6D7C" w14:paraId="766D1200" w14:textId="77777777" w:rsidTr="00327954">
        <w:trPr>
          <w:trHeight w:val="418"/>
        </w:trPr>
        <w:tc>
          <w:tcPr>
            <w:tcW w:w="3155" w:type="dxa"/>
            <w:shd w:val="clear" w:color="auto" w:fill="auto"/>
            <w:tcMar>
              <w:left w:w="0" w:type="dxa"/>
              <w:right w:w="0" w:type="dxa"/>
            </w:tcMar>
            <w:vAlign w:val="bottom"/>
          </w:tcPr>
          <w:p w14:paraId="16509F26" w14:textId="0AF4203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 xml:space="preserve">As reported </w:t>
            </w:r>
            <w:r w:rsidR="0041530F">
              <w:rPr>
                <w:rFonts w:ascii="Segoe UI" w:hAnsi="Segoe UI" w:cs="Segoe UI"/>
                <w:color w:val="666666"/>
                <w:sz w:val="18"/>
                <w:szCs w:val="18"/>
              </w:rPr>
              <w:t xml:space="preserve">OEM </w:t>
            </w:r>
            <w:r w:rsidRPr="00CF6D7C">
              <w:rPr>
                <w:rFonts w:ascii="Segoe UI" w:hAnsi="Segoe UI" w:cs="Segoe UI"/>
                <w:color w:val="666666"/>
                <w:sz w:val="18"/>
                <w:szCs w:val="18"/>
              </w:rPr>
              <w:t>revenue (GAAP)</w:t>
            </w:r>
          </w:p>
        </w:tc>
        <w:tc>
          <w:tcPr>
            <w:tcW w:w="720" w:type="dxa"/>
            <w:shd w:val="clear" w:color="auto" w:fill="auto"/>
            <w:tcMar>
              <w:left w:w="0" w:type="dxa"/>
              <w:right w:w="0" w:type="dxa"/>
            </w:tcMar>
            <w:vAlign w:val="bottom"/>
          </w:tcPr>
          <w:p w14:paraId="2DF632F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$2,967</w:t>
            </w:r>
          </w:p>
        </w:tc>
        <w:tc>
          <w:tcPr>
            <w:tcW w:w="810" w:type="dxa"/>
            <w:shd w:val="clear" w:color="auto" w:fill="auto"/>
            <w:tcMar>
              <w:left w:w="0" w:type="dxa"/>
              <w:right w:w="0" w:type="dxa"/>
            </w:tcMar>
            <w:vAlign w:val="bottom"/>
          </w:tcPr>
          <w:p w14:paraId="590F3155" w14:textId="1CD374AF" w:rsidR="00CF6D7C" w:rsidRPr="00CF6D7C" w:rsidRDefault="007C79C4"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w:t>
            </w:r>
            <w:r w:rsidR="00CF6D7C" w:rsidRPr="00CF6D7C">
              <w:rPr>
                <w:rFonts w:ascii="Segoe UI" w:hAnsi="Segoe UI" w:cs="Segoe UI"/>
                <w:bCs/>
                <w:color w:val="666666"/>
                <w:sz w:val="18"/>
                <w:szCs w:val="18"/>
              </w:rPr>
              <w:t>2,943</w:t>
            </w:r>
          </w:p>
        </w:tc>
        <w:tc>
          <w:tcPr>
            <w:tcW w:w="720" w:type="dxa"/>
            <w:shd w:val="clear" w:color="auto" w:fill="auto"/>
            <w:tcMar>
              <w:left w:w="0" w:type="dxa"/>
              <w:right w:w="0" w:type="dxa"/>
            </w:tcMar>
            <w:vAlign w:val="bottom"/>
          </w:tcPr>
          <w:p w14:paraId="36E47BC5"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p>
        </w:tc>
      </w:tr>
      <w:tr w:rsidR="00CF6D7C" w:rsidRPr="00CF6D7C" w14:paraId="635BD733" w14:textId="77777777" w:rsidTr="00327954">
        <w:trPr>
          <w:trHeight w:val="302"/>
        </w:trPr>
        <w:tc>
          <w:tcPr>
            <w:tcW w:w="3155" w:type="dxa"/>
            <w:shd w:val="clear" w:color="auto" w:fill="auto"/>
            <w:tcMar>
              <w:left w:w="288" w:type="dxa"/>
              <w:right w:w="0" w:type="dxa"/>
            </w:tcMar>
            <w:vAlign w:val="bottom"/>
          </w:tcPr>
          <w:p w14:paraId="5158773F"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Windows Upgrade Offer</w:t>
            </w:r>
          </w:p>
        </w:tc>
        <w:tc>
          <w:tcPr>
            <w:tcW w:w="720" w:type="dxa"/>
            <w:shd w:val="clear" w:color="auto" w:fill="auto"/>
            <w:tcMar>
              <w:left w:w="0" w:type="dxa"/>
              <w:right w:w="0" w:type="dxa"/>
            </w:tcMar>
            <w:vAlign w:val="bottom"/>
          </w:tcPr>
          <w:p w14:paraId="49E37F6E"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379C8D1B"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r w:rsidRPr="00CF6D7C">
              <w:rPr>
                <w:rFonts w:ascii="Segoe UI" w:hAnsi="Segoe UI" w:cs="Segoe UI"/>
                <w:bCs/>
                <w:color w:val="666666"/>
                <w:sz w:val="18"/>
                <w:szCs w:val="18"/>
              </w:rPr>
              <w:t>$540</w:t>
            </w:r>
          </w:p>
        </w:tc>
        <w:tc>
          <w:tcPr>
            <w:tcW w:w="720" w:type="dxa"/>
            <w:shd w:val="clear" w:color="auto" w:fill="auto"/>
            <w:tcMar>
              <w:left w:w="0" w:type="dxa"/>
              <w:right w:w="0" w:type="dxa"/>
            </w:tcMar>
            <w:vAlign w:val="bottom"/>
          </w:tcPr>
          <w:p w14:paraId="0BDE1F1A"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r>
      <w:tr w:rsidR="00CF6D7C" w:rsidRPr="00CF6D7C" w14:paraId="64256762" w14:textId="77777777" w:rsidTr="00327954">
        <w:trPr>
          <w:trHeight w:val="376"/>
        </w:trPr>
        <w:tc>
          <w:tcPr>
            <w:tcW w:w="3155" w:type="dxa"/>
            <w:shd w:val="clear" w:color="auto" w:fill="auto"/>
            <w:tcMar>
              <w:left w:w="0" w:type="dxa"/>
              <w:right w:w="0" w:type="dxa"/>
            </w:tcMar>
            <w:vAlign w:val="bottom"/>
          </w:tcPr>
          <w:p w14:paraId="555BA68E" w14:textId="04316502"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 xml:space="preserve">As adjusted </w:t>
            </w:r>
            <w:r w:rsidR="0041530F">
              <w:rPr>
                <w:rFonts w:ascii="Segoe UI" w:hAnsi="Segoe UI" w:cs="Segoe UI"/>
                <w:bCs/>
                <w:color w:val="666666"/>
                <w:sz w:val="18"/>
                <w:szCs w:val="18"/>
              </w:rPr>
              <w:t xml:space="preserve">OEM </w:t>
            </w:r>
            <w:r w:rsidRPr="00CF6D7C">
              <w:rPr>
                <w:rFonts w:ascii="Segoe UI" w:hAnsi="Segoe UI" w:cs="Segoe UI"/>
                <w:bCs/>
                <w:color w:val="666666"/>
                <w:sz w:val="18"/>
                <w:szCs w:val="18"/>
              </w:rPr>
              <w:t>revenue (non-GAAP)</w:t>
            </w:r>
          </w:p>
        </w:tc>
        <w:tc>
          <w:tcPr>
            <w:tcW w:w="720" w:type="dxa"/>
            <w:shd w:val="clear" w:color="auto" w:fill="auto"/>
            <w:tcMar>
              <w:left w:w="0" w:type="dxa"/>
              <w:right w:w="0" w:type="dxa"/>
            </w:tcMar>
            <w:vAlign w:val="bottom"/>
          </w:tcPr>
          <w:p w14:paraId="3811660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$2,967</w:t>
            </w:r>
          </w:p>
        </w:tc>
        <w:tc>
          <w:tcPr>
            <w:tcW w:w="810" w:type="dxa"/>
            <w:shd w:val="clear" w:color="auto" w:fill="auto"/>
            <w:tcMar>
              <w:left w:w="0" w:type="dxa"/>
              <w:right w:w="0" w:type="dxa"/>
            </w:tcMar>
            <w:vAlign w:val="bottom"/>
          </w:tcPr>
          <w:p w14:paraId="0E852A70"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$3,483</w:t>
            </w:r>
          </w:p>
        </w:tc>
        <w:tc>
          <w:tcPr>
            <w:tcW w:w="720" w:type="dxa"/>
            <w:shd w:val="clear" w:color="auto" w:fill="auto"/>
            <w:tcMar>
              <w:left w:w="0" w:type="dxa"/>
              <w:right w:w="0" w:type="dxa"/>
            </w:tcMar>
            <w:vAlign w:val="bottom"/>
          </w:tcPr>
          <w:p w14:paraId="25B9CE20"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(15)%</w:t>
            </w:r>
          </w:p>
        </w:tc>
      </w:tr>
    </w:tbl>
    <w:p w14:paraId="163C794F" w14:textId="77777777" w:rsidR="001F2E3F" w:rsidRPr="00E04BA6" w:rsidRDefault="001F2E3F" w:rsidP="001F2E3F">
      <w:pPr>
        <w:spacing w:before="270" w:after="270"/>
      </w:pPr>
      <w:r>
        <w:rPr>
          <w:rFonts w:ascii="Segoe UI" w:hAnsi="Segoe UI" w:cs="Segoe UI"/>
          <w:b/>
          <w:color w:val="666666"/>
          <w:sz w:val="20"/>
          <w:szCs w:val="20"/>
        </w:rPr>
        <w:lastRenderedPageBreak/>
        <w:t>Windows Division Operating Income</w:t>
      </w:r>
    </w:p>
    <w:tbl>
      <w:tblPr>
        <w:tblW w:w="5405" w:type="dxa"/>
        <w:tblLayout w:type="fixed"/>
        <w:tblCellMar>
          <w:left w:w="0" w:type="dxa"/>
          <w:right w:w="0" w:type="dxa"/>
        </w:tblCellMar>
        <w:tblLook w:val="04A0" w:firstRow="1" w:lastRow="0" w:firstColumn="1" w:lastColumn="0" w:noHBand="0" w:noVBand="1"/>
      </w:tblPr>
      <w:tblGrid>
        <w:gridCol w:w="3155"/>
        <w:gridCol w:w="720"/>
        <w:gridCol w:w="810"/>
        <w:gridCol w:w="720"/>
      </w:tblGrid>
      <w:tr w:rsidR="00CF6D7C" w:rsidRPr="00CF6D7C" w14:paraId="31957A66" w14:textId="77777777" w:rsidTr="00327954">
        <w:trPr>
          <w:trHeight w:val="302"/>
        </w:trPr>
        <w:tc>
          <w:tcPr>
            <w:tcW w:w="3155" w:type="dxa"/>
            <w:shd w:val="clear" w:color="auto" w:fill="auto"/>
            <w:tcMar>
              <w:left w:w="0" w:type="dxa"/>
              <w:right w:w="0" w:type="dxa"/>
            </w:tcMar>
          </w:tcPr>
          <w:p w14:paraId="0E35C730" w14:textId="77777777" w:rsidR="00CF6D7C" w:rsidRPr="00CF6D7C" w:rsidRDefault="00CF6D7C" w:rsidP="00327954">
            <w:pPr>
              <w:spacing w:after="0" w:line="240" w:lineRule="auto"/>
              <w:rPr>
                <w:rFonts w:ascii="Segoe UI" w:hAnsi="Segoe UI" w:cs="Segoe UI"/>
                <w:b/>
                <w:color w:val="666666"/>
                <w:sz w:val="18"/>
                <w:szCs w:val="18"/>
              </w:rPr>
            </w:pPr>
          </w:p>
        </w:tc>
        <w:tc>
          <w:tcPr>
            <w:tcW w:w="2250" w:type="dxa"/>
            <w:gridSpan w:val="3"/>
            <w:shd w:val="clear" w:color="auto" w:fill="auto"/>
            <w:tcMar>
              <w:left w:w="0" w:type="dxa"/>
              <w:right w:w="0" w:type="dxa"/>
            </w:tcMar>
            <w:vAlign w:val="bottom"/>
          </w:tcPr>
          <w:p w14:paraId="402730BD"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3A859442"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r>
      <w:tr w:rsidR="00CF6D7C" w:rsidRPr="00CF6D7C" w14:paraId="5D9F9FA0" w14:textId="77777777" w:rsidTr="00327954">
        <w:trPr>
          <w:trHeight w:val="647"/>
        </w:trPr>
        <w:tc>
          <w:tcPr>
            <w:tcW w:w="3155" w:type="dxa"/>
            <w:shd w:val="clear" w:color="auto" w:fill="auto"/>
            <w:tcMar>
              <w:left w:w="0" w:type="dxa"/>
              <w:right w:w="0" w:type="dxa"/>
            </w:tcMar>
            <w:vAlign w:val="bottom"/>
          </w:tcPr>
          <w:p w14:paraId="4E856D66"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percentages)</w:t>
            </w:r>
          </w:p>
        </w:tc>
        <w:tc>
          <w:tcPr>
            <w:tcW w:w="720" w:type="dxa"/>
            <w:shd w:val="clear" w:color="auto" w:fill="auto"/>
            <w:tcMar>
              <w:left w:w="0" w:type="dxa"/>
              <w:right w:w="0" w:type="dxa"/>
            </w:tcMar>
            <w:vAlign w:val="bottom"/>
          </w:tcPr>
          <w:p w14:paraId="6FC2D3CB"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2013</w:t>
            </w:r>
          </w:p>
        </w:tc>
        <w:tc>
          <w:tcPr>
            <w:tcW w:w="810" w:type="dxa"/>
            <w:shd w:val="clear" w:color="auto" w:fill="auto"/>
            <w:tcMar>
              <w:left w:w="0" w:type="dxa"/>
              <w:right w:w="0" w:type="dxa"/>
            </w:tcMar>
            <w:vAlign w:val="bottom"/>
          </w:tcPr>
          <w:p w14:paraId="2044089C"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2012</w:t>
            </w:r>
          </w:p>
        </w:tc>
        <w:tc>
          <w:tcPr>
            <w:tcW w:w="720" w:type="dxa"/>
            <w:shd w:val="clear" w:color="auto" w:fill="auto"/>
            <w:tcMar>
              <w:left w:w="0" w:type="dxa"/>
              <w:right w:w="0" w:type="dxa"/>
            </w:tcMar>
            <w:vAlign w:val="bottom"/>
          </w:tcPr>
          <w:p w14:paraId="6D0B17D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 Y/Y</w:t>
            </w:r>
          </w:p>
        </w:tc>
      </w:tr>
      <w:tr w:rsidR="00CF6D7C" w:rsidRPr="00CF6D7C" w14:paraId="6A8320F9" w14:textId="77777777" w:rsidTr="00327954">
        <w:trPr>
          <w:trHeight w:val="418"/>
        </w:trPr>
        <w:tc>
          <w:tcPr>
            <w:tcW w:w="3155" w:type="dxa"/>
            <w:shd w:val="clear" w:color="auto" w:fill="auto"/>
            <w:tcMar>
              <w:left w:w="0" w:type="dxa"/>
              <w:right w:w="0" w:type="dxa"/>
            </w:tcMar>
            <w:vAlign w:val="bottom"/>
          </w:tcPr>
          <w:p w14:paraId="4FBBA041" w14:textId="3A6E4DF6"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As</w:t>
            </w:r>
            <w:r w:rsidR="007C79C4">
              <w:rPr>
                <w:rFonts w:ascii="Segoe UI" w:hAnsi="Segoe UI" w:cs="Segoe UI"/>
                <w:color w:val="666666"/>
                <w:sz w:val="18"/>
                <w:szCs w:val="18"/>
              </w:rPr>
              <w:t xml:space="preserve"> reported</w:t>
            </w:r>
            <w:r w:rsidRPr="00CF6D7C">
              <w:rPr>
                <w:rFonts w:ascii="Segoe UI" w:hAnsi="Segoe UI" w:cs="Segoe UI"/>
                <w:color w:val="666666"/>
                <w:sz w:val="18"/>
                <w:szCs w:val="18"/>
              </w:rPr>
              <w:t xml:space="preserve"> operating income (GAAP)</w:t>
            </w:r>
          </w:p>
        </w:tc>
        <w:tc>
          <w:tcPr>
            <w:tcW w:w="720" w:type="dxa"/>
            <w:shd w:val="clear" w:color="auto" w:fill="auto"/>
            <w:tcMar>
              <w:left w:w="0" w:type="dxa"/>
              <w:right w:w="0" w:type="dxa"/>
            </w:tcMar>
            <w:vAlign w:val="bottom"/>
          </w:tcPr>
          <w:p w14:paraId="6BFFC35D" w14:textId="38CEB625" w:rsidR="00CF6D7C" w:rsidRPr="00CF6D7C" w:rsidRDefault="00B82DC4"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$1,0</w:t>
            </w:r>
            <w:r w:rsidR="00CF6D7C" w:rsidRPr="00CF6D7C">
              <w:rPr>
                <w:rFonts w:ascii="Segoe UI" w:hAnsi="Segoe UI" w:cs="Segoe UI"/>
                <w:bCs/>
                <w:color w:val="666666"/>
                <w:sz w:val="18"/>
                <w:szCs w:val="18"/>
              </w:rPr>
              <w:t>99</w:t>
            </w:r>
          </w:p>
        </w:tc>
        <w:tc>
          <w:tcPr>
            <w:tcW w:w="810" w:type="dxa"/>
            <w:shd w:val="clear" w:color="auto" w:fill="auto"/>
            <w:tcMar>
              <w:left w:w="0" w:type="dxa"/>
              <w:right w:w="0" w:type="dxa"/>
            </w:tcMar>
            <w:vAlign w:val="bottom"/>
          </w:tcPr>
          <w:p w14:paraId="4DF6BA40" w14:textId="67AFF870" w:rsidR="00CF6D7C" w:rsidRPr="00CF6D7C" w:rsidRDefault="007C79C4"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w:t>
            </w:r>
            <w:r w:rsidR="00CF6D7C" w:rsidRPr="00CF6D7C">
              <w:rPr>
                <w:rFonts w:ascii="Segoe UI" w:hAnsi="Segoe UI" w:cs="Segoe UI"/>
                <w:bCs/>
                <w:color w:val="666666"/>
                <w:sz w:val="18"/>
                <w:szCs w:val="18"/>
              </w:rPr>
              <w:t>2,422</w:t>
            </w:r>
          </w:p>
        </w:tc>
        <w:tc>
          <w:tcPr>
            <w:tcW w:w="720" w:type="dxa"/>
            <w:shd w:val="clear" w:color="auto" w:fill="auto"/>
            <w:tcMar>
              <w:left w:w="0" w:type="dxa"/>
              <w:right w:w="0" w:type="dxa"/>
            </w:tcMar>
            <w:vAlign w:val="bottom"/>
          </w:tcPr>
          <w:p w14:paraId="0D53FFA5" w14:textId="3F3D5621" w:rsidR="00CF6D7C" w:rsidRPr="00CF6D7C" w:rsidRDefault="00CF6D7C" w:rsidP="00B82DC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r w:rsidR="00B82DC4">
              <w:rPr>
                <w:rFonts w:ascii="Segoe UI" w:hAnsi="Segoe UI" w:cs="Segoe UI"/>
                <w:bCs/>
                <w:color w:val="666666"/>
                <w:sz w:val="18"/>
                <w:szCs w:val="18"/>
              </w:rPr>
              <w:t>55</w:t>
            </w:r>
            <w:r w:rsidRPr="00CF6D7C">
              <w:rPr>
                <w:rFonts w:ascii="Segoe UI" w:hAnsi="Segoe UI" w:cs="Segoe UI"/>
                <w:bCs/>
                <w:color w:val="666666"/>
                <w:sz w:val="18"/>
                <w:szCs w:val="18"/>
              </w:rPr>
              <w:t>)%</w:t>
            </w:r>
          </w:p>
        </w:tc>
      </w:tr>
      <w:tr w:rsidR="00CF6D7C" w:rsidRPr="00CF6D7C" w14:paraId="0CC27E64" w14:textId="77777777" w:rsidTr="00327954">
        <w:trPr>
          <w:trHeight w:val="302"/>
        </w:trPr>
        <w:tc>
          <w:tcPr>
            <w:tcW w:w="3155" w:type="dxa"/>
            <w:shd w:val="clear" w:color="auto" w:fill="auto"/>
            <w:tcMar>
              <w:left w:w="288" w:type="dxa"/>
              <w:right w:w="0" w:type="dxa"/>
            </w:tcMar>
            <w:vAlign w:val="bottom"/>
          </w:tcPr>
          <w:p w14:paraId="4394EDF6"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Windows Upgrade Offer</w:t>
            </w:r>
          </w:p>
        </w:tc>
        <w:tc>
          <w:tcPr>
            <w:tcW w:w="720" w:type="dxa"/>
            <w:shd w:val="clear" w:color="auto" w:fill="auto"/>
            <w:tcMar>
              <w:left w:w="0" w:type="dxa"/>
              <w:right w:w="0" w:type="dxa"/>
            </w:tcMar>
            <w:vAlign w:val="bottom"/>
          </w:tcPr>
          <w:p w14:paraId="4379D9B9"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p>
        </w:tc>
        <w:tc>
          <w:tcPr>
            <w:tcW w:w="810" w:type="dxa"/>
            <w:shd w:val="clear" w:color="auto" w:fill="auto"/>
            <w:tcMar>
              <w:left w:w="0" w:type="dxa"/>
              <w:right w:w="0" w:type="dxa"/>
            </w:tcMar>
            <w:vAlign w:val="bottom"/>
          </w:tcPr>
          <w:p w14:paraId="34A26281"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r w:rsidRPr="00CF6D7C">
              <w:rPr>
                <w:rFonts w:ascii="Segoe UI" w:hAnsi="Segoe UI" w:cs="Segoe UI"/>
                <w:bCs/>
                <w:color w:val="666666"/>
                <w:sz w:val="18"/>
                <w:szCs w:val="18"/>
              </w:rPr>
              <w:t>$540</w:t>
            </w:r>
          </w:p>
        </w:tc>
        <w:tc>
          <w:tcPr>
            <w:tcW w:w="720" w:type="dxa"/>
            <w:shd w:val="clear" w:color="auto" w:fill="auto"/>
            <w:tcMar>
              <w:left w:w="0" w:type="dxa"/>
              <w:right w:w="0" w:type="dxa"/>
            </w:tcMar>
            <w:vAlign w:val="bottom"/>
          </w:tcPr>
          <w:p w14:paraId="54A9AF9A"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r>
      <w:tr w:rsidR="00CF6D7C" w:rsidRPr="00CF6D7C" w14:paraId="7895C814" w14:textId="77777777" w:rsidTr="00327954">
        <w:trPr>
          <w:trHeight w:val="376"/>
        </w:trPr>
        <w:tc>
          <w:tcPr>
            <w:tcW w:w="3155" w:type="dxa"/>
            <w:shd w:val="clear" w:color="auto" w:fill="auto"/>
            <w:tcMar>
              <w:left w:w="0" w:type="dxa"/>
              <w:right w:w="0" w:type="dxa"/>
            </w:tcMar>
            <w:vAlign w:val="bottom"/>
          </w:tcPr>
          <w:p w14:paraId="2549E6EF" w14:textId="64DAD6C6"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As adjusted operating income (non-GAAP)</w:t>
            </w:r>
          </w:p>
        </w:tc>
        <w:tc>
          <w:tcPr>
            <w:tcW w:w="720" w:type="dxa"/>
            <w:shd w:val="clear" w:color="auto" w:fill="auto"/>
            <w:tcMar>
              <w:left w:w="0" w:type="dxa"/>
              <w:right w:w="0" w:type="dxa"/>
            </w:tcMar>
            <w:vAlign w:val="bottom"/>
          </w:tcPr>
          <w:p w14:paraId="1F2D275B" w14:textId="2A24CD36" w:rsidR="00CF6D7C" w:rsidRPr="00CF6D7C" w:rsidRDefault="00CF6D7C" w:rsidP="00B82DC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r w:rsidR="00B82DC4">
              <w:rPr>
                <w:rFonts w:ascii="Segoe UI" w:hAnsi="Segoe UI" w:cs="Segoe UI"/>
                <w:bCs/>
                <w:color w:val="666666"/>
                <w:sz w:val="18"/>
                <w:szCs w:val="18"/>
              </w:rPr>
              <w:t>0</w:t>
            </w:r>
            <w:r w:rsidRPr="00CF6D7C">
              <w:rPr>
                <w:rFonts w:ascii="Segoe UI" w:hAnsi="Segoe UI" w:cs="Segoe UI"/>
                <w:bCs/>
                <w:color w:val="666666"/>
                <w:sz w:val="18"/>
                <w:szCs w:val="18"/>
              </w:rPr>
              <w:t>99</w:t>
            </w:r>
          </w:p>
        </w:tc>
        <w:tc>
          <w:tcPr>
            <w:tcW w:w="810" w:type="dxa"/>
            <w:shd w:val="clear" w:color="auto" w:fill="auto"/>
            <w:tcMar>
              <w:left w:w="0" w:type="dxa"/>
              <w:right w:w="0" w:type="dxa"/>
            </w:tcMar>
            <w:vAlign w:val="bottom"/>
          </w:tcPr>
          <w:p w14:paraId="224BA14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$2,962</w:t>
            </w:r>
          </w:p>
        </w:tc>
        <w:tc>
          <w:tcPr>
            <w:tcW w:w="720" w:type="dxa"/>
            <w:shd w:val="clear" w:color="auto" w:fill="auto"/>
            <w:tcMar>
              <w:left w:w="0" w:type="dxa"/>
              <w:right w:w="0" w:type="dxa"/>
            </w:tcMar>
            <w:vAlign w:val="bottom"/>
          </w:tcPr>
          <w:p w14:paraId="4A77FF9B" w14:textId="5862966F" w:rsidR="00CF6D7C" w:rsidRPr="00CF6D7C" w:rsidRDefault="00CF6D7C" w:rsidP="007C79C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w:t>
            </w:r>
            <w:r w:rsidR="007C79C4">
              <w:rPr>
                <w:rFonts w:ascii="Segoe UI" w:hAnsi="Segoe UI" w:cs="Segoe UI"/>
                <w:bCs/>
                <w:color w:val="666666"/>
                <w:sz w:val="18"/>
                <w:szCs w:val="18"/>
              </w:rPr>
              <w:t>6</w:t>
            </w:r>
            <w:r w:rsidR="00B82DC4">
              <w:rPr>
                <w:rFonts w:ascii="Segoe UI" w:hAnsi="Segoe UI" w:cs="Segoe UI"/>
                <w:bCs/>
                <w:color w:val="666666"/>
                <w:sz w:val="18"/>
                <w:szCs w:val="18"/>
              </w:rPr>
              <w:t>3</w:t>
            </w:r>
            <w:r w:rsidRPr="00CF6D7C">
              <w:rPr>
                <w:rFonts w:ascii="Segoe UI" w:hAnsi="Segoe UI" w:cs="Segoe UI"/>
                <w:bCs/>
                <w:color w:val="666666"/>
                <w:sz w:val="18"/>
                <w:szCs w:val="18"/>
              </w:rPr>
              <w:t>)%</w:t>
            </w:r>
          </w:p>
        </w:tc>
      </w:tr>
    </w:tbl>
    <w:p w14:paraId="71B53FC6" w14:textId="77777777" w:rsidR="001F2E3F" w:rsidRDefault="001F2E3F" w:rsidP="001F2E3F">
      <w:pPr>
        <w:pStyle w:val="NormalWeb"/>
        <w:keepNext/>
        <w:spacing w:before="270" w:beforeAutospacing="0" w:after="270" w:afterAutospacing="0"/>
        <w:jc w:val="left"/>
        <w:rPr>
          <w:rFonts w:ascii="Segoe UI" w:hAnsi="Segoe UI" w:cs="Segoe UI"/>
          <w:b/>
          <w:color w:val="666666"/>
          <w:sz w:val="20"/>
          <w:szCs w:val="20"/>
        </w:rPr>
      </w:pPr>
      <w:r>
        <w:rPr>
          <w:rFonts w:ascii="Segoe UI" w:hAnsi="Segoe UI" w:cs="Segoe UI"/>
          <w:b/>
          <w:color w:val="666666"/>
          <w:sz w:val="20"/>
          <w:szCs w:val="20"/>
        </w:rPr>
        <w:t>Microsoft Business Division</w:t>
      </w:r>
    </w:p>
    <w:tbl>
      <w:tblPr>
        <w:tblW w:w="5405" w:type="dxa"/>
        <w:tblLayout w:type="fixed"/>
        <w:tblCellMar>
          <w:left w:w="0" w:type="dxa"/>
          <w:right w:w="0" w:type="dxa"/>
        </w:tblCellMar>
        <w:tblLook w:val="04A0" w:firstRow="1" w:lastRow="0" w:firstColumn="1" w:lastColumn="0" w:noHBand="0" w:noVBand="1"/>
      </w:tblPr>
      <w:tblGrid>
        <w:gridCol w:w="3155"/>
        <w:gridCol w:w="720"/>
        <w:gridCol w:w="810"/>
        <w:gridCol w:w="720"/>
      </w:tblGrid>
      <w:tr w:rsidR="00CF6D7C" w:rsidRPr="00CF6D7C" w14:paraId="56B2339F" w14:textId="77777777" w:rsidTr="00327954">
        <w:trPr>
          <w:trHeight w:val="302"/>
        </w:trPr>
        <w:tc>
          <w:tcPr>
            <w:tcW w:w="3155" w:type="dxa"/>
            <w:shd w:val="clear" w:color="auto" w:fill="auto"/>
            <w:tcMar>
              <w:left w:w="0" w:type="dxa"/>
              <w:right w:w="0" w:type="dxa"/>
            </w:tcMar>
          </w:tcPr>
          <w:p w14:paraId="21E90495" w14:textId="77777777" w:rsidR="00CF6D7C" w:rsidRPr="00CF6D7C" w:rsidRDefault="00CF6D7C" w:rsidP="00327954">
            <w:pPr>
              <w:spacing w:after="0" w:line="240" w:lineRule="auto"/>
              <w:rPr>
                <w:rFonts w:ascii="Segoe UI" w:hAnsi="Segoe UI" w:cs="Segoe UI"/>
                <w:b/>
                <w:color w:val="666666"/>
                <w:sz w:val="18"/>
                <w:szCs w:val="18"/>
              </w:rPr>
            </w:pPr>
          </w:p>
        </w:tc>
        <w:tc>
          <w:tcPr>
            <w:tcW w:w="2250" w:type="dxa"/>
            <w:gridSpan w:val="3"/>
            <w:shd w:val="clear" w:color="auto" w:fill="auto"/>
            <w:tcMar>
              <w:left w:w="0" w:type="dxa"/>
              <w:right w:w="0" w:type="dxa"/>
            </w:tcMar>
            <w:vAlign w:val="bottom"/>
          </w:tcPr>
          <w:p w14:paraId="03617DA2"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4E1D577D"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r>
      <w:tr w:rsidR="00CF6D7C" w:rsidRPr="00CF6D7C" w14:paraId="413B630B" w14:textId="77777777" w:rsidTr="00327954">
        <w:trPr>
          <w:trHeight w:val="647"/>
        </w:trPr>
        <w:tc>
          <w:tcPr>
            <w:tcW w:w="3155" w:type="dxa"/>
            <w:shd w:val="clear" w:color="auto" w:fill="auto"/>
            <w:tcMar>
              <w:left w:w="0" w:type="dxa"/>
              <w:right w:w="0" w:type="dxa"/>
            </w:tcMar>
            <w:vAlign w:val="bottom"/>
          </w:tcPr>
          <w:p w14:paraId="0D73331B"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percentages)</w:t>
            </w:r>
          </w:p>
        </w:tc>
        <w:tc>
          <w:tcPr>
            <w:tcW w:w="720" w:type="dxa"/>
            <w:shd w:val="clear" w:color="auto" w:fill="auto"/>
            <w:tcMar>
              <w:left w:w="0" w:type="dxa"/>
              <w:right w:w="0" w:type="dxa"/>
            </w:tcMar>
            <w:vAlign w:val="bottom"/>
          </w:tcPr>
          <w:p w14:paraId="177C4C35"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2013</w:t>
            </w:r>
          </w:p>
        </w:tc>
        <w:tc>
          <w:tcPr>
            <w:tcW w:w="810" w:type="dxa"/>
            <w:shd w:val="clear" w:color="auto" w:fill="auto"/>
            <w:tcMar>
              <w:left w:w="0" w:type="dxa"/>
              <w:right w:w="0" w:type="dxa"/>
            </w:tcMar>
            <w:vAlign w:val="bottom"/>
          </w:tcPr>
          <w:p w14:paraId="168445FA"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2012</w:t>
            </w:r>
          </w:p>
        </w:tc>
        <w:tc>
          <w:tcPr>
            <w:tcW w:w="720" w:type="dxa"/>
            <w:shd w:val="clear" w:color="auto" w:fill="auto"/>
            <w:tcMar>
              <w:left w:w="0" w:type="dxa"/>
              <w:right w:w="0" w:type="dxa"/>
            </w:tcMar>
            <w:vAlign w:val="bottom"/>
          </w:tcPr>
          <w:p w14:paraId="6B7D4E8D"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 Y/Y</w:t>
            </w:r>
          </w:p>
        </w:tc>
      </w:tr>
      <w:tr w:rsidR="00CF6D7C" w:rsidRPr="00CF6D7C" w14:paraId="602D51BB" w14:textId="77777777" w:rsidTr="00327954">
        <w:trPr>
          <w:trHeight w:val="418"/>
        </w:trPr>
        <w:tc>
          <w:tcPr>
            <w:tcW w:w="3155" w:type="dxa"/>
            <w:shd w:val="clear" w:color="auto" w:fill="auto"/>
            <w:tcMar>
              <w:left w:w="0" w:type="dxa"/>
              <w:right w:w="0" w:type="dxa"/>
            </w:tcMar>
            <w:vAlign w:val="bottom"/>
          </w:tcPr>
          <w:p w14:paraId="1E538586"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As reported revenue (GAAP)</w:t>
            </w:r>
          </w:p>
        </w:tc>
        <w:tc>
          <w:tcPr>
            <w:tcW w:w="720" w:type="dxa"/>
            <w:shd w:val="clear" w:color="auto" w:fill="auto"/>
            <w:tcMar>
              <w:left w:w="0" w:type="dxa"/>
              <w:right w:w="0" w:type="dxa"/>
            </w:tcMar>
            <w:vAlign w:val="bottom"/>
          </w:tcPr>
          <w:p w14:paraId="05362812"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$7,213</w:t>
            </w:r>
          </w:p>
        </w:tc>
        <w:tc>
          <w:tcPr>
            <w:tcW w:w="810" w:type="dxa"/>
            <w:shd w:val="clear" w:color="auto" w:fill="auto"/>
            <w:tcMar>
              <w:left w:w="0" w:type="dxa"/>
              <w:right w:w="0" w:type="dxa"/>
            </w:tcMar>
            <w:vAlign w:val="bottom"/>
          </w:tcPr>
          <w:p w14:paraId="09ABEB79"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$6,324</w:t>
            </w:r>
          </w:p>
        </w:tc>
        <w:tc>
          <w:tcPr>
            <w:tcW w:w="720" w:type="dxa"/>
            <w:shd w:val="clear" w:color="auto" w:fill="auto"/>
            <w:tcMar>
              <w:left w:w="0" w:type="dxa"/>
              <w:right w:w="0" w:type="dxa"/>
            </w:tcMar>
            <w:vAlign w:val="bottom"/>
          </w:tcPr>
          <w:p w14:paraId="23752586"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14%</w:t>
            </w:r>
          </w:p>
        </w:tc>
      </w:tr>
      <w:tr w:rsidR="00CF6D7C" w:rsidRPr="00CF6D7C" w14:paraId="6168F859" w14:textId="77777777" w:rsidTr="00327954">
        <w:trPr>
          <w:trHeight w:val="302"/>
        </w:trPr>
        <w:tc>
          <w:tcPr>
            <w:tcW w:w="3155" w:type="dxa"/>
            <w:shd w:val="clear" w:color="auto" w:fill="auto"/>
            <w:tcMar>
              <w:left w:w="288" w:type="dxa"/>
              <w:right w:w="0" w:type="dxa"/>
            </w:tcMar>
            <w:vAlign w:val="bottom"/>
          </w:tcPr>
          <w:p w14:paraId="45A55AC9"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Office Upgrade Offer</w:t>
            </w:r>
          </w:p>
        </w:tc>
        <w:tc>
          <w:tcPr>
            <w:tcW w:w="720" w:type="dxa"/>
            <w:shd w:val="clear" w:color="auto" w:fill="auto"/>
            <w:tcMar>
              <w:left w:w="0" w:type="dxa"/>
              <w:right w:w="0" w:type="dxa"/>
            </w:tcMar>
            <w:vAlign w:val="bottom"/>
          </w:tcPr>
          <w:p w14:paraId="7398A16A"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($782)</w:t>
            </w:r>
          </w:p>
        </w:tc>
        <w:tc>
          <w:tcPr>
            <w:tcW w:w="810" w:type="dxa"/>
            <w:shd w:val="clear" w:color="auto" w:fill="auto"/>
            <w:tcMar>
              <w:left w:w="0" w:type="dxa"/>
              <w:right w:w="0" w:type="dxa"/>
            </w:tcMar>
            <w:vAlign w:val="bottom"/>
          </w:tcPr>
          <w:p w14:paraId="41755BE4"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c>
          <w:tcPr>
            <w:tcW w:w="720" w:type="dxa"/>
            <w:shd w:val="clear" w:color="auto" w:fill="auto"/>
            <w:tcMar>
              <w:left w:w="0" w:type="dxa"/>
              <w:right w:w="0" w:type="dxa"/>
            </w:tcMar>
            <w:vAlign w:val="bottom"/>
          </w:tcPr>
          <w:p w14:paraId="4E530162"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r>
      <w:tr w:rsidR="00CF6D7C" w:rsidRPr="00CF6D7C" w14:paraId="7DFABE41" w14:textId="77777777" w:rsidTr="00327954">
        <w:trPr>
          <w:trHeight w:val="376"/>
        </w:trPr>
        <w:tc>
          <w:tcPr>
            <w:tcW w:w="3155" w:type="dxa"/>
            <w:shd w:val="clear" w:color="auto" w:fill="auto"/>
            <w:tcMar>
              <w:left w:w="0" w:type="dxa"/>
              <w:right w:w="0" w:type="dxa"/>
            </w:tcMar>
            <w:vAlign w:val="bottom"/>
          </w:tcPr>
          <w:p w14:paraId="130C4FD1" w14:textId="155B80D4"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As adjusted revenue (non-GAAP)</w:t>
            </w:r>
          </w:p>
        </w:tc>
        <w:tc>
          <w:tcPr>
            <w:tcW w:w="720" w:type="dxa"/>
            <w:shd w:val="clear" w:color="auto" w:fill="auto"/>
            <w:tcMar>
              <w:left w:w="0" w:type="dxa"/>
              <w:right w:w="0" w:type="dxa"/>
            </w:tcMar>
            <w:vAlign w:val="bottom"/>
          </w:tcPr>
          <w:p w14:paraId="5A5EC477"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$6,431</w:t>
            </w:r>
          </w:p>
        </w:tc>
        <w:tc>
          <w:tcPr>
            <w:tcW w:w="810" w:type="dxa"/>
            <w:shd w:val="clear" w:color="auto" w:fill="auto"/>
            <w:tcMar>
              <w:left w:w="0" w:type="dxa"/>
              <w:right w:w="0" w:type="dxa"/>
            </w:tcMar>
            <w:vAlign w:val="bottom"/>
          </w:tcPr>
          <w:p w14:paraId="00A3E446"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$6,324</w:t>
            </w:r>
          </w:p>
        </w:tc>
        <w:tc>
          <w:tcPr>
            <w:tcW w:w="720" w:type="dxa"/>
            <w:shd w:val="clear" w:color="auto" w:fill="auto"/>
            <w:tcMar>
              <w:left w:w="0" w:type="dxa"/>
              <w:right w:w="0" w:type="dxa"/>
            </w:tcMar>
            <w:vAlign w:val="bottom"/>
          </w:tcPr>
          <w:p w14:paraId="2A78F925"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2%</w:t>
            </w:r>
          </w:p>
        </w:tc>
      </w:tr>
    </w:tbl>
    <w:p w14:paraId="1DD086F9" w14:textId="77777777" w:rsidR="001F2E3F" w:rsidRDefault="001F2E3F" w:rsidP="001F2E3F">
      <w:pPr>
        <w:pStyle w:val="NormalWeb"/>
        <w:keepNext/>
        <w:spacing w:before="270" w:beforeAutospacing="0" w:after="270" w:afterAutospacing="0"/>
        <w:jc w:val="left"/>
        <w:rPr>
          <w:rFonts w:ascii="Segoe UI" w:hAnsi="Segoe UI" w:cs="Segoe UI"/>
          <w:b/>
          <w:color w:val="666666"/>
          <w:sz w:val="20"/>
          <w:szCs w:val="20"/>
        </w:rPr>
      </w:pPr>
      <w:r>
        <w:rPr>
          <w:rFonts w:ascii="Segoe UI" w:hAnsi="Segoe UI" w:cs="Segoe UI"/>
          <w:b/>
          <w:color w:val="666666"/>
          <w:sz w:val="20"/>
          <w:szCs w:val="20"/>
        </w:rPr>
        <w:t>Microsoft Business Division Consumer Revenue</w:t>
      </w:r>
    </w:p>
    <w:tbl>
      <w:tblPr>
        <w:tblW w:w="5405" w:type="dxa"/>
        <w:tblLayout w:type="fixed"/>
        <w:tblCellMar>
          <w:left w:w="0" w:type="dxa"/>
          <w:right w:w="0" w:type="dxa"/>
        </w:tblCellMar>
        <w:tblLook w:val="04A0" w:firstRow="1" w:lastRow="0" w:firstColumn="1" w:lastColumn="0" w:noHBand="0" w:noVBand="1"/>
      </w:tblPr>
      <w:tblGrid>
        <w:gridCol w:w="3155"/>
        <w:gridCol w:w="720"/>
        <w:gridCol w:w="810"/>
        <w:gridCol w:w="720"/>
      </w:tblGrid>
      <w:tr w:rsidR="00CF6D7C" w:rsidRPr="00CF6D7C" w14:paraId="06F0F7B6" w14:textId="77777777" w:rsidTr="00327954">
        <w:trPr>
          <w:trHeight w:val="302"/>
        </w:trPr>
        <w:tc>
          <w:tcPr>
            <w:tcW w:w="3155" w:type="dxa"/>
            <w:shd w:val="clear" w:color="auto" w:fill="auto"/>
            <w:tcMar>
              <w:left w:w="0" w:type="dxa"/>
              <w:right w:w="0" w:type="dxa"/>
            </w:tcMar>
          </w:tcPr>
          <w:p w14:paraId="6386AAC9" w14:textId="77777777" w:rsidR="00CF6D7C" w:rsidRPr="00CF6D7C" w:rsidRDefault="00CF6D7C" w:rsidP="00327954">
            <w:pPr>
              <w:spacing w:after="0" w:line="240" w:lineRule="auto"/>
              <w:rPr>
                <w:rFonts w:ascii="Segoe UI" w:hAnsi="Segoe UI" w:cs="Segoe UI"/>
                <w:b/>
                <w:color w:val="666666"/>
                <w:sz w:val="18"/>
                <w:szCs w:val="18"/>
              </w:rPr>
            </w:pPr>
          </w:p>
        </w:tc>
        <w:tc>
          <w:tcPr>
            <w:tcW w:w="2250" w:type="dxa"/>
            <w:gridSpan w:val="3"/>
            <w:shd w:val="clear" w:color="auto" w:fill="auto"/>
            <w:tcMar>
              <w:left w:w="0" w:type="dxa"/>
              <w:right w:w="0" w:type="dxa"/>
            </w:tcMar>
            <w:vAlign w:val="bottom"/>
          </w:tcPr>
          <w:p w14:paraId="4052C87F"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42E2840E"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r>
      <w:tr w:rsidR="00CF6D7C" w:rsidRPr="00CF6D7C" w14:paraId="2F885576" w14:textId="77777777" w:rsidTr="00327954">
        <w:trPr>
          <w:trHeight w:val="647"/>
        </w:trPr>
        <w:tc>
          <w:tcPr>
            <w:tcW w:w="3155" w:type="dxa"/>
            <w:shd w:val="clear" w:color="auto" w:fill="auto"/>
            <w:tcMar>
              <w:left w:w="0" w:type="dxa"/>
              <w:right w:w="0" w:type="dxa"/>
            </w:tcMar>
            <w:vAlign w:val="bottom"/>
          </w:tcPr>
          <w:p w14:paraId="655BC6CC"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percentages)</w:t>
            </w:r>
          </w:p>
        </w:tc>
        <w:tc>
          <w:tcPr>
            <w:tcW w:w="720" w:type="dxa"/>
            <w:shd w:val="clear" w:color="auto" w:fill="auto"/>
            <w:tcMar>
              <w:left w:w="0" w:type="dxa"/>
              <w:right w:w="0" w:type="dxa"/>
            </w:tcMar>
            <w:vAlign w:val="bottom"/>
          </w:tcPr>
          <w:p w14:paraId="0CE67D78"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2013</w:t>
            </w:r>
          </w:p>
        </w:tc>
        <w:tc>
          <w:tcPr>
            <w:tcW w:w="810" w:type="dxa"/>
            <w:shd w:val="clear" w:color="auto" w:fill="auto"/>
            <w:tcMar>
              <w:left w:w="0" w:type="dxa"/>
              <w:right w:w="0" w:type="dxa"/>
            </w:tcMar>
            <w:vAlign w:val="bottom"/>
          </w:tcPr>
          <w:p w14:paraId="016813A7"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2012</w:t>
            </w:r>
          </w:p>
        </w:tc>
        <w:tc>
          <w:tcPr>
            <w:tcW w:w="720" w:type="dxa"/>
            <w:shd w:val="clear" w:color="auto" w:fill="auto"/>
            <w:tcMar>
              <w:left w:w="0" w:type="dxa"/>
              <w:right w:w="0" w:type="dxa"/>
            </w:tcMar>
            <w:vAlign w:val="bottom"/>
          </w:tcPr>
          <w:p w14:paraId="10C6A3D8"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 Y/Y</w:t>
            </w:r>
          </w:p>
        </w:tc>
      </w:tr>
      <w:tr w:rsidR="00CF6D7C" w:rsidRPr="00CF6D7C" w14:paraId="2EBD6DA6" w14:textId="77777777" w:rsidTr="00327954">
        <w:trPr>
          <w:trHeight w:val="418"/>
        </w:trPr>
        <w:tc>
          <w:tcPr>
            <w:tcW w:w="3155" w:type="dxa"/>
            <w:shd w:val="clear" w:color="auto" w:fill="auto"/>
            <w:tcMar>
              <w:left w:w="0" w:type="dxa"/>
              <w:right w:w="0" w:type="dxa"/>
            </w:tcMar>
            <w:vAlign w:val="bottom"/>
          </w:tcPr>
          <w:p w14:paraId="1C43537E"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As reported revenue (GAAP)</w:t>
            </w:r>
          </w:p>
        </w:tc>
        <w:tc>
          <w:tcPr>
            <w:tcW w:w="720" w:type="dxa"/>
            <w:shd w:val="clear" w:color="auto" w:fill="auto"/>
            <w:tcMar>
              <w:left w:w="0" w:type="dxa"/>
              <w:right w:w="0" w:type="dxa"/>
            </w:tcMar>
            <w:vAlign w:val="bottom"/>
          </w:tcPr>
          <w:p w14:paraId="5DE6CCC5"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$1,504</w:t>
            </w:r>
          </w:p>
        </w:tc>
        <w:tc>
          <w:tcPr>
            <w:tcW w:w="810" w:type="dxa"/>
            <w:shd w:val="clear" w:color="auto" w:fill="auto"/>
            <w:tcMar>
              <w:left w:w="0" w:type="dxa"/>
              <w:right w:w="0" w:type="dxa"/>
            </w:tcMar>
            <w:vAlign w:val="bottom"/>
          </w:tcPr>
          <w:p w14:paraId="7A4A8867"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$995</w:t>
            </w:r>
          </w:p>
        </w:tc>
        <w:tc>
          <w:tcPr>
            <w:tcW w:w="720" w:type="dxa"/>
            <w:shd w:val="clear" w:color="auto" w:fill="auto"/>
            <w:tcMar>
              <w:left w:w="0" w:type="dxa"/>
              <w:right w:w="0" w:type="dxa"/>
            </w:tcMar>
            <w:vAlign w:val="bottom"/>
          </w:tcPr>
          <w:p w14:paraId="185FD00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51%</w:t>
            </w:r>
          </w:p>
        </w:tc>
      </w:tr>
      <w:tr w:rsidR="00CF6D7C" w:rsidRPr="00CF6D7C" w14:paraId="2797FCFD" w14:textId="77777777" w:rsidTr="00327954">
        <w:trPr>
          <w:trHeight w:val="302"/>
        </w:trPr>
        <w:tc>
          <w:tcPr>
            <w:tcW w:w="3155" w:type="dxa"/>
            <w:shd w:val="clear" w:color="auto" w:fill="auto"/>
            <w:tcMar>
              <w:left w:w="288" w:type="dxa"/>
              <w:right w:w="0" w:type="dxa"/>
            </w:tcMar>
            <w:vAlign w:val="bottom"/>
          </w:tcPr>
          <w:p w14:paraId="34243480"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Office Upgrade Offer</w:t>
            </w:r>
          </w:p>
        </w:tc>
        <w:tc>
          <w:tcPr>
            <w:tcW w:w="720" w:type="dxa"/>
            <w:shd w:val="clear" w:color="auto" w:fill="auto"/>
            <w:tcMar>
              <w:left w:w="0" w:type="dxa"/>
              <w:right w:w="0" w:type="dxa"/>
            </w:tcMar>
            <w:vAlign w:val="bottom"/>
          </w:tcPr>
          <w:p w14:paraId="6BFED901"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($782)</w:t>
            </w:r>
          </w:p>
        </w:tc>
        <w:tc>
          <w:tcPr>
            <w:tcW w:w="810" w:type="dxa"/>
            <w:shd w:val="clear" w:color="auto" w:fill="auto"/>
            <w:tcMar>
              <w:left w:w="0" w:type="dxa"/>
              <w:right w:w="0" w:type="dxa"/>
            </w:tcMar>
            <w:vAlign w:val="bottom"/>
          </w:tcPr>
          <w:p w14:paraId="2AD7F8A5"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c>
          <w:tcPr>
            <w:tcW w:w="720" w:type="dxa"/>
            <w:shd w:val="clear" w:color="auto" w:fill="auto"/>
            <w:tcMar>
              <w:left w:w="0" w:type="dxa"/>
              <w:right w:w="0" w:type="dxa"/>
            </w:tcMar>
            <w:vAlign w:val="bottom"/>
          </w:tcPr>
          <w:p w14:paraId="3A6AA064"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r>
      <w:tr w:rsidR="00CF6D7C" w:rsidRPr="00CF6D7C" w14:paraId="1666374D" w14:textId="77777777" w:rsidTr="00327954">
        <w:trPr>
          <w:trHeight w:val="376"/>
        </w:trPr>
        <w:tc>
          <w:tcPr>
            <w:tcW w:w="3155" w:type="dxa"/>
            <w:shd w:val="clear" w:color="auto" w:fill="auto"/>
            <w:tcMar>
              <w:left w:w="0" w:type="dxa"/>
              <w:right w:w="0" w:type="dxa"/>
            </w:tcMar>
            <w:vAlign w:val="bottom"/>
          </w:tcPr>
          <w:p w14:paraId="0CD13587" w14:textId="516B1D9A" w:rsidR="00CF6D7C" w:rsidRPr="00CF6D7C" w:rsidRDefault="007C79C4" w:rsidP="007C79C4">
            <w:pPr>
              <w:pBdr>
                <w:bottom w:val="single" w:sz="4" w:space="1" w:color="auto"/>
              </w:pBdr>
              <w:spacing w:after="0" w:line="240" w:lineRule="auto"/>
              <w:rPr>
                <w:rFonts w:ascii="Segoe UI" w:hAnsi="Segoe UI" w:cs="Segoe UI"/>
                <w:bCs/>
                <w:color w:val="666666"/>
                <w:sz w:val="18"/>
                <w:szCs w:val="18"/>
              </w:rPr>
            </w:pPr>
            <w:r>
              <w:rPr>
                <w:rFonts w:ascii="Segoe UI" w:hAnsi="Segoe UI" w:cs="Segoe UI"/>
                <w:bCs/>
                <w:color w:val="666666"/>
                <w:sz w:val="18"/>
                <w:szCs w:val="18"/>
              </w:rPr>
              <w:t>A</w:t>
            </w:r>
            <w:r w:rsidR="00CF6D7C" w:rsidRPr="00CF6D7C">
              <w:rPr>
                <w:rFonts w:ascii="Segoe UI" w:hAnsi="Segoe UI" w:cs="Segoe UI"/>
                <w:bCs/>
                <w:color w:val="666666"/>
                <w:sz w:val="18"/>
                <w:szCs w:val="18"/>
              </w:rPr>
              <w:t>s adjusted revenue (non-GAAP)</w:t>
            </w:r>
          </w:p>
        </w:tc>
        <w:tc>
          <w:tcPr>
            <w:tcW w:w="720" w:type="dxa"/>
            <w:shd w:val="clear" w:color="auto" w:fill="auto"/>
            <w:tcMar>
              <w:left w:w="0" w:type="dxa"/>
              <w:right w:w="0" w:type="dxa"/>
            </w:tcMar>
            <w:vAlign w:val="bottom"/>
          </w:tcPr>
          <w:p w14:paraId="50FF37A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$722</w:t>
            </w:r>
          </w:p>
        </w:tc>
        <w:tc>
          <w:tcPr>
            <w:tcW w:w="810" w:type="dxa"/>
            <w:shd w:val="clear" w:color="auto" w:fill="auto"/>
            <w:tcMar>
              <w:left w:w="0" w:type="dxa"/>
              <w:right w:w="0" w:type="dxa"/>
            </w:tcMar>
            <w:vAlign w:val="bottom"/>
          </w:tcPr>
          <w:p w14:paraId="6A0824E4"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$995</w:t>
            </w:r>
          </w:p>
        </w:tc>
        <w:tc>
          <w:tcPr>
            <w:tcW w:w="720" w:type="dxa"/>
            <w:shd w:val="clear" w:color="auto" w:fill="auto"/>
            <w:tcMar>
              <w:left w:w="0" w:type="dxa"/>
              <w:right w:w="0" w:type="dxa"/>
            </w:tcMar>
            <w:vAlign w:val="bottom"/>
          </w:tcPr>
          <w:p w14:paraId="557C2362" w14:textId="022F5FF5" w:rsidR="00CF6D7C" w:rsidRPr="00CF6D7C" w:rsidRDefault="00510F4E" w:rsidP="00327954">
            <w:pPr>
              <w:pBdr>
                <w:bottom w:val="single" w:sz="4" w:space="1" w:color="auto"/>
              </w:pBdr>
              <w:spacing w:after="0" w:line="240" w:lineRule="auto"/>
              <w:jc w:val="right"/>
              <w:rPr>
                <w:rFonts w:ascii="Segoe UI" w:hAnsi="Segoe UI" w:cs="Segoe UI"/>
                <w:b/>
                <w:color w:val="666666"/>
                <w:sz w:val="18"/>
                <w:szCs w:val="18"/>
              </w:rPr>
            </w:pPr>
            <w:r>
              <w:rPr>
                <w:rFonts w:ascii="Segoe UI" w:hAnsi="Segoe UI" w:cs="Segoe UI"/>
                <w:bCs/>
                <w:color w:val="666666"/>
                <w:sz w:val="18"/>
                <w:szCs w:val="18"/>
              </w:rPr>
              <w:t>(</w:t>
            </w:r>
            <w:r w:rsidR="00CF6D7C" w:rsidRPr="00CF6D7C">
              <w:rPr>
                <w:rFonts w:ascii="Segoe UI" w:hAnsi="Segoe UI" w:cs="Segoe UI"/>
                <w:bCs/>
                <w:color w:val="666666"/>
                <w:sz w:val="18"/>
                <w:szCs w:val="18"/>
              </w:rPr>
              <w:t>27</w:t>
            </w:r>
            <w:r>
              <w:rPr>
                <w:rFonts w:ascii="Segoe UI" w:hAnsi="Segoe UI" w:cs="Segoe UI"/>
                <w:bCs/>
                <w:color w:val="666666"/>
                <w:sz w:val="18"/>
                <w:szCs w:val="18"/>
              </w:rPr>
              <w:t>)</w:t>
            </w:r>
            <w:r w:rsidR="00CF6D7C" w:rsidRPr="00CF6D7C">
              <w:rPr>
                <w:rFonts w:ascii="Segoe UI" w:hAnsi="Segoe UI" w:cs="Segoe UI"/>
                <w:bCs/>
                <w:color w:val="666666"/>
                <w:sz w:val="18"/>
                <w:szCs w:val="18"/>
              </w:rPr>
              <w:t>%</w:t>
            </w:r>
          </w:p>
        </w:tc>
      </w:tr>
    </w:tbl>
    <w:p w14:paraId="4EC5B977" w14:textId="77777777" w:rsidR="001F2E3F" w:rsidRDefault="001F2E3F" w:rsidP="001F2E3F">
      <w:pPr>
        <w:pStyle w:val="NormalWeb"/>
        <w:keepNext/>
        <w:spacing w:before="270" w:beforeAutospacing="0" w:after="270" w:afterAutospacing="0"/>
        <w:jc w:val="left"/>
        <w:rPr>
          <w:rFonts w:ascii="Segoe UI" w:hAnsi="Segoe UI" w:cs="Segoe UI"/>
          <w:b/>
          <w:color w:val="666666"/>
          <w:sz w:val="20"/>
          <w:szCs w:val="20"/>
        </w:rPr>
      </w:pPr>
      <w:r>
        <w:rPr>
          <w:rFonts w:ascii="Segoe UI" w:hAnsi="Segoe UI" w:cs="Segoe UI"/>
          <w:b/>
          <w:color w:val="666666"/>
          <w:sz w:val="20"/>
          <w:szCs w:val="20"/>
        </w:rPr>
        <w:t>Microsoft Business Division Operating Income</w:t>
      </w:r>
    </w:p>
    <w:tbl>
      <w:tblPr>
        <w:tblW w:w="5405" w:type="dxa"/>
        <w:tblLayout w:type="fixed"/>
        <w:tblCellMar>
          <w:left w:w="0" w:type="dxa"/>
          <w:right w:w="0" w:type="dxa"/>
        </w:tblCellMar>
        <w:tblLook w:val="04A0" w:firstRow="1" w:lastRow="0" w:firstColumn="1" w:lastColumn="0" w:noHBand="0" w:noVBand="1"/>
      </w:tblPr>
      <w:tblGrid>
        <w:gridCol w:w="3155"/>
        <w:gridCol w:w="720"/>
        <w:gridCol w:w="810"/>
        <w:gridCol w:w="720"/>
      </w:tblGrid>
      <w:tr w:rsidR="00CF6D7C" w:rsidRPr="00CF6D7C" w14:paraId="180D5FAD" w14:textId="77777777" w:rsidTr="00327954">
        <w:trPr>
          <w:trHeight w:val="302"/>
        </w:trPr>
        <w:tc>
          <w:tcPr>
            <w:tcW w:w="3155" w:type="dxa"/>
            <w:shd w:val="clear" w:color="auto" w:fill="auto"/>
            <w:tcMar>
              <w:left w:w="0" w:type="dxa"/>
              <w:right w:w="0" w:type="dxa"/>
            </w:tcMar>
          </w:tcPr>
          <w:p w14:paraId="74D8BF41" w14:textId="77777777" w:rsidR="00CF6D7C" w:rsidRPr="00CF6D7C" w:rsidRDefault="00CF6D7C" w:rsidP="00327954">
            <w:pPr>
              <w:spacing w:after="0" w:line="240" w:lineRule="auto"/>
              <w:rPr>
                <w:rFonts w:ascii="Segoe UI" w:hAnsi="Segoe UI" w:cs="Segoe UI"/>
                <w:b/>
                <w:color w:val="666666"/>
                <w:sz w:val="18"/>
                <w:szCs w:val="18"/>
              </w:rPr>
            </w:pPr>
          </w:p>
        </w:tc>
        <w:tc>
          <w:tcPr>
            <w:tcW w:w="2250" w:type="dxa"/>
            <w:gridSpan w:val="3"/>
            <w:shd w:val="clear" w:color="auto" w:fill="auto"/>
            <w:tcMar>
              <w:left w:w="0" w:type="dxa"/>
              <w:right w:w="0" w:type="dxa"/>
            </w:tcMar>
            <w:vAlign w:val="bottom"/>
          </w:tcPr>
          <w:p w14:paraId="3A2E06E4"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rPr>
            </w:pPr>
            <w:r w:rsidRPr="00CF6D7C">
              <w:rPr>
                <w:rFonts w:ascii="Segoe UI" w:hAnsi="Segoe UI" w:cs="Segoe UI"/>
                <w:b/>
                <w:color w:val="666666"/>
                <w:sz w:val="18"/>
                <w:szCs w:val="18"/>
              </w:rPr>
              <w:t>Three Months Ended</w:t>
            </w:r>
          </w:p>
          <w:p w14:paraId="12CB306C" w14:textId="77777777" w:rsidR="00CF6D7C" w:rsidRPr="00CF6D7C" w:rsidRDefault="00CF6D7C" w:rsidP="00327954">
            <w:pPr>
              <w:pBdr>
                <w:bottom w:val="single" w:sz="4" w:space="1" w:color="auto"/>
              </w:pBdr>
              <w:spacing w:after="0" w:line="240" w:lineRule="auto"/>
              <w:jc w:val="center"/>
              <w:rPr>
                <w:rFonts w:ascii="Segoe UI" w:hAnsi="Segoe UI" w:cs="Segoe UI"/>
                <w:b/>
                <w:color w:val="666666"/>
                <w:sz w:val="18"/>
                <w:szCs w:val="18"/>
                <w:u w:val="single"/>
              </w:rPr>
            </w:pPr>
            <w:r w:rsidRPr="00CF6D7C">
              <w:rPr>
                <w:rFonts w:ascii="Segoe UI" w:hAnsi="Segoe UI" w:cs="Segoe UI"/>
                <w:b/>
                <w:color w:val="666666"/>
                <w:sz w:val="18"/>
                <w:szCs w:val="18"/>
              </w:rPr>
              <w:t>June 30,</w:t>
            </w:r>
          </w:p>
        </w:tc>
      </w:tr>
      <w:tr w:rsidR="00CF6D7C" w:rsidRPr="00CF6D7C" w14:paraId="453E6650" w14:textId="77777777" w:rsidTr="00327954">
        <w:trPr>
          <w:trHeight w:val="647"/>
        </w:trPr>
        <w:tc>
          <w:tcPr>
            <w:tcW w:w="3155" w:type="dxa"/>
            <w:shd w:val="clear" w:color="auto" w:fill="auto"/>
            <w:tcMar>
              <w:left w:w="0" w:type="dxa"/>
              <w:right w:w="0" w:type="dxa"/>
            </w:tcMar>
            <w:vAlign w:val="bottom"/>
          </w:tcPr>
          <w:p w14:paraId="541C2B6A" w14:textId="77777777" w:rsidR="00CF6D7C" w:rsidRPr="00CF6D7C" w:rsidRDefault="00CF6D7C" w:rsidP="00327954">
            <w:pPr>
              <w:pBdr>
                <w:bottom w:val="single" w:sz="4" w:space="1" w:color="auto"/>
              </w:pBdr>
              <w:spacing w:after="0" w:line="240" w:lineRule="auto"/>
              <w:rPr>
                <w:rFonts w:ascii="Segoe UI" w:hAnsi="Segoe UI" w:cs="Segoe UI"/>
                <w:b/>
                <w:color w:val="666666"/>
                <w:sz w:val="18"/>
                <w:szCs w:val="18"/>
              </w:rPr>
            </w:pPr>
            <w:r w:rsidRPr="00CF6D7C">
              <w:rPr>
                <w:rFonts w:ascii="Segoe UI" w:hAnsi="Segoe UI" w:cs="Segoe UI"/>
                <w:color w:val="666666"/>
                <w:sz w:val="18"/>
                <w:szCs w:val="18"/>
              </w:rPr>
              <w:t>(In millions, except percentages)</w:t>
            </w:r>
          </w:p>
        </w:tc>
        <w:tc>
          <w:tcPr>
            <w:tcW w:w="720" w:type="dxa"/>
            <w:shd w:val="clear" w:color="auto" w:fill="auto"/>
            <w:tcMar>
              <w:left w:w="0" w:type="dxa"/>
              <w:right w:w="0" w:type="dxa"/>
            </w:tcMar>
            <w:vAlign w:val="bottom"/>
          </w:tcPr>
          <w:p w14:paraId="57BA6ADB" w14:textId="77777777" w:rsidR="00CF6D7C" w:rsidRPr="00CF6D7C" w:rsidRDefault="00CF6D7C" w:rsidP="00327954">
            <w:pPr>
              <w:pBdr>
                <w:bottom w:val="single" w:sz="4" w:space="1" w:color="auto"/>
              </w:pBdr>
              <w:spacing w:after="0" w:line="240" w:lineRule="auto"/>
              <w:jc w:val="right"/>
              <w:rPr>
                <w:rFonts w:ascii="Segoe UI" w:hAnsi="Segoe UI" w:cs="Segoe UI"/>
                <w:sz w:val="18"/>
                <w:szCs w:val="18"/>
              </w:rPr>
            </w:pPr>
            <w:r w:rsidRPr="00CF6D7C">
              <w:rPr>
                <w:rFonts w:ascii="Segoe UI" w:hAnsi="Segoe UI" w:cs="Segoe UI"/>
                <w:color w:val="666666"/>
                <w:sz w:val="18"/>
                <w:szCs w:val="18"/>
              </w:rPr>
              <w:t>2013</w:t>
            </w:r>
          </w:p>
        </w:tc>
        <w:tc>
          <w:tcPr>
            <w:tcW w:w="810" w:type="dxa"/>
            <w:shd w:val="clear" w:color="auto" w:fill="auto"/>
            <w:tcMar>
              <w:left w:w="0" w:type="dxa"/>
              <w:right w:w="0" w:type="dxa"/>
            </w:tcMar>
            <w:vAlign w:val="bottom"/>
          </w:tcPr>
          <w:p w14:paraId="25A23C3C"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2012</w:t>
            </w:r>
          </w:p>
        </w:tc>
        <w:tc>
          <w:tcPr>
            <w:tcW w:w="720" w:type="dxa"/>
            <w:shd w:val="clear" w:color="auto" w:fill="auto"/>
            <w:tcMar>
              <w:left w:w="0" w:type="dxa"/>
              <w:right w:w="0" w:type="dxa"/>
            </w:tcMar>
            <w:vAlign w:val="bottom"/>
          </w:tcPr>
          <w:p w14:paraId="5BED9A1E"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color w:val="666666"/>
                <w:sz w:val="18"/>
                <w:szCs w:val="18"/>
              </w:rPr>
              <w:t>% Y/Y</w:t>
            </w:r>
          </w:p>
        </w:tc>
      </w:tr>
      <w:tr w:rsidR="00CF6D7C" w:rsidRPr="00CF6D7C" w14:paraId="13601F8D" w14:textId="77777777" w:rsidTr="00327954">
        <w:trPr>
          <w:trHeight w:val="418"/>
        </w:trPr>
        <w:tc>
          <w:tcPr>
            <w:tcW w:w="3155" w:type="dxa"/>
            <w:shd w:val="clear" w:color="auto" w:fill="auto"/>
            <w:tcMar>
              <w:left w:w="0" w:type="dxa"/>
              <w:right w:w="0" w:type="dxa"/>
            </w:tcMar>
            <w:vAlign w:val="bottom"/>
          </w:tcPr>
          <w:p w14:paraId="05E7D6BE" w14:textId="77777777" w:rsidR="00CF6D7C" w:rsidRPr="00CF6D7C" w:rsidRDefault="00CF6D7C" w:rsidP="00327954">
            <w:pPr>
              <w:pBdr>
                <w:bottom w:val="single" w:sz="4" w:space="1" w:color="auto"/>
              </w:pBdr>
              <w:spacing w:after="0" w:line="240" w:lineRule="auto"/>
              <w:rPr>
                <w:rFonts w:ascii="Segoe UI" w:hAnsi="Segoe UI" w:cs="Segoe UI"/>
                <w:color w:val="666666"/>
                <w:sz w:val="18"/>
                <w:szCs w:val="18"/>
              </w:rPr>
            </w:pPr>
            <w:r w:rsidRPr="00CF6D7C">
              <w:rPr>
                <w:rFonts w:ascii="Segoe UI" w:hAnsi="Segoe UI" w:cs="Segoe UI"/>
                <w:color w:val="666666"/>
                <w:sz w:val="18"/>
                <w:szCs w:val="18"/>
              </w:rPr>
              <w:t>As reported operating income (GAAP)</w:t>
            </w:r>
          </w:p>
        </w:tc>
        <w:tc>
          <w:tcPr>
            <w:tcW w:w="720" w:type="dxa"/>
            <w:shd w:val="clear" w:color="auto" w:fill="auto"/>
            <w:tcMar>
              <w:left w:w="0" w:type="dxa"/>
              <w:right w:w="0" w:type="dxa"/>
            </w:tcMar>
            <w:vAlign w:val="bottom"/>
          </w:tcPr>
          <w:p w14:paraId="2A25FC09"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$4,873</w:t>
            </w:r>
          </w:p>
        </w:tc>
        <w:tc>
          <w:tcPr>
            <w:tcW w:w="810" w:type="dxa"/>
            <w:shd w:val="clear" w:color="auto" w:fill="auto"/>
            <w:tcMar>
              <w:left w:w="0" w:type="dxa"/>
              <w:right w:w="0" w:type="dxa"/>
            </w:tcMar>
            <w:vAlign w:val="bottom"/>
          </w:tcPr>
          <w:p w14:paraId="0E42A3EA"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$4,128</w:t>
            </w:r>
          </w:p>
        </w:tc>
        <w:tc>
          <w:tcPr>
            <w:tcW w:w="720" w:type="dxa"/>
            <w:shd w:val="clear" w:color="auto" w:fill="auto"/>
            <w:tcMar>
              <w:left w:w="0" w:type="dxa"/>
              <w:right w:w="0" w:type="dxa"/>
            </w:tcMar>
            <w:vAlign w:val="bottom"/>
          </w:tcPr>
          <w:p w14:paraId="2D96F5CA"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18%</w:t>
            </w:r>
          </w:p>
        </w:tc>
      </w:tr>
      <w:tr w:rsidR="00CF6D7C" w:rsidRPr="00CF6D7C" w14:paraId="39294BC4" w14:textId="77777777" w:rsidTr="00327954">
        <w:trPr>
          <w:trHeight w:val="302"/>
        </w:trPr>
        <w:tc>
          <w:tcPr>
            <w:tcW w:w="3155" w:type="dxa"/>
            <w:shd w:val="clear" w:color="auto" w:fill="auto"/>
            <w:tcMar>
              <w:left w:w="288" w:type="dxa"/>
              <w:right w:w="0" w:type="dxa"/>
            </w:tcMar>
            <w:vAlign w:val="bottom"/>
          </w:tcPr>
          <w:p w14:paraId="69A71D8A" w14:textId="77777777"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Office Upgrade Offer</w:t>
            </w:r>
          </w:p>
        </w:tc>
        <w:tc>
          <w:tcPr>
            <w:tcW w:w="720" w:type="dxa"/>
            <w:shd w:val="clear" w:color="auto" w:fill="auto"/>
            <w:tcMar>
              <w:left w:w="0" w:type="dxa"/>
              <w:right w:w="0" w:type="dxa"/>
            </w:tcMar>
            <w:vAlign w:val="bottom"/>
          </w:tcPr>
          <w:p w14:paraId="4B25359D" w14:textId="77777777" w:rsidR="00CF6D7C" w:rsidRPr="00CF6D7C" w:rsidRDefault="00CF6D7C" w:rsidP="00327954">
            <w:pPr>
              <w:pBdr>
                <w:bottom w:val="single" w:sz="4" w:space="1" w:color="auto"/>
              </w:pBdr>
              <w:spacing w:after="0" w:line="240" w:lineRule="auto"/>
              <w:jc w:val="right"/>
              <w:rPr>
                <w:rFonts w:ascii="Segoe UI" w:hAnsi="Segoe UI" w:cs="Segoe UI"/>
                <w:color w:val="666666"/>
                <w:sz w:val="18"/>
                <w:szCs w:val="18"/>
              </w:rPr>
            </w:pPr>
            <w:r w:rsidRPr="00CF6D7C">
              <w:rPr>
                <w:rFonts w:ascii="Segoe UI" w:hAnsi="Segoe UI" w:cs="Segoe UI"/>
                <w:color w:val="666666"/>
                <w:sz w:val="18"/>
                <w:szCs w:val="18"/>
              </w:rPr>
              <w:t>($782)</w:t>
            </w:r>
          </w:p>
        </w:tc>
        <w:tc>
          <w:tcPr>
            <w:tcW w:w="810" w:type="dxa"/>
            <w:shd w:val="clear" w:color="auto" w:fill="auto"/>
            <w:tcMar>
              <w:left w:w="0" w:type="dxa"/>
              <w:right w:w="0" w:type="dxa"/>
            </w:tcMar>
            <w:vAlign w:val="bottom"/>
          </w:tcPr>
          <w:p w14:paraId="6D8692E3"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c>
          <w:tcPr>
            <w:tcW w:w="720" w:type="dxa"/>
            <w:shd w:val="clear" w:color="auto" w:fill="auto"/>
            <w:tcMar>
              <w:left w:w="0" w:type="dxa"/>
              <w:right w:w="0" w:type="dxa"/>
            </w:tcMar>
            <w:vAlign w:val="bottom"/>
          </w:tcPr>
          <w:p w14:paraId="5EBDF9E9" w14:textId="77777777" w:rsidR="00CF6D7C" w:rsidRPr="00CF6D7C" w:rsidRDefault="00CF6D7C" w:rsidP="00327954">
            <w:pPr>
              <w:pBdr>
                <w:bottom w:val="single" w:sz="4" w:space="1" w:color="auto"/>
              </w:pBdr>
              <w:spacing w:after="0" w:line="240" w:lineRule="auto"/>
              <w:jc w:val="right"/>
              <w:rPr>
                <w:rFonts w:ascii="Segoe UI" w:hAnsi="Segoe UI" w:cs="Segoe UI"/>
                <w:bCs/>
                <w:color w:val="666666"/>
                <w:sz w:val="18"/>
                <w:szCs w:val="18"/>
              </w:rPr>
            </w:pPr>
          </w:p>
        </w:tc>
      </w:tr>
      <w:tr w:rsidR="00CF6D7C" w:rsidRPr="00CF6D7C" w14:paraId="20A43132" w14:textId="77777777" w:rsidTr="00327954">
        <w:trPr>
          <w:trHeight w:val="376"/>
        </w:trPr>
        <w:tc>
          <w:tcPr>
            <w:tcW w:w="3155" w:type="dxa"/>
            <w:shd w:val="clear" w:color="auto" w:fill="auto"/>
            <w:tcMar>
              <w:left w:w="0" w:type="dxa"/>
              <w:right w:w="0" w:type="dxa"/>
            </w:tcMar>
            <w:vAlign w:val="bottom"/>
          </w:tcPr>
          <w:p w14:paraId="004C7C2B" w14:textId="24AB424D" w:rsidR="00CF6D7C" w:rsidRPr="00CF6D7C" w:rsidRDefault="00CF6D7C" w:rsidP="00327954">
            <w:pPr>
              <w:pBdr>
                <w:bottom w:val="single" w:sz="4" w:space="1" w:color="auto"/>
              </w:pBdr>
              <w:spacing w:after="0" w:line="240" w:lineRule="auto"/>
              <w:rPr>
                <w:rFonts w:ascii="Segoe UI" w:hAnsi="Segoe UI" w:cs="Segoe UI"/>
                <w:bCs/>
                <w:color w:val="666666"/>
                <w:sz w:val="18"/>
                <w:szCs w:val="18"/>
              </w:rPr>
            </w:pPr>
            <w:r w:rsidRPr="00CF6D7C">
              <w:rPr>
                <w:rFonts w:ascii="Segoe UI" w:hAnsi="Segoe UI" w:cs="Segoe UI"/>
                <w:bCs/>
                <w:color w:val="666666"/>
                <w:sz w:val="18"/>
                <w:szCs w:val="18"/>
              </w:rPr>
              <w:t>As adjusted operating income (non-GAAP)</w:t>
            </w:r>
          </w:p>
        </w:tc>
        <w:tc>
          <w:tcPr>
            <w:tcW w:w="720" w:type="dxa"/>
            <w:shd w:val="clear" w:color="auto" w:fill="auto"/>
            <w:tcMar>
              <w:left w:w="0" w:type="dxa"/>
              <w:right w:w="0" w:type="dxa"/>
            </w:tcMar>
            <w:vAlign w:val="bottom"/>
          </w:tcPr>
          <w:p w14:paraId="1144288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$4,091</w:t>
            </w:r>
          </w:p>
        </w:tc>
        <w:tc>
          <w:tcPr>
            <w:tcW w:w="810" w:type="dxa"/>
            <w:shd w:val="clear" w:color="auto" w:fill="auto"/>
            <w:tcMar>
              <w:left w:w="0" w:type="dxa"/>
              <w:right w:w="0" w:type="dxa"/>
            </w:tcMar>
            <w:vAlign w:val="bottom"/>
          </w:tcPr>
          <w:p w14:paraId="7ED4AC7F"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$4,128</w:t>
            </w:r>
          </w:p>
        </w:tc>
        <w:tc>
          <w:tcPr>
            <w:tcW w:w="720" w:type="dxa"/>
            <w:shd w:val="clear" w:color="auto" w:fill="auto"/>
            <w:tcMar>
              <w:left w:w="0" w:type="dxa"/>
              <w:right w:w="0" w:type="dxa"/>
            </w:tcMar>
            <w:vAlign w:val="bottom"/>
          </w:tcPr>
          <w:p w14:paraId="3FEA7556" w14:textId="77777777" w:rsidR="00CF6D7C" w:rsidRPr="00CF6D7C" w:rsidRDefault="00CF6D7C" w:rsidP="00327954">
            <w:pPr>
              <w:pBdr>
                <w:bottom w:val="single" w:sz="4" w:space="1" w:color="auto"/>
              </w:pBdr>
              <w:spacing w:after="0" w:line="240" w:lineRule="auto"/>
              <w:jc w:val="right"/>
              <w:rPr>
                <w:rFonts w:ascii="Segoe UI" w:hAnsi="Segoe UI" w:cs="Segoe UI"/>
                <w:b/>
                <w:color w:val="666666"/>
                <w:sz w:val="18"/>
                <w:szCs w:val="18"/>
              </w:rPr>
            </w:pPr>
            <w:r w:rsidRPr="00CF6D7C">
              <w:rPr>
                <w:rFonts w:ascii="Segoe UI" w:hAnsi="Segoe UI" w:cs="Segoe UI"/>
                <w:bCs/>
                <w:color w:val="666666"/>
                <w:sz w:val="18"/>
                <w:szCs w:val="18"/>
              </w:rPr>
              <w:t>(1)%</w:t>
            </w:r>
          </w:p>
        </w:tc>
      </w:tr>
    </w:tbl>
    <w:p w14:paraId="09014BB7" w14:textId="77777777" w:rsidR="002A64A7" w:rsidRDefault="002A64A7" w:rsidP="0033735D">
      <w:pPr>
        <w:pStyle w:val="NormalWeb"/>
        <w:keepNext/>
        <w:spacing w:before="270" w:beforeAutospacing="0" w:after="270" w:afterAutospacing="0"/>
        <w:jc w:val="left"/>
        <w:rPr>
          <w:rFonts w:ascii="Segoe UI" w:hAnsi="Segoe UI" w:cs="Segoe UI"/>
          <w:b/>
          <w:bCs/>
          <w:color w:val="666666"/>
          <w:sz w:val="20"/>
          <w:szCs w:val="20"/>
        </w:rPr>
      </w:pPr>
      <w:r w:rsidRPr="00123413">
        <w:rPr>
          <w:rFonts w:ascii="Segoe UI" w:hAnsi="Segoe UI" w:cs="Segoe UI"/>
          <w:b/>
          <w:bCs/>
          <w:color w:val="666666"/>
          <w:sz w:val="20"/>
          <w:szCs w:val="20"/>
        </w:rPr>
        <w:t xml:space="preserve">Non-GAAP </w:t>
      </w:r>
      <w:r>
        <w:rPr>
          <w:rFonts w:ascii="Segoe UI" w:hAnsi="Segoe UI" w:cs="Segoe UI"/>
          <w:b/>
          <w:bCs/>
          <w:color w:val="666666"/>
          <w:sz w:val="20"/>
          <w:szCs w:val="20"/>
        </w:rPr>
        <w:t>Definitions</w:t>
      </w:r>
    </w:p>
    <w:p w14:paraId="11C26D0C" w14:textId="77777777" w:rsidR="002A64A7" w:rsidRPr="00CF6D7C" w:rsidRDefault="002A64A7" w:rsidP="002A64A7">
      <w:pPr>
        <w:pStyle w:val="NoSpacing"/>
        <w:spacing w:before="270" w:after="200" w:line="280" w:lineRule="exact"/>
        <w:rPr>
          <w:rFonts w:ascii="Segoe UI" w:hAnsi="Segoe UI" w:cs="Segoe UI"/>
          <w:color w:val="666666"/>
          <w:sz w:val="20"/>
          <w:szCs w:val="20"/>
        </w:rPr>
      </w:pPr>
      <w:r w:rsidRPr="00CF6D7C">
        <w:rPr>
          <w:rFonts w:ascii="Segoe UI" w:hAnsi="Segoe UI" w:cs="Segoe UI"/>
          <w:color w:val="666666"/>
          <w:sz w:val="20"/>
          <w:szCs w:val="20"/>
        </w:rPr>
        <w:t xml:space="preserve">Windows 7 revenue was subject to deferral as a result of the Windows Upgrade Offer, which started June 2, 2012. The offer provided significantly discounted rights to purchase Windows 8 Pro to qualifying </w:t>
      </w:r>
      <w:r w:rsidRPr="00CF6D7C">
        <w:rPr>
          <w:rFonts w:ascii="Segoe UI" w:hAnsi="Segoe UI" w:cs="Segoe UI"/>
          <w:color w:val="666666"/>
          <w:sz w:val="20"/>
          <w:szCs w:val="20"/>
        </w:rPr>
        <w:lastRenderedPageBreak/>
        <w:t>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w:t>
      </w:r>
    </w:p>
    <w:p w14:paraId="6A0B9C35" w14:textId="35226495" w:rsidR="0016352C" w:rsidRPr="00CF6D7C" w:rsidRDefault="002A64A7" w:rsidP="002A64A7">
      <w:pPr>
        <w:pStyle w:val="NoSpacing"/>
        <w:spacing w:before="270" w:after="200" w:line="280" w:lineRule="exact"/>
        <w:rPr>
          <w:rFonts w:ascii="Segoe UI" w:hAnsi="Segoe UI" w:cs="Segoe UI"/>
          <w:color w:val="666666"/>
          <w:sz w:val="20"/>
          <w:szCs w:val="20"/>
        </w:rPr>
      </w:pPr>
      <w:r w:rsidRPr="00CF6D7C">
        <w:rPr>
          <w:rFonts w:ascii="Segoe UI" w:hAnsi="Segoe UI" w:cs="Segoe UI"/>
          <w:color w:val="666666"/>
          <w:sz w:val="20"/>
          <w:szCs w:val="20"/>
        </w:rPr>
        <w:t>Microsoft Office system revenue was subject to deferral as a result of the Office Upgrade Offer, which started October 19, 2012. The Office Upgrade Offer allowed customers who purchased qualifying 2010 Microsoft Office system or Office for Mac 2011 products to receive, at no cost, a one-year subscription to Office 365 Home Premium or the equivalent version of 2013 Microsoft Office system upon general availability. Small business customers in applicable markets were also eligible for a three-month trial of Office 365 Small Business Premium. Accordingly, estimated revenue related to the undelivered 2013 Microsoft Office system and subscription services was deferred until the products and services were delivered or the redemption period expired.</w:t>
      </w:r>
    </w:p>
    <w:sectPr w:rsidR="0016352C" w:rsidRPr="00CF6D7C" w:rsidSect="008A4236">
      <w:headerReference w:type="even" r:id="rId12"/>
      <w:headerReference w:type="default" r:id="rId13"/>
      <w:footerReference w:type="even" r:id="rId14"/>
      <w:footerReference w:type="default" r:id="rId15"/>
      <w:headerReference w:type="first" r:id="rId16"/>
      <w:footerReference w:type="first" r:id="rId17"/>
      <w:pgSz w:w="12240" w:h="15840" w:code="1"/>
      <w:pgMar w:top="2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8E332" w14:textId="77777777" w:rsidR="00145439" w:rsidRDefault="00145439" w:rsidP="007D77C0">
      <w:pPr>
        <w:spacing w:after="0" w:line="240" w:lineRule="auto"/>
      </w:pPr>
      <w:r>
        <w:separator/>
      </w:r>
    </w:p>
  </w:endnote>
  <w:endnote w:type="continuationSeparator" w:id="0">
    <w:p w14:paraId="16B1386E" w14:textId="77777777" w:rsidR="00145439" w:rsidRDefault="00145439" w:rsidP="007D77C0">
      <w:pPr>
        <w:spacing w:after="0" w:line="240" w:lineRule="auto"/>
      </w:pPr>
      <w:r>
        <w:continuationSeparator/>
      </w:r>
    </w:p>
  </w:endnote>
  <w:endnote w:type="continuationNotice" w:id="1">
    <w:p w14:paraId="3D2B1773" w14:textId="77777777" w:rsidR="00145439" w:rsidRDefault="00145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w:altName w:val="Segoe UI"/>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0E4A" w14:textId="77777777" w:rsidR="00145439" w:rsidRDefault="00145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FA3A" w14:textId="77777777" w:rsidR="00145439" w:rsidRDefault="00145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FB19" w14:textId="77777777" w:rsidR="00145439" w:rsidRDefault="0014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40755" w14:textId="77777777" w:rsidR="00145439" w:rsidRDefault="00145439" w:rsidP="007D77C0">
      <w:pPr>
        <w:spacing w:after="0" w:line="240" w:lineRule="auto"/>
      </w:pPr>
      <w:r>
        <w:separator/>
      </w:r>
    </w:p>
  </w:footnote>
  <w:footnote w:type="continuationSeparator" w:id="0">
    <w:p w14:paraId="5CC587FC" w14:textId="77777777" w:rsidR="00145439" w:rsidRDefault="00145439" w:rsidP="007D77C0">
      <w:pPr>
        <w:spacing w:after="0" w:line="240" w:lineRule="auto"/>
      </w:pPr>
      <w:r>
        <w:continuationSeparator/>
      </w:r>
    </w:p>
  </w:footnote>
  <w:footnote w:type="continuationNotice" w:id="1">
    <w:p w14:paraId="63FC163B" w14:textId="77777777" w:rsidR="00145439" w:rsidRDefault="001454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8783" w14:textId="77777777" w:rsidR="00145439" w:rsidRDefault="00145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8153" w14:textId="77777777" w:rsidR="00145439" w:rsidRDefault="00145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2545" w14:textId="77777777" w:rsidR="00145439" w:rsidRDefault="00145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BC60C8"/>
    <w:lvl w:ilvl="0">
      <w:start w:val="1"/>
      <w:numFmt w:val="decimal"/>
      <w:lvlText w:val="%1."/>
      <w:lvlJc w:val="left"/>
      <w:pPr>
        <w:tabs>
          <w:tab w:val="num" w:pos="1800"/>
        </w:tabs>
        <w:ind w:left="1800" w:hanging="360"/>
      </w:pPr>
    </w:lvl>
  </w:abstractNum>
  <w:abstractNum w:abstractNumId="1">
    <w:nsid w:val="FFFFFF7D"/>
    <w:multiLevelType w:val="singleLevel"/>
    <w:tmpl w:val="6DEECCCE"/>
    <w:lvl w:ilvl="0">
      <w:start w:val="1"/>
      <w:numFmt w:val="decimal"/>
      <w:lvlText w:val="%1."/>
      <w:lvlJc w:val="left"/>
      <w:pPr>
        <w:tabs>
          <w:tab w:val="num" w:pos="1440"/>
        </w:tabs>
        <w:ind w:left="1440" w:hanging="360"/>
      </w:pPr>
    </w:lvl>
  </w:abstractNum>
  <w:abstractNum w:abstractNumId="2">
    <w:nsid w:val="FFFFFF7E"/>
    <w:multiLevelType w:val="singleLevel"/>
    <w:tmpl w:val="464E7C02"/>
    <w:lvl w:ilvl="0">
      <w:start w:val="1"/>
      <w:numFmt w:val="decimal"/>
      <w:lvlText w:val="%1."/>
      <w:lvlJc w:val="left"/>
      <w:pPr>
        <w:tabs>
          <w:tab w:val="num" w:pos="1080"/>
        </w:tabs>
        <w:ind w:left="1080" w:hanging="360"/>
      </w:pPr>
    </w:lvl>
  </w:abstractNum>
  <w:abstractNum w:abstractNumId="3">
    <w:nsid w:val="FFFFFF7F"/>
    <w:multiLevelType w:val="singleLevel"/>
    <w:tmpl w:val="DEC48F00"/>
    <w:lvl w:ilvl="0">
      <w:start w:val="1"/>
      <w:numFmt w:val="decimal"/>
      <w:lvlText w:val="%1."/>
      <w:lvlJc w:val="left"/>
      <w:pPr>
        <w:tabs>
          <w:tab w:val="num" w:pos="720"/>
        </w:tabs>
        <w:ind w:left="720" w:hanging="360"/>
      </w:pPr>
    </w:lvl>
  </w:abstractNum>
  <w:abstractNum w:abstractNumId="4">
    <w:nsid w:val="FFFFFF80"/>
    <w:multiLevelType w:val="singleLevel"/>
    <w:tmpl w:val="5468B0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4059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5045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9E5A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E84B3A"/>
    <w:lvl w:ilvl="0">
      <w:start w:val="1"/>
      <w:numFmt w:val="decimal"/>
      <w:lvlText w:val="%1."/>
      <w:lvlJc w:val="left"/>
      <w:pPr>
        <w:tabs>
          <w:tab w:val="num" w:pos="360"/>
        </w:tabs>
        <w:ind w:left="360" w:hanging="360"/>
      </w:pPr>
    </w:lvl>
  </w:abstractNum>
  <w:abstractNum w:abstractNumId="9">
    <w:nsid w:val="FFFFFF89"/>
    <w:multiLevelType w:val="singleLevel"/>
    <w:tmpl w:val="1F486754"/>
    <w:lvl w:ilvl="0">
      <w:start w:val="1"/>
      <w:numFmt w:val="bullet"/>
      <w:lvlText w:val=""/>
      <w:lvlJc w:val="left"/>
      <w:pPr>
        <w:tabs>
          <w:tab w:val="num" w:pos="360"/>
        </w:tabs>
        <w:ind w:left="360" w:hanging="360"/>
      </w:pPr>
      <w:rPr>
        <w:rFonts w:ascii="Symbol" w:hAnsi="Symbol" w:hint="default"/>
      </w:rPr>
    </w:lvl>
  </w:abstractNum>
  <w:abstractNum w:abstractNumId="10">
    <w:nsid w:val="13C06468"/>
    <w:multiLevelType w:val="hybridMultilevel"/>
    <w:tmpl w:val="2A5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96AB9"/>
    <w:multiLevelType w:val="hybridMultilevel"/>
    <w:tmpl w:val="004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E6828"/>
    <w:multiLevelType w:val="hybridMultilevel"/>
    <w:tmpl w:val="2D52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2CF"/>
    <w:multiLevelType w:val="hybridMultilevel"/>
    <w:tmpl w:val="6C56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B7"/>
    <w:rsid w:val="00002DE2"/>
    <w:rsid w:val="0000320F"/>
    <w:rsid w:val="000064C3"/>
    <w:rsid w:val="0001719E"/>
    <w:rsid w:val="0002061E"/>
    <w:rsid w:val="000239A0"/>
    <w:rsid w:val="00024830"/>
    <w:rsid w:val="00026FF9"/>
    <w:rsid w:val="000278F4"/>
    <w:rsid w:val="00030706"/>
    <w:rsid w:val="00034201"/>
    <w:rsid w:val="00037303"/>
    <w:rsid w:val="00040E87"/>
    <w:rsid w:val="0005215D"/>
    <w:rsid w:val="00053AD9"/>
    <w:rsid w:val="00055682"/>
    <w:rsid w:val="000608B9"/>
    <w:rsid w:val="0006155B"/>
    <w:rsid w:val="000636E9"/>
    <w:rsid w:val="00064CB0"/>
    <w:rsid w:val="00067877"/>
    <w:rsid w:val="00071493"/>
    <w:rsid w:val="000722D4"/>
    <w:rsid w:val="000737E8"/>
    <w:rsid w:val="0007403F"/>
    <w:rsid w:val="00075FE1"/>
    <w:rsid w:val="00077C6C"/>
    <w:rsid w:val="00082804"/>
    <w:rsid w:val="00082A13"/>
    <w:rsid w:val="00084067"/>
    <w:rsid w:val="000850E7"/>
    <w:rsid w:val="00086093"/>
    <w:rsid w:val="00092250"/>
    <w:rsid w:val="0009476B"/>
    <w:rsid w:val="00097F7E"/>
    <w:rsid w:val="000A0C4D"/>
    <w:rsid w:val="000A42D1"/>
    <w:rsid w:val="000B331E"/>
    <w:rsid w:val="000B413D"/>
    <w:rsid w:val="000B4D69"/>
    <w:rsid w:val="000C35A1"/>
    <w:rsid w:val="000C44E5"/>
    <w:rsid w:val="000C55B6"/>
    <w:rsid w:val="000C63D3"/>
    <w:rsid w:val="000D242C"/>
    <w:rsid w:val="000D376B"/>
    <w:rsid w:val="000F1C6F"/>
    <w:rsid w:val="00103EB6"/>
    <w:rsid w:val="0010500F"/>
    <w:rsid w:val="0010587C"/>
    <w:rsid w:val="0010716C"/>
    <w:rsid w:val="00110ECF"/>
    <w:rsid w:val="001119DC"/>
    <w:rsid w:val="001125C8"/>
    <w:rsid w:val="00114FEA"/>
    <w:rsid w:val="00116381"/>
    <w:rsid w:val="00116DDE"/>
    <w:rsid w:val="00120DAB"/>
    <w:rsid w:val="00121CD5"/>
    <w:rsid w:val="00122A17"/>
    <w:rsid w:val="00123413"/>
    <w:rsid w:val="00123816"/>
    <w:rsid w:val="0012523A"/>
    <w:rsid w:val="001274F0"/>
    <w:rsid w:val="00130396"/>
    <w:rsid w:val="00134031"/>
    <w:rsid w:val="001343E1"/>
    <w:rsid w:val="001348D7"/>
    <w:rsid w:val="00134F15"/>
    <w:rsid w:val="00141717"/>
    <w:rsid w:val="00145439"/>
    <w:rsid w:val="00151697"/>
    <w:rsid w:val="00154137"/>
    <w:rsid w:val="001541CE"/>
    <w:rsid w:val="00155148"/>
    <w:rsid w:val="00155C17"/>
    <w:rsid w:val="00156CDA"/>
    <w:rsid w:val="00156F49"/>
    <w:rsid w:val="0016352C"/>
    <w:rsid w:val="001652E9"/>
    <w:rsid w:val="00165882"/>
    <w:rsid w:val="00167F3D"/>
    <w:rsid w:val="00172091"/>
    <w:rsid w:val="0017382E"/>
    <w:rsid w:val="00174DE8"/>
    <w:rsid w:val="00181950"/>
    <w:rsid w:val="0018463B"/>
    <w:rsid w:val="001846CA"/>
    <w:rsid w:val="001848A2"/>
    <w:rsid w:val="00185DBF"/>
    <w:rsid w:val="001867A9"/>
    <w:rsid w:val="00195DC4"/>
    <w:rsid w:val="001977EB"/>
    <w:rsid w:val="001A02CE"/>
    <w:rsid w:val="001A12C1"/>
    <w:rsid w:val="001A13C8"/>
    <w:rsid w:val="001A1A21"/>
    <w:rsid w:val="001A38FB"/>
    <w:rsid w:val="001B21F7"/>
    <w:rsid w:val="001B32C8"/>
    <w:rsid w:val="001B3EC5"/>
    <w:rsid w:val="001B4478"/>
    <w:rsid w:val="001C7161"/>
    <w:rsid w:val="001D3A25"/>
    <w:rsid w:val="001D3B9B"/>
    <w:rsid w:val="001E5800"/>
    <w:rsid w:val="001E5F8C"/>
    <w:rsid w:val="001F1146"/>
    <w:rsid w:val="001F1225"/>
    <w:rsid w:val="001F2E3F"/>
    <w:rsid w:val="001F4F2C"/>
    <w:rsid w:val="00203FDF"/>
    <w:rsid w:val="0020785B"/>
    <w:rsid w:val="00212E3B"/>
    <w:rsid w:val="00213800"/>
    <w:rsid w:val="00214EBA"/>
    <w:rsid w:val="00217537"/>
    <w:rsid w:val="002225A5"/>
    <w:rsid w:val="002260F9"/>
    <w:rsid w:val="00226A34"/>
    <w:rsid w:val="00227819"/>
    <w:rsid w:val="00230488"/>
    <w:rsid w:val="00231716"/>
    <w:rsid w:val="002317FC"/>
    <w:rsid w:val="00233892"/>
    <w:rsid w:val="00233C3A"/>
    <w:rsid w:val="002349C1"/>
    <w:rsid w:val="002402AD"/>
    <w:rsid w:val="002405B2"/>
    <w:rsid w:val="0024349D"/>
    <w:rsid w:val="00243A04"/>
    <w:rsid w:val="00244AB6"/>
    <w:rsid w:val="00246138"/>
    <w:rsid w:val="00250AF4"/>
    <w:rsid w:val="00255D32"/>
    <w:rsid w:val="00255DAC"/>
    <w:rsid w:val="00256982"/>
    <w:rsid w:val="00260669"/>
    <w:rsid w:val="00261056"/>
    <w:rsid w:val="00263E49"/>
    <w:rsid w:val="00264061"/>
    <w:rsid w:val="00265D8B"/>
    <w:rsid w:val="00266C13"/>
    <w:rsid w:val="00270E33"/>
    <w:rsid w:val="00273A93"/>
    <w:rsid w:val="00274169"/>
    <w:rsid w:val="00274267"/>
    <w:rsid w:val="002743F4"/>
    <w:rsid w:val="00277E93"/>
    <w:rsid w:val="002805A6"/>
    <w:rsid w:val="00281386"/>
    <w:rsid w:val="00281B5E"/>
    <w:rsid w:val="00281CE3"/>
    <w:rsid w:val="00282980"/>
    <w:rsid w:val="00283154"/>
    <w:rsid w:val="00284B83"/>
    <w:rsid w:val="002863C9"/>
    <w:rsid w:val="00286632"/>
    <w:rsid w:val="00287662"/>
    <w:rsid w:val="00290508"/>
    <w:rsid w:val="00292C32"/>
    <w:rsid w:val="0029318C"/>
    <w:rsid w:val="002936CB"/>
    <w:rsid w:val="00293F7E"/>
    <w:rsid w:val="00295447"/>
    <w:rsid w:val="00295499"/>
    <w:rsid w:val="0029751A"/>
    <w:rsid w:val="00297A46"/>
    <w:rsid w:val="00297A55"/>
    <w:rsid w:val="002A063C"/>
    <w:rsid w:val="002A087A"/>
    <w:rsid w:val="002A5E9E"/>
    <w:rsid w:val="002A64A7"/>
    <w:rsid w:val="002A78C3"/>
    <w:rsid w:val="002B183E"/>
    <w:rsid w:val="002B267A"/>
    <w:rsid w:val="002B31A9"/>
    <w:rsid w:val="002B6AB3"/>
    <w:rsid w:val="002C5E0A"/>
    <w:rsid w:val="002D0B61"/>
    <w:rsid w:val="002D3C26"/>
    <w:rsid w:val="002D7FA7"/>
    <w:rsid w:val="002E0715"/>
    <w:rsid w:val="002E11C7"/>
    <w:rsid w:val="002E1DC7"/>
    <w:rsid w:val="002E2A4E"/>
    <w:rsid w:val="002E4531"/>
    <w:rsid w:val="002E7B9F"/>
    <w:rsid w:val="002E7F96"/>
    <w:rsid w:val="002F21A3"/>
    <w:rsid w:val="002F2A02"/>
    <w:rsid w:val="002F494E"/>
    <w:rsid w:val="002F686F"/>
    <w:rsid w:val="0030107F"/>
    <w:rsid w:val="00301D73"/>
    <w:rsid w:val="00301DCD"/>
    <w:rsid w:val="00311EEA"/>
    <w:rsid w:val="00313AA1"/>
    <w:rsid w:val="00313AD0"/>
    <w:rsid w:val="00314B2D"/>
    <w:rsid w:val="00314DB8"/>
    <w:rsid w:val="00317DD8"/>
    <w:rsid w:val="003200B6"/>
    <w:rsid w:val="003221A2"/>
    <w:rsid w:val="00323D1A"/>
    <w:rsid w:val="00324802"/>
    <w:rsid w:val="003272B1"/>
    <w:rsid w:val="00327742"/>
    <w:rsid w:val="00327954"/>
    <w:rsid w:val="003352FC"/>
    <w:rsid w:val="0033735D"/>
    <w:rsid w:val="00337AB5"/>
    <w:rsid w:val="00344392"/>
    <w:rsid w:val="00344704"/>
    <w:rsid w:val="0034678F"/>
    <w:rsid w:val="00347581"/>
    <w:rsid w:val="00357A9C"/>
    <w:rsid w:val="003611C1"/>
    <w:rsid w:val="00362438"/>
    <w:rsid w:val="00364FCB"/>
    <w:rsid w:val="00365841"/>
    <w:rsid w:val="00366492"/>
    <w:rsid w:val="00367D29"/>
    <w:rsid w:val="00371B3A"/>
    <w:rsid w:val="00374D31"/>
    <w:rsid w:val="00381338"/>
    <w:rsid w:val="00383410"/>
    <w:rsid w:val="00386E36"/>
    <w:rsid w:val="00390BF3"/>
    <w:rsid w:val="00390E0B"/>
    <w:rsid w:val="003914C5"/>
    <w:rsid w:val="00392F7D"/>
    <w:rsid w:val="00395A37"/>
    <w:rsid w:val="003A381E"/>
    <w:rsid w:val="003A4CF9"/>
    <w:rsid w:val="003B2DF6"/>
    <w:rsid w:val="003B38DD"/>
    <w:rsid w:val="003B4B77"/>
    <w:rsid w:val="003B5718"/>
    <w:rsid w:val="003B728F"/>
    <w:rsid w:val="003C0997"/>
    <w:rsid w:val="003C1EE4"/>
    <w:rsid w:val="003C4A0C"/>
    <w:rsid w:val="003C4D5B"/>
    <w:rsid w:val="003C6E47"/>
    <w:rsid w:val="003D171D"/>
    <w:rsid w:val="003D34E9"/>
    <w:rsid w:val="003D6021"/>
    <w:rsid w:val="003E00F3"/>
    <w:rsid w:val="003E0170"/>
    <w:rsid w:val="003E39D3"/>
    <w:rsid w:val="003E50F1"/>
    <w:rsid w:val="003E57F5"/>
    <w:rsid w:val="003E58C8"/>
    <w:rsid w:val="003E6FC7"/>
    <w:rsid w:val="003F188D"/>
    <w:rsid w:val="003F31EB"/>
    <w:rsid w:val="00405174"/>
    <w:rsid w:val="00405D8A"/>
    <w:rsid w:val="0040601C"/>
    <w:rsid w:val="00406944"/>
    <w:rsid w:val="00407F6C"/>
    <w:rsid w:val="004136DD"/>
    <w:rsid w:val="00415071"/>
    <w:rsid w:val="0041527A"/>
    <w:rsid w:val="0041530F"/>
    <w:rsid w:val="004178CA"/>
    <w:rsid w:val="00421382"/>
    <w:rsid w:val="0043274B"/>
    <w:rsid w:val="00432A2F"/>
    <w:rsid w:val="004402BA"/>
    <w:rsid w:val="00451B06"/>
    <w:rsid w:val="00456EE1"/>
    <w:rsid w:val="00457D7D"/>
    <w:rsid w:val="004703E2"/>
    <w:rsid w:val="004734D9"/>
    <w:rsid w:val="00473FB8"/>
    <w:rsid w:val="00475E76"/>
    <w:rsid w:val="0047666F"/>
    <w:rsid w:val="0048035D"/>
    <w:rsid w:val="00484638"/>
    <w:rsid w:val="00486A5E"/>
    <w:rsid w:val="004873CF"/>
    <w:rsid w:val="00496725"/>
    <w:rsid w:val="00496DF6"/>
    <w:rsid w:val="004A08D0"/>
    <w:rsid w:val="004A14FF"/>
    <w:rsid w:val="004A215B"/>
    <w:rsid w:val="004A6BA1"/>
    <w:rsid w:val="004A7023"/>
    <w:rsid w:val="004B17FA"/>
    <w:rsid w:val="004B3063"/>
    <w:rsid w:val="004B5CE8"/>
    <w:rsid w:val="004C2CAE"/>
    <w:rsid w:val="004C638F"/>
    <w:rsid w:val="004D0F54"/>
    <w:rsid w:val="004D4234"/>
    <w:rsid w:val="004D4343"/>
    <w:rsid w:val="004D5FBB"/>
    <w:rsid w:val="004E18E7"/>
    <w:rsid w:val="004E4CA9"/>
    <w:rsid w:val="004F1A44"/>
    <w:rsid w:val="004F2A1B"/>
    <w:rsid w:val="004F2D99"/>
    <w:rsid w:val="004F3D1C"/>
    <w:rsid w:val="004F5560"/>
    <w:rsid w:val="00500554"/>
    <w:rsid w:val="0050159E"/>
    <w:rsid w:val="00502A5A"/>
    <w:rsid w:val="00504DF1"/>
    <w:rsid w:val="00505162"/>
    <w:rsid w:val="00510F4E"/>
    <w:rsid w:val="005117EE"/>
    <w:rsid w:val="005149DA"/>
    <w:rsid w:val="00515747"/>
    <w:rsid w:val="00524A43"/>
    <w:rsid w:val="00525520"/>
    <w:rsid w:val="00530955"/>
    <w:rsid w:val="00530AC5"/>
    <w:rsid w:val="005324C7"/>
    <w:rsid w:val="005337D6"/>
    <w:rsid w:val="00533AF8"/>
    <w:rsid w:val="0053414F"/>
    <w:rsid w:val="00535611"/>
    <w:rsid w:val="00541658"/>
    <w:rsid w:val="005418C1"/>
    <w:rsid w:val="00542236"/>
    <w:rsid w:val="0054232C"/>
    <w:rsid w:val="00542631"/>
    <w:rsid w:val="00542B16"/>
    <w:rsid w:val="00542E83"/>
    <w:rsid w:val="005436C7"/>
    <w:rsid w:val="00543F15"/>
    <w:rsid w:val="00544D10"/>
    <w:rsid w:val="00545222"/>
    <w:rsid w:val="00547092"/>
    <w:rsid w:val="005525AC"/>
    <w:rsid w:val="00555B45"/>
    <w:rsid w:val="005578EE"/>
    <w:rsid w:val="00560CEF"/>
    <w:rsid w:val="005610D5"/>
    <w:rsid w:val="005616C4"/>
    <w:rsid w:val="00561D42"/>
    <w:rsid w:val="00562EA5"/>
    <w:rsid w:val="005658C2"/>
    <w:rsid w:val="00566062"/>
    <w:rsid w:val="005669C8"/>
    <w:rsid w:val="00572C5F"/>
    <w:rsid w:val="00574AD3"/>
    <w:rsid w:val="00574B53"/>
    <w:rsid w:val="00574CA7"/>
    <w:rsid w:val="005769CE"/>
    <w:rsid w:val="0057706C"/>
    <w:rsid w:val="005771EF"/>
    <w:rsid w:val="005843B3"/>
    <w:rsid w:val="00595694"/>
    <w:rsid w:val="00597270"/>
    <w:rsid w:val="005A227B"/>
    <w:rsid w:val="005A27DD"/>
    <w:rsid w:val="005A3297"/>
    <w:rsid w:val="005A465F"/>
    <w:rsid w:val="005A47F7"/>
    <w:rsid w:val="005A5BDE"/>
    <w:rsid w:val="005B04F6"/>
    <w:rsid w:val="005B5E50"/>
    <w:rsid w:val="005B64DD"/>
    <w:rsid w:val="005C0481"/>
    <w:rsid w:val="005C08C2"/>
    <w:rsid w:val="005C4430"/>
    <w:rsid w:val="005C61D4"/>
    <w:rsid w:val="005C6392"/>
    <w:rsid w:val="005C7152"/>
    <w:rsid w:val="005C730D"/>
    <w:rsid w:val="005D0505"/>
    <w:rsid w:val="005D6753"/>
    <w:rsid w:val="005D7A50"/>
    <w:rsid w:val="005E0784"/>
    <w:rsid w:val="005E40FF"/>
    <w:rsid w:val="005E54C6"/>
    <w:rsid w:val="005F01A9"/>
    <w:rsid w:val="005F24F2"/>
    <w:rsid w:val="005F276E"/>
    <w:rsid w:val="005F2893"/>
    <w:rsid w:val="005F3D11"/>
    <w:rsid w:val="005F4CE4"/>
    <w:rsid w:val="005F6193"/>
    <w:rsid w:val="00603012"/>
    <w:rsid w:val="006054CF"/>
    <w:rsid w:val="00605E1C"/>
    <w:rsid w:val="00606608"/>
    <w:rsid w:val="00607224"/>
    <w:rsid w:val="006116D8"/>
    <w:rsid w:val="0061268E"/>
    <w:rsid w:val="00613EDD"/>
    <w:rsid w:val="00614441"/>
    <w:rsid w:val="006150AC"/>
    <w:rsid w:val="006201C7"/>
    <w:rsid w:val="00625B7E"/>
    <w:rsid w:val="006273F8"/>
    <w:rsid w:val="0063073A"/>
    <w:rsid w:val="006319DC"/>
    <w:rsid w:val="0063444C"/>
    <w:rsid w:val="00642C3A"/>
    <w:rsid w:val="00645D08"/>
    <w:rsid w:val="00646B69"/>
    <w:rsid w:val="00646C2A"/>
    <w:rsid w:val="00647776"/>
    <w:rsid w:val="00650336"/>
    <w:rsid w:val="006528D7"/>
    <w:rsid w:val="00652B42"/>
    <w:rsid w:val="00653868"/>
    <w:rsid w:val="006568EB"/>
    <w:rsid w:val="006579DF"/>
    <w:rsid w:val="00657C93"/>
    <w:rsid w:val="00662499"/>
    <w:rsid w:val="00663C65"/>
    <w:rsid w:val="00664246"/>
    <w:rsid w:val="00666131"/>
    <w:rsid w:val="006721C2"/>
    <w:rsid w:val="00680875"/>
    <w:rsid w:val="0068407A"/>
    <w:rsid w:val="00685762"/>
    <w:rsid w:val="00685D32"/>
    <w:rsid w:val="00693CB4"/>
    <w:rsid w:val="006957B9"/>
    <w:rsid w:val="006A0082"/>
    <w:rsid w:val="006A14AF"/>
    <w:rsid w:val="006A316B"/>
    <w:rsid w:val="006A3261"/>
    <w:rsid w:val="006A3650"/>
    <w:rsid w:val="006A3A70"/>
    <w:rsid w:val="006A42EE"/>
    <w:rsid w:val="006A7CF8"/>
    <w:rsid w:val="006B1081"/>
    <w:rsid w:val="006B10C8"/>
    <w:rsid w:val="006C0371"/>
    <w:rsid w:val="006C1B0E"/>
    <w:rsid w:val="006C1E41"/>
    <w:rsid w:val="006C2B34"/>
    <w:rsid w:val="006C3E6D"/>
    <w:rsid w:val="006C657D"/>
    <w:rsid w:val="006D0A7B"/>
    <w:rsid w:val="006D3824"/>
    <w:rsid w:val="006D66B4"/>
    <w:rsid w:val="006E0A9C"/>
    <w:rsid w:val="006E3DD5"/>
    <w:rsid w:val="006F0310"/>
    <w:rsid w:val="006F0486"/>
    <w:rsid w:val="006F5267"/>
    <w:rsid w:val="007004AB"/>
    <w:rsid w:val="007032E6"/>
    <w:rsid w:val="00706B31"/>
    <w:rsid w:val="00707E5C"/>
    <w:rsid w:val="00712688"/>
    <w:rsid w:val="00714369"/>
    <w:rsid w:val="00715818"/>
    <w:rsid w:val="007236E1"/>
    <w:rsid w:val="00726F1C"/>
    <w:rsid w:val="00727A86"/>
    <w:rsid w:val="00737600"/>
    <w:rsid w:val="00737935"/>
    <w:rsid w:val="007411F9"/>
    <w:rsid w:val="00742A5D"/>
    <w:rsid w:val="00744F2D"/>
    <w:rsid w:val="007453DB"/>
    <w:rsid w:val="007469B6"/>
    <w:rsid w:val="00751884"/>
    <w:rsid w:val="00751BD8"/>
    <w:rsid w:val="0075261F"/>
    <w:rsid w:val="007556E8"/>
    <w:rsid w:val="00756C9D"/>
    <w:rsid w:val="00757008"/>
    <w:rsid w:val="00757483"/>
    <w:rsid w:val="007603DF"/>
    <w:rsid w:val="00762F7E"/>
    <w:rsid w:val="007642A8"/>
    <w:rsid w:val="00764F5E"/>
    <w:rsid w:val="00773886"/>
    <w:rsid w:val="00774D24"/>
    <w:rsid w:val="00775779"/>
    <w:rsid w:val="007767C1"/>
    <w:rsid w:val="00781D2D"/>
    <w:rsid w:val="00783C1A"/>
    <w:rsid w:val="00784DE1"/>
    <w:rsid w:val="00786718"/>
    <w:rsid w:val="00786FC6"/>
    <w:rsid w:val="00793476"/>
    <w:rsid w:val="00795739"/>
    <w:rsid w:val="007A046D"/>
    <w:rsid w:val="007B1BF6"/>
    <w:rsid w:val="007B2103"/>
    <w:rsid w:val="007B47AD"/>
    <w:rsid w:val="007B5B3A"/>
    <w:rsid w:val="007C0653"/>
    <w:rsid w:val="007C2F69"/>
    <w:rsid w:val="007C5304"/>
    <w:rsid w:val="007C79C4"/>
    <w:rsid w:val="007D0AA0"/>
    <w:rsid w:val="007D3227"/>
    <w:rsid w:val="007D4E25"/>
    <w:rsid w:val="007D5336"/>
    <w:rsid w:val="007D62A9"/>
    <w:rsid w:val="007D637F"/>
    <w:rsid w:val="007D66AA"/>
    <w:rsid w:val="007D6981"/>
    <w:rsid w:val="007D77C0"/>
    <w:rsid w:val="007E2D4C"/>
    <w:rsid w:val="007E3C4C"/>
    <w:rsid w:val="007F1745"/>
    <w:rsid w:val="007F3916"/>
    <w:rsid w:val="007F4B24"/>
    <w:rsid w:val="007F5D29"/>
    <w:rsid w:val="007F768F"/>
    <w:rsid w:val="0080070C"/>
    <w:rsid w:val="00802575"/>
    <w:rsid w:val="0080395B"/>
    <w:rsid w:val="00804845"/>
    <w:rsid w:val="0080577C"/>
    <w:rsid w:val="00812D78"/>
    <w:rsid w:val="00813B21"/>
    <w:rsid w:val="0081521F"/>
    <w:rsid w:val="00817EE3"/>
    <w:rsid w:val="00820248"/>
    <w:rsid w:val="00820BA2"/>
    <w:rsid w:val="00822DD8"/>
    <w:rsid w:val="008265B8"/>
    <w:rsid w:val="008269A1"/>
    <w:rsid w:val="00831849"/>
    <w:rsid w:val="00831ED9"/>
    <w:rsid w:val="00831FE6"/>
    <w:rsid w:val="008345FA"/>
    <w:rsid w:val="008406C4"/>
    <w:rsid w:val="0084288F"/>
    <w:rsid w:val="00844145"/>
    <w:rsid w:val="008459B6"/>
    <w:rsid w:val="00853F00"/>
    <w:rsid w:val="0085603E"/>
    <w:rsid w:val="00857213"/>
    <w:rsid w:val="00860680"/>
    <w:rsid w:val="0086115D"/>
    <w:rsid w:val="00862B2D"/>
    <w:rsid w:val="00862DA4"/>
    <w:rsid w:val="00863107"/>
    <w:rsid w:val="00863BF9"/>
    <w:rsid w:val="00864D41"/>
    <w:rsid w:val="00866F48"/>
    <w:rsid w:val="00870064"/>
    <w:rsid w:val="00872CD8"/>
    <w:rsid w:val="00874B6E"/>
    <w:rsid w:val="00874D73"/>
    <w:rsid w:val="00882EA2"/>
    <w:rsid w:val="0088325E"/>
    <w:rsid w:val="00886A55"/>
    <w:rsid w:val="008875F8"/>
    <w:rsid w:val="008935E3"/>
    <w:rsid w:val="00895F26"/>
    <w:rsid w:val="008962B7"/>
    <w:rsid w:val="008A1F90"/>
    <w:rsid w:val="008A22EC"/>
    <w:rsid w:val="008A3765"/>
    <w:rsid w:val="008A422C"/>
    <w:rsid w:val="008A4236"/>
    <w:rsid w:val="008B353E"/>
    <w:rsid w:val="008B576D"/>
    <w:rsid w:val="008B5772"/>
    <w:rsid w:val="008C0515"/>
    <w:rsid w:val="008C1871"/>
    <w:rsid w:val="008C599E"/>
    <w:rsid w:val="008C601D"/>
    <w:rsid w:val="008C6CC3"/>
    <w:rsid w:val="008C6FEB"/>
    <w:rsid w:val="008C7929"/>
    <w:rsid w:val="008D1408"/>
    <w:rsid w:val="008D4964"/>
    <w:rsid w:val="008D5FAD"/>
    <w:rsid w:val="008D6A1A"/>
    <w:rsid w:val="008E2D7F"/>
    <w:rsid w:val="008E35B7"/>
    <w:rsid w:val="008E4C0A"/>
    <w:rsid w:val="008E51EC"/>
    <w:rsid w:val="008E59F2"/>
    <w:rsid w:val="008E5F28"/>
    <w:rsid w:val="008E6A50"/>
    <w:rsid w:val="008F0C80"/>
    <w:rsid w:val="008F2492"/>
    <w:rsid w:val="008F286E"/>
    <w:rsid w:val="00900A2E"/>
    <w:rsid w:val="00902435"/>
    <w:rsid w:val="009035AE"/>
    <w:rsid w:val="00904716"/>
    <w:rsid w:val="00906E50"/>
    <w:rsid w:val="009151A6"/>
    <w:rsid w:val="00915970"/>
    <w:rsid w:val="009213D6"/>
    <w:rsid w:val="00921484"/>
    <w:rsid w:val="00921F1A"/>
    <w:rsid w:val="00921FB6"/>
    <w:rsid w:val="009246B4"/>
    <w:rsid w:val="00925D70"/>
    <w:rsid w:val="00940CC8"/>
    <w:rsid w:val="00944918"/>
    <w:rsid w:val="00945B57"/>
    <w:rsid w:val="00945D4C"/>
    <w:rsid w:val="00945E85"/>
    <w:rsid w:val="00947338"/>
    <w:rsid w:val="009557E4"/>
    <w:rsid w:val="00957592"/>
    <w:rsid w:val="0096258B"/>
    <w:rsid w:val="00964EFD"/>
    <w:rsid w:val="00965DE5"/>
    <w:rsid w:val="009709E8"/>
    <w:rsid w:val="009724D4"/>
    <w:rsid w:val="00973A17"/>
    <w:rsid w:val="00973AD1"/>
    <w:rsid w:val="00981C36"/>
    <w:rsid w:val="00982B76"/>
    <w:rsid w:val="009841E0"/>
    <w:rsid w:val="009843EC"/>
    <w:rsid w:val="009903AC"/>
    <w:rsid w:val="0099085B"/>
    <w:rsid w:val="00991A13"/>
    <w:rsid w:val="00992517"/>
    <w:rsid w:val="00993889"/>
    <w:rsid w:val="009947AC"/>
    <w:rsid w:val="00997489"/>
    <w:rsid w:val="009A0AE1"/>
    <w:rsid w:val="009A5072"/>
    <w:rsid w:val="009B086D"/>
    <w:rsid w:val="009B0C2C"/>
    <w:rsid w:val="009B24F3"/>
    <w:rsid w:val="009B2B4A"/>
    <w:rsid w:val="009B4609"/>
    <w:rsid w:val="009B7397"/>
    <w:rsid w:val="009C0177"/>
    <w:rsid w:val="009C20C1"/>
    <w:rsid w:val="009C4E50"/>
    <w:rsid w:val="009C504A"/>
    <w:rsid w:val="009C5404"/>
    <w:rsid w:val="009C6CC8"/>
    <w:rsid w:val="009D1E66"/>
    <w:rsid w:val="009D378A"/>
    <w:rsid w:val="009D6B3E"/>
    <w:rsid w:val="009E0AC9"/>
    <w:rsid w:val="009E4826"/>
    <w:rsid w:val="009E6BB0"/>
    <w:rsid w:val="009E6C74"/>
    <w:rsid w:val="009F46D2"/>
    <w:rsid w:val="009F48EE"/>
    <w:rsid w:val="009F79DE"/>
    <w:rsid w:val="009F7B81"/>
    <w:rsid w:val="00A00193"/>
    <w:rsid w:val="00A01FB2"/>
    <w:rsid w:val="00A0496B"/>
    <w:rsid w:val="00A11E85"/>
    <w:rsid w:val="00A12285"/>
    <w:rsid w:val="00A12428"/>
    <w:rsid w:val="00A1338B"/>
    <w:rsid w:val="00A13E66"/>
    <w:rsid w:val="00A17161"/>
    <w:rsid w:val="00A202D5"/>
    <w:rsid w:val="00A21601"/>
    <w:rsid w:val="00A21A07"/>
    <w:rsid w:val="00A264BD"/>
    <w:rsid w:val="00A265D0"/>
    <w:rsid w:val="00A31191"/>
    <w:rsid w:val="00A35971"/>
    <w:rsid w:val="00A35AF0"/>
    <w:rsid w:val="00A35BFD"/>
    <w:rsid w:val="00A43E00"/>
    <w:rsid w:val="00A45AA2"/>
    <w:rsid w:val="00A57283"/>
    <w:rsid w:val="00A577FB"/>
    <w:rsid w:val="00A609D9"/>
    <w:rsid w:val="00A63B61"/>
    <w:rsid w:val="00A652B5"/>
    <w:rsid w:val="00A672BC"/>
    <w:rsid w:val="00A67BEB"/>
    <w:rsid w:val="00A70428"/>
    <w:rsid w:val="00A70A0D"/>
    <w:rsid w:val="00A71F0B"/>
    <w:rsid w:val="00A753BD"/>
    <w:rsid w:val="00A8117C"/>
    <w:rsid w:val="00A83121"/>
    <w:rsid w:val="00A9510C"/>
    <w:rsid w:val="00A96532"/>
    <w:rsid w:val="00A97FF8"/>
    <w:rsid w:val="00AA3E7D"/>
    <w:rsid w:val="00AA4148"/>
    <w:rsid w:val="00AA51FC"/>
    <w:rsid w:val="00AB035D"/>
    <w:rsid w:val="00AB06BB"/>
    <w:rsid w:val="00AB16FA"/>
    <w:rsid w:val="00AB24F3"/>
    <w:rsid w:val="00AB475A"/>
    <w:rsid w:val="00AC011A"/>
    <w:rsid w:val="00AC2FF2"/>
    <w:rsid w:val="00AC5073"/>
    <w:rsid w:val="00AC63C1"/>
    <w:rsid w:val="00AD0B11"/>
    <w:rsid w:val="00AD143B"/>
    <w:rsid w:val="00AD34E2"/>
    <w:rsid w:val="00AD3E2B"/>
    <w:rsid w:val="00AD49C5"/>
    <w:rsid w:val="00AE12E9"/>
    <w:rsid w:val="00AE20E1"/>
    <w:rsid w:val="00AF2DEA"/>
    <w:rsid w:val="00B00032"/>
    <w:rsid w:val="00B02F49"/>
    <w:rsid w:val="00B03BDF"/>
    <w:rsid w:val="00B04B71"/>
    <w:rsid w:val="00B04F43"/>
    <w:rsid w:val="00B06738"/>
    <w:rsid w:val="00B0698C"/>
    <w:rsid w:val="00B06B83"/>
    <w:rsid w:val="00B13586"/>
    <w:rsid w:val="00B2457E"/>
    <w:rsid w:val="00B26868"/>
    <w:rsid w:val="00B2771F"/>
    <w:rsid w:val="00B32594"/>
    <w:rsid w:val="00B32D34"/>
    <w:rsid w:val="00B35935"/>
    <w:rsid w:val="00B35E24"/>
    <w:rsid w:val="00B44064"/>
    <w:rsid w:val="00B444A2"/>
    <w:rsid w:val="00B44528"/>
    <w:rsid w:val="00B47BCF"/>
    <w:rsid w:val="00B50D2E"/>
    <w:rsid w:val="00B50D77"/>
    <w:rsid w:val="00B57B21"/>
    <w:rsid w:val="00B61430"/>
    <w:rsid w:val="00B628A0"/>
    <w:rsid w:val="00B62AFB"/>
    <w:rsid w:val="00B65F71"/>
    <w:rsid w:val="00B7011E"/>
    <w:rsid w:val="00B75DB4"/>
    <w:rsid w:val="00B813B3"/>
    <w:rsid w:val="00B8151A"/>
    <w:rsid w:val="00B82DC4"/>
    <w:rsid w:val="00B838D6"/>
    <w:rsid w:val="00B83B00"/>
    <w:rsid w:val="00B84544"/>
    <w:rsid w:val="00B8471B"/>
    <w:rsid w:val="00B86365"/>
    <w:rsid w:val="00B87DA3"/>
    <w:rsid w:val="00B929B7"/>
    <w:rsid w:val="00B9432D"/>
    <w:rsid w:val="00BA0C4A"/>
    <w:rsid w:val="00BB3C6B"/>
    <w:rsid w:val="00BB4172"/>
    <w:rsid w:val="00BB4254"/>
    <w:rsid w:val="00BB4EA8"/>
    <w:rsid w:val="00BB5318"/>
    <w:rsid w:val="00BB5A6C"/>
    <w:rsid w:val="00BB76CC"/>
    <w:rsid w:val="00BC0D97"/>
    <w:rsid w:val="00BC6710"/>
    <w:rsid w:val="00BC7F99"/>
    <w:rsid w:val="00BD43F5"/>
    <w:rsid w:val="00BD521A"/>
    <w:rsid w:val="00BE0201"/>
    <w:rsid w:val="00BE2564"/>
    <w:rsid w:val="00BE40D4"/>
    <w:rsid w:val="00BE5A80"/>
    <w:rsid w:val="00BE7367"/>
    <w:rsid w:val="00BE7F07"/>
    <w:rsid w:val="00BF3277"/>
    <w:rsid w:val="00BF5BF4"/>
    <w:rsid w:val="00BF5E3E"/>
    <w:rsid w:val="00BF6C8C"/>
    <w:rsid w:val="00BF7F27"/>
    <w:rsid w:val="00C000C1"/>
    <w:rsid w:val="00C00364"/>
    <w:rsid w:val="00C022D2"/>
    <w:rsid w:val="00C03385"/>
    <w:rsid w:val="00C04A49"/>
    <w:rsid w:val="00C06519"/>
    <w:rsid w:val="00C067D1"/>
    <w:rsid w:val="00C13841"/>
    <w:rsid w:val="00C1580D"/>
    <w:rsid w:val="00C15AA9"/>
    <w:rsid w:val="00C15D3A"/>
    <w:rsid w:val="00C15EF6"/>
    <w:rsid w:val="00C16581"/>
    <w:rsid w:val="00C17735"/>
    <w:rsid w:val="00C21339"/>
    <w:rsid w:val="00C21733"/>
    <w:rsid w:val="00C2417C"/>
    <w:rsid w:val="00C25372"/>
    <w:rsid w:val="00C26066"/>
    <w:rsid w:val="00C30DA8"/>
    <w:rsid w:val="00C330F5"/>
    <w:rsid w:val="00C33A5F"/>
    <w:rsid w:val="00C3487F"/>
    <w:rsid w:val="00C368BC"/>
    <w:rsid w:val="00C37532"/>
    <w:rsid w:val="00C40CC5"/>
    <w:rsid w:val="00C44F1D"/>
    <w:rsid w:val="00C4536C"/>
    <w:rsid w:val="00C45F1F"/>
    <w:rsid w:val="00C46C73"/>
    <w:rsid w:val="00C47268"/>
    <w:rsid w:val="00C507C0"/>
    <w:rsid w:val="00C5094A"/>
    <w:rsid w:val="00C53DF0"/>
    <w:rsid w:val="00C556E2"/>
    <w:rsid w:val="00C575AB"/>
    <w:rsid w:val="00C60C0D"/>
    <w:rsid w:val="00C61AAD"/>
    <w:rsid w:val="00C62AC3"/>
    <w:rsid w:val="00C63232"/>
    <w:rsid w:val="00C70A16"/>
    <w:rsid w:val="00C72FDC"/>
    <w:rsid w:val="00C730A7"/>
    <w:rsid w:val="00C75CE6"/>
    <w:rsid w:val="00C76AB1"/>
    <w:rsid w:val="00C76D1A"/>
    <w:rsid w:val="00C777E0"/>
    <w:rsid w:val="00C77CA7"/>
    <w:rsid w:val="00C819B7"/>
    <w:rsid w:val="00C81BB1"/>
    <w:rsid w:val="00C82433"/>
    <w:rsid w:val="00C8362D"/>
    <w:rsid w:val="00C8416D"/>
    <w:rsid w:val="00C84303"/>
    <w:rsid w:val="00C86554"/>
    <w:rsid w:val="00C90553"/>
    <w:rsid w:val="00C91652"/>
    <w:rsid w:val="00C92515"/>
    <w:rsid w:val="00C92F49"/>
    <w:rsid w:val="00C93424"/>
    <w:rsid w:val="00C9754A"/>
    <w:rsid w:val="00CA4787"/>
    <w:rsid w:val="00CB1DE3"/>
    <w:rsid w:val="00CB3A78"/>
    <w:rsid w:val="00CB5B88"/>
    <w:rsid w:val="00CC4B46"/>
    <w:rsid w:val="00CC55D8"/>
    <w:rsid w:val="00CC5773"/>
    <w:rsid w:val="00CC5F01"/>
    <w:rsid w:val="00CC5FAE"/>
    <w:rsid w:val="00CC6485"/>
    <w:rsid w:val="00CC770F"/>
    <w:rsid w:val="00CD1BBE"/>
    <w:rsid w:val="00CD2DE9"/>
    <w:rsid w:val="00CD4BBD"/>
    <w:rsid w:val="00CD5A70"/>
    <w:rsid w:val="00CE0402"/>
    <w:rsid w:val="00CE0763"/>
    <w:rsid w:val="00CE0ED9"/>
    <w:rsid w:val="00CE2576"/>
    <w:rsid w:val="00CF0D81"/>
    <w:rsid w:val="00CF23A4"/>
    <w:rsid w:val="00CF2852"/>
    <w:rsid w:val="00CF28A8"/>
    <w:rsid w:val="00CF2CEE"/>
    <w:rsid w:val="00CF6D7C"/>
    <w:rsid w:val="00D00AF4"/>
    <w:rsid w:val="00D05C0B"/>
    <w:rsid w:val="00D063B2"/>
    <w:rsid w:val="00D10219"/>
    <w:rsid w:val="00D122F3"/>
    <w:rsid w:val="00D16238"/>
    <w:rsid w:val="00D21D02"/>
    <w:rsid w:val="00D22131"/>
    <w:rsid w:val="00D26D1A"/>
    <w:rsid w:val="00D36E1E"/>
    <w:rsid w:val="00D3709B"/>
    <w:rsid w:val="00D41D50"/>
    <w:rsid w:val="00D42AA1"/>
    <w:rsid w:val="00D453FF"/>
    <w:rsid w:val="00D52210"/>
    <w:rsid w:val="00D5324C"/>
    <w:rsid w:val="00D56F8D"/>
    <w:rsid w:val="00D57CB8"/>
    <w:rsid w:val="00D60AA4"/>
    <w:rsid w:val="00D61789"/>
    <w:rsid w:val="00D65C2B"/>
    <w:rsid w:val="00D66846"/>
    <w:rsid w:val="00D71686"/>
    <w:rsid w:val="00D73E85"/>
    <w:rsid w:val="00D743E1"/>
    <w:rsid w:val="00D77004"/>
    <w:rsid w:val="00D77821"/>
    <w:rsid w:val="00D82126"/>
    <w:rsid w:val="00D855AD"/>
    <w:rsid w:val="00D85CE4"/>
    <w:rsid w:val="00D860EB"/>
    <w:rsid w:val="00D8765A"/>
    <w:rsid w:val="00D90816"/>
    <w:rsid w:val="00D92B00"/>
    <w:rsid w:val="00D94CB2"/>
    <w:rsid w:val="00D97640"/>
    <w:rsid w:val="00DA2E54"/>
    <w:rsid w:val="00DA694A"/>
    <w:rsid w:val="00DB1321"/>
    <w:rsid w:val="00DB1A57"/>
    <w:rsid w:val="00DB310C"/>
    <w:rsid w:val="00DB7394"/>
    <w:rsid w:val="00DC168F"/>
    <w:rsid w:val="00DC24A2"/>
    <w:rsid w:val="00DC3EA2"/>
    <w:rsid w:val="00DD23D2"/>
    <w:rsid w:val="00DD23FC"/>
    <w:rsid w:val="00DD326E"/>
    <w:rsid w:val="00DD4A42"/>
    <w:rsid w:val="00DD4EBB"/>
    <w:rsid w:val="00DD6CD5"/>
    <w:rsid w:val="00DE2C70"/>
    <w:rsid w:val="00DE2CAC"/>
    <w:rsid w:val="00DE41F7"/>
    <w:rsid w:val="00DE48BB"/>
    <w:rsid w:val="00DE6FB3"/>
    <w:rsid w:val="00DF05FB"/>
    <w:rsid w:val="00DF0FEE"/>
    <w:rsid w:val="00DF5E67"/>
    <w:rsid w:val="00E00488"/>
    <w:rsid w:val="00E004F0"/>
    <w:rsid w:val="00E050C0"/>
    <w:rsid w:val="00E05871"/>
    <w:rsid w:val="00E05A35"/>
    <w:rsid w:val="00E07992"/>
    <w:rsid w:val="00E2119D"/>
    <w:rsid w:val="00E27626"/>
    <w:rsid w:val="00E31761"/>
    <w:rsid w:val="00E31C0C"/>
    <w:rsid w:val="00E40F0C"/>
    <w:rsid w:val="00E45510"/>
    <w:rsid w:val="00E5152D"/>
    <w:rsid w:val="00E52F58"/>
    <w:rsid w:val="00E56956"/>
    <w:rsid w:val="00E56EDE"/>
    <w:rsid w:val="00E60E8A"/>
    <w:rsid w:val="00E7462F"/>
    <w:rsid w:val="00E7590A"/>
    <w:rsid w:val="00E767FD"/>
    <w:rsid w:val="00E77490"/>
    <w:rsid w:val="00E77935"/>
    <w:rsid w:val="00E81525"/>
    <w:rsid w:val="00E81789"/>
    <w:rsid w:val="00E82493"/>
    <w:rsid w:val="00E82597"/>
    <w:rsid w:val="00E836B2"/>
    <w:rsid w:val="00E85D14"/>
    <w:rsid w:val="00E911B1"/>
    <w:rsid w:val="00E92406"/>
    <w:rsid w:val="00E96B86"/>
    <w:rsid w:val="00E974DE"/>
    <w:rsid w:val="00EA4BE3"/>
    <w:rsid w:val="00EA5C91"/>
    <w:rsid w:val="00EA6C8B"/>
    <w:rsid w:val="00EB1ACD"/>
    <w:rsid w:val="00EB3D30"/>
    <w:rsid w:val="00EB4E35"/>
    <w:rsid w:val="00EB75C9"/>
    <w:rsid w:val="00EC2184"/>
    <w:rsid w:val="00EC24DD"/>
    <w:rsid w:val="00EC2BF6"/>
    <w:rsid w:val="00EC3539"/>
    <w:rsid w:val="00EC6091"/>
    <w:rsid w:val="00EC65E8"/>
    <w:rsid w:val="00EC669F"/>
    <w:rsid w:val="00EC6E95"/>
    <w:rsid w:val="00ED08D9"/>
    <w:rsid w:val="00ED519A"/>
    <w:rsid w:val="00EE702A"/>
    <w:rsid w:val="00EF08C6"/>
    <w:rsid w:val="00EF0989"/>
    <w:rsid w:val="00EF1A9C"/>
    <w:rsid w:val="00EF592E"/>
    <w:rsid w:val="00EF6604"/>
    <w:rsid w:val="00EF7F5B"/>
    <w:rsid w:val="00F002E1"/>
    <w:rsid w:val="00F005EF"/>
    <w:rsid w:val="00F02AFC"/>
    <w:rsid w:val="00F04E04"/>
    <w:rsid w:val="00F1063C"/>
    <w:rsid w:val="00F113CB"/>
    <w:rsid w:val="00F1249C"/>
    <w:rsid w:val="00F12DCC"/>
    <w:rsid w:val="00F142FC"/>
    <w:rsid w:val="00F17BC7"/>
    <w:rsid w:val="00F231E6"/>
    <w:rsid w:val="00F23B3F"/>
    <w:rsid w:val="00F24FB3"/>
    <w:rsid w:val="00F26E40"/>
    <w:rsid w:val="00F317EA"/>
    <w:rsid w:val="00F31BFE"/>
    <w:rsid w:val="00F33D3E"/>
    <w:rsid w:val="00F36A3F"/>
    <w:rsid w:val="00F37EFF"/>
    <w:rsid w:val="00F402FF"/>
    <w:rsid w:val="00F42FE3"/>
    <w:rsid w:val="00F44825"/>
    <w:rsid w:val="00F45355"/>
    <w:rsid w:val="00F5113F"/>
    <w:rsid w:val="00F5456B"/>
    <w:rsid w:val="00F55F63"/>
    <w:rsid w:val="00F56307"/>
    <w:rsid w:val="00F57571"/>
    <w:rsid w:val="00F57C21"/>
    <w:rsid w:val="00F57EFD"/>
    <w:rsid w:val="00F6060B"/>
    <w:rsid w:val="00F606C0"/>
    <w:rsid w:val="00F61B05"/>
    <w:rsid w:val="00F6284B"/>
    <w:rsid w:val="00F62B79"/>
    <w:rsid w:val="00F638BB"/>
    <w:rsid w:val="00F67120"/>
    <w:rsid w:val="00F67663"/>
    <w:rsid w:val="00F70CE9"/>
    <w:rsid w:val="00F719B2"/>
    <w:rsid w:val="00F74DB9"/>
    <w:rsid w:val="00F755B7"/>
    <w:rsid w:val="00F761B4"/>
    <w:rsid w:val="00F763B2"/>
    <w:rsid w:val="00F82972"/>
    <w:rsid w:val="00F864B6"/>
    <w:rsid w:val="00F912F1"/>
    <w:rsid w:val="00F94639"/>
    <w:rsid w:val="00FA1049"/>
    <w:rsid w:val="00FA1DC4"/>
    <w:rsid w:val="00FA23EB"/>
    <w:rsid w:val="00FA63A9"/>
    <w:rsid w:val="00FB6AF7"/>
    <w:rsid w:val="00FB7561"/>
    <w:rsid w:val="00FB7851"/>
    <w:rsid w:val="00FC1F10"/>
    <w:rsid w:val="00FC2A4B"/>
    <w:rsid w:val="00FC4B5D"/>
    <w:rsid w:val="00FC61B3"/>
    <w:rsid w:val="00FD4578"/>
    <w:rsid w:val="00FD7AF6"/>
    <w:rsid w:val="00FE483E"/>
    <w:rsid w:val="00FE4C16"/>
    <w:rsid w:val="00FE6A68"/>
    <w:rsid w:val="00FE73DA"/>
    <w:rsid w:val="00FF110D"/>
    <w:rsid w:val="00FF2EB7"/>
    <w:rsid w:val="00FF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1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uiPriority w:val="99"/>
    <w:unhideWhenUsed/>
    <w:rsid w:val="00B44528"/>
    <w:rPr>
      <w:rFonts w:ascii="Segoe UI" w:hAnsi="Segoe UI"/>
      <w:color w:val="7FBA00"/>
      <w:sz w:val="20"/>
      <w:u w:val="none"/>
    </w:rPr>
  </w:style>
  <w:style w:type="paragraph" w:styleId="NoSpacing">
    <w:name w:val="No Spacing"/>
    <w:uiPriority w:val="1"/>
    <w:qFormat/>
    <w:rsid w:val="00C730A7"/>
    <w:rPr>
      <w:sz w:val="22"/>
      <w:szCs w:val="22"/>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noProof/>
      <w:sz w:val="8"/>
      <w:szCs w:val="8"/>
    </w:rPr>
  </w:style>
  <w:style w:type="paragraph" w:styleId="NormalWeb">
    <w:name w:val="Normal (Web)"/>
    <w:basedOn w:val="Normal"/>
    <w:link w:val="NormalWebChar"/>
    <w:rsid w:val="0010716C"/>
    <w:pPr>
      <w:spacing w:before="100" w:beforeAutospacing="1" w:after="100" w:afterAutospacing="1" w:line="240" w:lineRule="auto"/>
      <w:jc w:val="both"/>
    </w:pPr>
    <w:rPr>
      <w:rFonts w:ascii="Arial" w:eastAsia="Times New Roman" w:hAnsi="Arial"/>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B44528"/>
    <w:rPr>
      <w:rFonts w:ascii="Segoe UI" w:hAnsi="Segoe UI"/>
      <w:color w:val="7FBA00"/>
      <w:sz w:val="20"/>
      <w:u w:val="none"/>
    </w:rPr>
  </w:style>
  <w:style w:type="table" w:styleId="LightGrid">
    <w:name w:val="Light Grid"/>
    <w:basedOn w:val="TableNormal"/>
    <w:uiPriority w:val="62"/>
    <w:rsid w:val="00812D7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8A22EC"/>
    <w:rPr>
      <w:sz w:val="16"/>
      <w:szCs w:val="16"/>
    </w:rPr>
  </w:style>
  <w:style w:type="paragraph" w:styleId="CommentText">
    <w:name w:val="annotation text"/>
    <w:basedOn w:val="Normal"/>
    <w:link w:val="CommentTextChar"/>
    <w:uiPriority w:val="99"/>
    <w:semiHidden/>
    <w:unhideWhenUsed/>
    <w:rsid w:val="008A22EC"/>
    <w:pPr>
      <w:spacing w:line="240" w:lineRule="auto"/>
    </w:pPr>
    <w:rPr>
      <w:sz w:val="20"/>
      <w:szCs w:val="20"/>
    </w:rPr>
  </w:style>
  <w:style w:type="character" w:customStyle="1" w:styleId="CommentTextChar">
    <w:name w:val="Comment Text Char"/>
    <w:link w:val="CommentText"/>
    <w:uiPriority w:val="99"/>
    <w:semiHidden/>
    <w:rsid w:val="008A22EC"/>
    <w:rPr>
      <w:sz w:val="20"/>
      <w:szCs w:val="20"/>
    </w:rPr>
  </w:style>
  <w:style w:type="paragraph" w:styleId="CommentSubject">
    <w:name w:val="annotation subject"/>
    <w:basedOn w:val="CommentText"/>
    <w:next w:val="CommentText"/>
    <w:link w:val="CommentSubjectChar"/>
    <w:uiPriority w:val="99"/>
    <w:semiHidden/>
    <w:unhideWhenUsed/>
    <w:rsid w:val="00270E33"/>
    <w:rPr>
      <w:b/>
      <w:bCs/>
    </w:rPr>
  </w:style>
  <w:style w:type="character" w:customStyle="1" w:styleId="CommentSubjectChar">
    <w:name w:val="Comment Subject Char"/>
    <w:link w:val="CommentSubject"/>
    <w:uiPriority w:val="99"/>
    <w:semiHidden/>
    <w:rsid w:val="00270E33"/>
    <w:rPr>
      <w:b/>
      <w:bCs/>
      <w:sz w:val="20"/>
      <w:szCs w:val="20"/>
    </w:rPr>
  </w:style>
  <w:style w:type="character" w:customStyle="1" w:styleId="NormalWebChar">
    <w:name w:val="Normal (Web) Char"/>
    <w:link w:val="NormalWeb"/>
    <w:rsid w:val="009C20C1"/>
    <w:rPr>
      <w:rFonts w:ascii="Arial" w:eastAsia="Times New Roman" w:hAnsi="Arial" w:cs="Times New Roman"/>
      <w:sz w:val="24"/>
      <w:szCs w:val="24"/>
    </w:rPr>
  </w:style>
  <w:style w:type="paragraph" w:customStyle="1" w:styleId="P1">
    <w:name w:val="P1"/>
    <w:rsid w:val="00A97FF8"/>
    <w:pPr>
      <w:spacing w:line="240" w:lineRule="exact"/>
    </w:pPr>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685">
      <w:bodyDiv w:val="1"/>
      <w:marLeft w:val="0"/>
      <w:marRight w:val="0"/>
      <w:marTop w:val="0"/>
      <w:marBottom w:val="0"/>
      <w:divBdr>
        <w:top w:val="none" w:sz="0" w:space="0" w:color="auto"/>
        <w:left w:val="none" w:sz="0" w:space="0" w:color="auto"/>
        <w:bottom w:val="none" w:sz="0" w:space="0" w:color="auto"/>
        <w:right w:val="none" w:sz="0" w:space="0" w:color="auto"/>
      </w:divBdr>
    </w:div>
    <w:div w:id="20667543">
      <w:bodyDiv w:val="1"/>
      <w:marLeft w:val="0"/>
      <w:marRight w:val="0"/>
      <w:marTop w:val="0"/>
      <w:marBottom w:val="0"/>
      <w:divBdr>
        <w:top w:val="none" w:sz="0" w:space="0" w:color="auto"/>
        <w:left w:val="none" w:sz="0" w:space="0" w:color="auto"/>
        <w:bottom w:val="none" w:sz="0" w:space="0" w:color="auto"/>
        <w:right w:val="none" w:sz="0" w:space="0" w:color="auto"/>
      </w:divBdr>
    </w:div>
    <w:div w:id="40598221">
      <w:bodyDiv w:val="1"/>
      <w:marLeft w:val="0"/>
      <w:marRight w:val="0"/>
      <w:marTop w:val="0"/>
      <w:marBottom w:val="0"/>
      <w:divBdr>
        <w:top w:val="none" w:sz="0" w:space="0" w:color="auto"/>
        <w:left w:val="none" w:sz="0" w:space="0" w:color="auto"/>
        <w:bottom w:val="none" w:sz="0" w:space="0" w:color="auto"/>
        <w:right w:val="none" w:sz="0" w:space="0" w:color="auto"/>
      </w:divBdr>
    </w:div>
    <w:div w:id="45960241">
      <w:bodyDiv w:val="1"/>
      <w:marLeft w:val="0"/>
      <w:marRight w:val="0"/>
      <w:marTop w:val="0"/>
      <w:marBottom w:val="0"/>
      <w:divBdr>
        <w:top w:val="none" w:sz="0" w:space="0" w:color="auto"/>
        <w:left w:val="none" w:sz="0" w:space="0" w:color="auto"/>
        <w:bottom w:val="none" w:sz="0" w:space="0" w:color="auto"/>
        <w:right w:val="none" w:sz="0" w:space="0" w:color="auto"/>
      </w:divBdr>
    </w:div>
    <w:div w:id="85082912">
      <w:bodyDiv w:val="1"/>
      <w:marLeft w:val="0"/>
      <w:marRight w:val="0"/>
      <w:marTop w:val="0"/>
      <w:marBottom w:val="0"/>
      <w:divBdr>
        <w:top w:val="none" w:sz="0" w:space="0" w:color="auto"/>
        <w:left w:val="none" w:sz="0" w:space="0" w:color="auto"/>
        <w:bottom w:val="none" w:sz="0" w:space="0" w:color="auto"/>
        <w:right w:val="none" w:sz="0" w:space="0" w:color="auto"/>
      </w:divBdr>
    </w:div>
    <w:div w:id="133497497">
      <w:bodyDiv w:val="1"/>
      <w:marLeft w:val="0"/>
      <w:marRight w:val="0"/>
      <w:marTop w:val="0"/>
      <w:marBottom w:val="0"/>
      <w:divBdr>
        <w:top w:val="none" w:sz="0" w:space="0" w:color="auto"/>
        <w:left w:val="none" w:sz="0" w:space="0" w:color="auto"/>
        <w:bottom w:val="none" w:sz="0" w:space="0" w:color="auto"/>
        <w:right w:val="none" w:sz="0" w:space="0" w:color="auto"/>
      </w:divBdr>
    </w:div>
    <w:div w:id="137037755">
      <w:bodyDiv w:val="1"/>
      <w:marLeft w:val="0"/>
      <w:marRight w:val="0"/>
      <w:marTop w:val="0"/>
      <w:marBottom w:val="0"/>
      <w:divBdr>
        <w:top w:val="none" w:sz="0" w:space="0" w:color="auto"/>
        <w:left w:val="none" w:sz="0" w:space="0" w:color="auto"/>
        <w:bottom w:val="none" w:sz="0" w:space="0" w:color="auto"/>
        <w:right w:val="none" w:sz="0" w:space="0" w:color="auto"/>
      </w:divBdr>
    </w:div>
    <w:div w:id="157884577">
      <w:bodyDiv w:val="1"/>
      <w:marLeft w:val="0"/>
      <w:marRight w:val="0"/>
      <w:marTop w:val="0"/>
      <w:marBottom w:val="0"/>
      <w:divBdr>
        <w:top w:val="none" w:sz="0" w:space="0" w:color="auto"/>
        <w:left w:val="none" w:sz="0" w:space="0" w:color="auto"/>
        <w:bottom w:val="none" w:sz="0" w:space="0" w:color="auto"/>
        <w:right w:val="none" w:sz="0" w:space="0" w:color="auto"/>
      </w:divBdr>
    </w:div>
    <w:div w:id="162860752">
      <w:bodyDiv w:val="1"/>
      <w:marLeft w:val="0"/>
      <w:marRight w:val="0"/>
      <w:marTop w:val="0"/>
      <w:marBottom w:val="0"/>
      <w:divBdr>
        <w:top w:val="none" w:sz="0" w:space="0" w:color="auto"/>
        <w:left w:val="none" w:sz="0" w:space="0" w:color="auto"/>
        <w:bottom w:val="none" w:sz="0" w:space="0" w:color="auto"/>
        <w:right w:val="none" w:sz="0" w:space="0" w:color="auto"/>
      </w:divBdr>
    </w:div>
    <w:div w:id="193159047">
      <w:bodyDiv w:val="1"/>
      <w:marLeft w:val="0"/>
      <w:marRight w:val="0"/>
      <w:marTop w:val="0"/>
      <w:marBottom w:val="0"/>
      <w:divBdr>
        <w:top w:val="none" w:sz="0" w:space="0" w:color="auto"/>
        <w:left w:val="none" w:sz="0" w:space="0" w:color="auto"/>
        <w:bottom w:val="none" w:sz="0" w:space="0" w:color="auto"/>
        <w:right w:val="none" w:sz="0" w:space="0" w:color="auto"/>
      </w:divBdr>
    </w:div>
    <w:div w:id="206644714">
      <w:bodyDiv w:val="1"/>
      <w:marLeft w:val="0"/>
      <w:marRight w:val="0"/>
      <w:marTop w:val="0"/>
      <w:marBottom w:val="0"/>
      <w:divBdr>
        <w:top w:val="none" w:sz="0" w:space="0" w:color="auto"/>
        <w:left w:val="none" w:sz="0" w:space="0" w:color="auto"/>
        <w:bottom w:val="none" w:sz="0" w:space="0" w:color="auto"/>
        <w:right w:val="none" w:sz="0" w:space="0" w:color="auto"/>
      </w:divBdr>
    </w:div>
    <w:div w:id="210655830">
      <w:bodyDiv w:val="1"/>
      <w:marLeft w:val="0"/>
      <w:marRight w:val="0"/>
      <w:marTop w:val="0"/>
      <w:marBottom w:val="0"/>
      <w:divBdr>
        <w:top w:val="none" w:sz="0" w:space="0" w:color="auto"/>
        <w:left w:val="none" w:sz="0" w:space="0" w:color="auto"/>
        <w:bottom w:val="none" w:sz="0" w:space="0" w:color="auto"/>
        <w:right w:val="none" w:sz="0" w:space="0" w:color="auto"/>
      </w:divBdr>
    </w:div>
    <w:div w:id="223832853">
      <w:bodyDiv w:val="1"/>
      <w:marLeft w:val="0"/>
      <w:marRight w:val="0"/>
      <w:marTop w:val="0"/>
      <w:marBottom w:val="0"/>
      <w:divBdr>
        <w:top w:val="none" w:sz="0" w:space="0" w:color="auto"/>
        <w:left w:val="none" w:sz="0" w:space="0" w:color="auto"/>
        <w:bottom w:val="none" w:sz="0" w:space="0" w:color="auto"/>
        <w:right w:val="none" w:sz="0" w:space="0" w:color="auto"/>
      </w:divBdr>
    </w:div>
    <w:div w:id="252321991">
      <w:bodyDiv w:val="1"/>
      <w:marLeft w:val="0"/>
      <w:marRight w:val="0"/>
      <w:marTop w:val="0"/>
      <w:marBottom w:val="0"/>
      <w:divBdr>
        <w:top w:val="none" w:sz="0" w:space="0" w:color="auto"/>
        <w:left w:val="none" w:sz="0" w:space="0" w:color="auto"/>
        <w:bottom w:val="none" w:sz="0" w:space="0" w:color="auto"/>
        <w:right w:val="none" w:sz="0" w:space="0" w:color="auto"/>
      </w:divBdr>
    </w:div>
    <w:div w:id="253441192">
      <w:bodyDiv w:val="1"/>
      <w:marLeft w:val="0"/>
      <w:marRight w:val="0"/>
      <w:marTop w:val="0"/>
      <w:marBottom w:val="0"/>
      <w:divBdr>
        <w:top w:val="none" w:sz="0" w:space="0" w:color="auto"/>
        <w:left w:val="none" w:sz="0" w:space="0" w:color="auto"/>
        <w:bottom w:val="none" w:sz="0" w:space="0" w:color="auto"/>
        <w:right w:val="none" w:sz="0" w:space="0" w:color="auto"/>
      </w:divBdr>
    </w:div>
    <w:div w:id="260070466">
      <w:bodyDiv w:val="1"/>
      <w:marLeft w:val="0"/>
      <w:marRight w:val="0"/>
      <w:marTop w:val="0"/>
      <w:marBottom w:val="0"/>
      <w:divBdr>
        <w:top w:val="none" w:sz="0" w:space="0" w:color="auto"/>
        <w:left w:val="none" w:sz="0" w:space="0" w:color="auto"/>
        <w:bottom w:val="none" w:sz="0" w:space="0" w:color="auto"/>
        <w:right w:val="none" w:sz="0" w:space="0" w:color="auto"/>
      </w:divBdr>
    </w:div>
    <w:div w:id="273679387">
      <w:bodyDiv w:val="1"/>
      <w:marLeft w:val="0"/>
      <w:marRight w:val="0"/>
      <w:marTop w:val="0"/>
      <w:marBottom w:val="0"/>
      <w:divBdr>
        <w:top w:val="none" w:sz="0" w:space="0" w:color="auto"/>
        <w:left w:val="none" w:sz="0" w:space="0" w:color="auto"/>
        <w:bottom w:val="none" w:sz="0" w:space="0" w:color="auto"/>
        <w:right w:val="none" w:sz="0" w:space="0" w:color="auto"/>
      </w:divBdr>
    </w:div>
    <w:div w:id="277877910">
      <w:bodyDiv w:val="1"/>
      <w:marLeft w:val="0"/>
      <w:marRight w:val="0"/>
      <w:marTop w:val="0"/>
      <w:marBottom w:val="0"/>
      <w:divBdr>
        <w:top w:val="none" w:sz="0" w:space="0" w:color="auto"/>
        <w:left w:val="none" w:sz="0" w:space="0" w:color="auto"/>
        <w:bottom w:val="none" w:sz="0" w:space="0" w:color="auto"/>
        <w:right w:val="none" w:sz="0" w:space="0" w:color="auto"/>
      </w:divBdr>
    </w:div>
    <w:div w:id="303850702">
      <w:bodyDiv w:val="1"/>
      <w:marLeft w:val="0"/>
      <w:marRight w:val="0"/>
      <w:marTop w:val="0"/>
      <w:marBottom w:val="0"/>
      <w:divBdr>
        <w:top w:val="none" w:sz="0" w:space="0" w:color="auto"/>
        <w:left w:val="none" w:sz="0" w:space="0" w:color="auto"/>
        <w:bottom w:val="none" w:sz="0" w:space="0" w:color="auto"/>
        <w:right w:val="none" w:sz="0" w:space="0" w:color="auto"/>
      </w:divBdr>
    </w:div>
    <w:div w:id="345449486">
      <w:bodyDiv w:val="1"/>
      <w:marLeft w:val="0"/>
      <w:marRight w:val="0"/>
      <w:marTop w:val="0"/>
      <w:marBottom w:val="0"/>
      <w:divBdr>
        <w:top w:val="none" w:sz="0" w:space="0" w:color="auto"/>
        <w:left w:val="none" w:sz="0" w:space="0" w:color="auto"/>
        <w:bottom w:val="none" w:sz="0" w:space="0" w:color="auto"/>
        <w:right w:val="none" w:sz="0" w:space="0" w:color="auto"/>
      </w:divBdr>
    </w:div>
    <w:div w:id="354623684">
      <w:bodyDiv w:val="1"/>
      <w:marLeft w:val="0"/>
      <w:marRight w:val="0"/>
      <w:marTop w:val="0"/>
      <w:marBottom w:val="0"/>
      <w:divBdr>
        <w:top w:val="none" w:sz="0" w:space="0" w:color="auto"/>
        <w:left w:val="none" w:sz="0" w:space="0" w:color="auto"/>
        <w:bottom w:val="none" w:sz="0" w:space="0" w:color="auto"/>
        <w:right w:val="none" w:sz="0" w:space="0" w:color="auto"/>
      </w:divBdr>
    </w:div>
    <w:div w:id="382100881">
      <w:bodyDiv w:val="1"/>
      <w:marLeft w:val="0"/>
      <w:marRight w:val="0"/>
      <w:marTop w:val="0"/>
      <w:marBottom w:val="0"/>
      <w:divBdr>
        <w:top w:val="none" w:sz="0" w:space="0" w:color="auto"/>
        <w:left w:val="none" w:sz="0" w:space="0" w:color="auto"/>
        <w:bottom w:val="none" w:sz="0" w:space="0" w:color="auto"/>
        <w:right w:val="none" w:sz="0" w:space="0" w:color="auto"/>
      </w:divBdr>
    </w:div>
    <w:div w:id="387532204">
      <w:bodyDiv w:val="1"/>
      <w:marLeft w:val="0"/>
      <w:marRight w:val="0"/>
      <w:marTop w:val="0"/>
      <w:marBottom w:val="0"/>
      <w:divBdr>
        <w:top w:val="none" w:sz="0" w:space="0" w:color="auto"/>
        <w:left w:val="none" w:sz="0" w:space="0" w:color="auto"/>
        <w:bottom w:val="none" w:sz="0" w:space="0" w:color="auto"/>
        <w:right w:val="none" w:sz="0" w:space="0" w:color="auto"/>
      </w:divBdr>
    </w:div>
    <w:div w:id="437913509">
      <w:bodyDiv w:val="1"/>
      <w:marLeft w:val="0"/>
      <w:marRight w:val="0"/>
      <w:marTop w:val="0"/>
      <w:marBottom w:val="0"/>
      <w:divBdr>
        <w:top w:val="none" w:sz="0" w:space="0" w:color="auto"/>
        <w:left w:val="none" w:sz="0" w:space="0" w:color="auto"/>
        <w:bottom w:val="none" w:sz="0" w:space="0" w:color="auto"/>
        <w:right w:val="none" w:sz="0" w:space="0" w:color="auto"/>
      </w:divBdr>
    </w:div>
    <w:div w:id="447237460">
      <w:bodyDiv w:val="1"/>
      <w:marLeft w:val="0"/>
      <w:marRight w:val="0"/>
      <w:marTop w:val="0"/>
      <w:marBottom w:val="0"/>
      <w:divBdr>
        <w:top w:val="none" w:sz="0" w:space="0" w:color="auto"/>
        <w:left w:val="none" w:sz="0" w:space="0" w:color="auto"/>
        <w:bottom w:val="none" w:sz="0" w:space="0" w:color="auto"/>
        <w:right w:val="none" w:sz="0" w:space="0" w:color="auto"/>
      </w:divBdr>
    </w:div>
    <w:div w:id="471364447">
      <w:bodyDiv w:val="1"/>
      <w:marLeft w:val="0"/>
      <w:marRight w:val="0"/>
      <w:marTop w:val="0"/>
      <w:marBottom w:val="0"/>
      <w:divBdr>
        <w:top w:val="none" w:sz="0" w:space="0" w:color="auto"/>
        <w:left w:val="none" w:sz="0" w:space="0" w:color="auto"/>
        <w:bottom w:val="none" w:sz="0" w:space="0" w:color="auto"/>
        <w:right w:val="none" w:sz="0" w:space="0" w:color="auto"/>
      </w:divBdr>
    </w:div>
    <w:div w:id="497700046">
      <w:bodyDiv w:val="1"/>
      <w:marLeft w:val="0"/>
      <w:marRight w:val="0"/>
      <w:marTop w:val="0"/>
      <w:marBottom w:val="0"/>
      <w:divBdr>
        <w:top w:val="none" w:sz="0" w:space="0" w:color="auto"/>
        <w:left w:val="none" w:sz="0" w:space="0" w:color="auto"/>
        <w:bottom w:val="none" w:sz="0" w:space="0" w:color="auto"/>
        <w:right w:val="none" w:sz="0" w:space="0" w:color="auto"/>
      </w:divBdr>
    </w:div>
    <w:div w:id="502470788">
      <w:bodyDiv w:val="1"/>
      <w:marLeft w:val="0"/>
      <w:marRight w:val="0"/>
      <w:marTop w:val="0"/>
      <w:marBottom w:val="0"/>
      <w:divBdr>
        <w:top w:val="none" w:sz="0" w:space="0" w:color="auto"/>
        <w:left w:val="none" w:sz="0" w:space="0" w:color="auto"/>
        <w:bottom w:val="none" w:sz="0" w:space="0" w:color="auto"/>
        <w:right w:val="none" w:sz="0" w:space="0" w:color="auto"/>
      </w:divBdr>
    </w:div>
    <w:div w:id="541552357">
      <w:bodyDiv w:val="1"/>
      <w:marLeft w:val="0"/>
      <w:marRight w:val="0"/>
      <w:marTop w:val="0"/>
      <w:marBottom w:val="0"/>
      <w:divBdr>
        <w:top w:val="none" w:sz="0" w:space="0" w:color="auto"/>
        <w:left w:val="none" w:sz="0" w:space="0" w:color="auto"/>
        <w:bottom w:val="none" w:sz="0" w:space="0" w:color="auto"/>
        <w:right w:val="none" w:sz="0" w:space="0" w:color="auto"/>
      </w:divBdr>
    </w:div>
    <w:div w:id="570509049">
      <w:bodyDiv w:val="1"/>
      <w:marLeft w:val="0"/>
      <w:marRight w:val="0"/>
      <w:marTop w:val="0"/>
      <w:marBottom w:val="0"/>
      <w:divBdr>
        <w:top w:val="none" w:sz="0" w:space="0" w:color="auto"/>
        <w:left w:val="none" w:sz="0" w:space="0" w:color="auto"/>
        <w:bottom w:val="none" w:sz="0" w:space="0" w:color="auto"/>
        <w:right w:val="none" w:sz="0" w:space="0" w:color="auto"/>
      </w:divBdr>
    </w:div>
    <w:div w:id="645627753">
      <w:bodyDiv w:val="1"/>
      <w:marLeft w:val="0"/>
      <w:marRight w:val="0"/>
      <w:marTop w:val="0"/>
      <w:marBottom w:val="0"/>
      <w:divBdr>
        <w:top w:val="none" w:sz="0" w:space="0" w:color="auto"/>
        <w:left w:val="none" w:sz="0" w:space="0" w:color="auto"/>
        <w:bottom w:val="none" w:sz="0" w:space="0" w:color="auto"/>
        <w:right w:val="none" w:sz="0" w:space="0" w:color="auto"/>
      </w:divBdr>
    </w:div>
    <w:div w:id="681591271">
      <w:bodyDiv w:val="1"/>
      <w:marLeft w:val="0"/>
      <w:marRight w:val="0"/>
      <w:marTop w:val="0"/>
      <w:marBottom w:val="0"/>
      <w:divBdr>
        <w:top w:val="none" w:sz="0" w:space="0" w:color="auto"/>
        <w:left w:val="none" w:sz="0" w:space="0" w:color="auto"/>
        <w:bottom w:val="none" w:sz="0" w:space="0" w:color="auto"/>
        <w:right w:val="none" w:sz="0" w:space="0" w:color="auto"/>
      </w:divBdr>
    </w:div>
    <w:div w:id="715741430">
      <w:bodyDiv w:val="1"/>
      <w:marLeft w:val="0"/>
      <w:marRight w:val="0"/>
      <w:marTop w:val="0"/>
      <w:marBottom w:val="0"/>
      <w:divBdr>
        <w:top w:val="none" w:sz="0" w:space="0" w:color="auto"/>
        <w:left w:val="none" w:sz="0" w:space="0" w:color="auto"/>
        <w:bottom w:val="none" w:sz="0" w:space="0" w:color="auto"/>
        <w:right w:val="none" w:sz="0" w:space="0" w:color="auto"/>
      </w:divBdr>
    </w:div>
    <w:div w:id="726799694">
      <w:bodyDiv w:val="1"/>
      <w:marLeft w:val="0"/>
      <w:marRight w:val="0"/>
      <w:marTop w:val="0"/>
      <w:marBottom w:val="0"/>
      <w:divBdr>
        <w:top w:val="none" w:sz="0" w:space="0" w:color="auto"/>
        <w:left w:val="none" w:sz="0" w:space="0" w:color="auto"/>
        <w:bottom w:val="none" w:sz="0" w:space="0" w:color="auto"/>
        <w:right w:val="none" w:sz="0" w:space="0" w:color="auto"/>
      </w:divBdr>
    </w:div>
    <w:div w:id="796680256">
      <w:bodyDiv w:val="1"/>
      <w:marLeft w:val="0"/>
      <w:marRight w:val="0"/>
      <w:marTop w:val="0"/>
      <w:marBottom w:val="0"/>
      <w:divBdr>
        <w:top w:val="none" w:sz="0" w:space="0" w:color="auto"/>
        <w:left w:val="none" w:sz="0" w:space="0" w:color="auto"/>
        <w:bottom w:val="none" w:sz="0" w:space="0" w:color="auto"/>
        <w:right w:val="none" w:sz="0" w:space="0" w:color="auto"/>
      </w:divBdr>
    </w:div>
    <w:div w:id="860164858">
      <w:bodyDiv w:val="1"/>
      <w:marLeft w:val="0"/>
      <w:marRight w:val="0"/>
      <w:marTop w:val="0"/>
      <w:marBottom w:val="0"/>
      <w:divBdr>
        <w:top w:val="none" w:sz="0" w:space="0" w:color="auto"/>
        <w:left w:val="none" w:sz="0" w:space="0" w:color="auto"/>
        <w:bottom w:val="none" w:sz="0" w:space="0" w:color="auto"/>
        <w:right w:val="none" w:sz="0" w:space="0" w:color="auto"/>
      </w:divBdr>
    </w:div>
    <w:div w:id="890313037">
      <w:bodyDiv w:val="1"/>
      <w:marLeft w:val="0"/>
      <w:marRight w:val="0"/>
      <w:marTop w:val="0"/>
      <w:marBottom w:val="0"/>
      <w:divBdr>
        <w:top w:val="none" w:sz="0" w:space="0" w:color="auto"/>
        <w:left w:val="none" w:sz="0" w:space="0" w:color="auto"/>
        <w:bottom w:val="none" w:sz="0" w:space="0" w:color="auto"/>
        <w:right w:val="none" w:sz="0" w:space="0" w:color="auto"/>
      </w:divBdr>
    </w:div>
    <w:div w:id="903763141">
      <w:bodyDiv w:val="1"/>
      <w:marLeft w:val="0"/>
      <w:marRight w:val="0"/>
      <w:marTop w:val="0"/>
      <w:marBottom w:val="0"/>
      <w:divBdr>
        <w:top w:val="none" w:sz="0" w:space="0" w:color="auto"/>
        <w:left w:val="none" w:sz="0" w:space="0" w:color="auto"/>
        <w:bottom w:val="none" w:sz="0" w:space="0" w:color="auto"/>
        <w:right w:val="none" w:sz="0" w:space="0" w:color="auto"/>
      </w:divBdr>
    </w:div>
    <w:div w:id="908419532">
      <w:bodyDiv w:val="1"/>
      <w:marLeft w:val="0"/>
      <w:marRight w:val="0"/>
      <w:marTop w:val="0"/>
      <w:marBottom w:val="0"/>
      <w:divBdr>
        <w:top w:val="none" w:sz="0" w:space="0" w:color="auto"/>
        <w:left w:val="none" w:sz="0" w:space="0" w:color="auto"/>
        <w:bottom w:val="none" w:sz="0" w:space="0" w:color="auto"/>
        <w:right w:val="none" w:sz="0" w:space="0" w:color="auto"/>
      </w:divBdr>
    </w:div>
    <w:div w:id="913317996">
      <w:bodyDiv w:val="1"/>
      <w:marLeft w:val="0"/>
      <w:marRight w:val="0"/>
      <w:marTop w:val="0"/>
      <w:marBottom w:val="0"/>
      <w:divBdr>
        <w:top w:val="none" w:sz="0" w:space="0" w:color="auto"/>
        <w:left w:val="none" w:sz="0" w:space="0" w:color="auto"/>
        <w:bottom w:val="none" w:sz="0" w:space="0" w:color="auto"/>
        <w:right w:val="none" w:sz="0" w:space="0" w:color="auto"/>
      </w:divBdr>
    </w:div>
    <w:div w:id="920027047">
      <w:bodyDiv w:val="1"/>
      <w:marLeft w:val="0"/>
      <w:marRight w:val="0"/>
      <w:marTop w:val="0"/>
      <w:marBottom w:val="0"/>
      <w:divBdr>
        <w:top w:val="none" w:sz="0" w:space="0" w:color="auto"/>
        <w:left w:val="none" w:sz="0" w:space="0" w:color="auto"/>
        <w:bottom w:val="none" w:sz="0" w:space="0" w:color="auto"/>
        <w:right w:val="none" w:sz="0" w:space="0" w:color="auto"/>
      </w:divBdr>
    </w:div>
    <w:div w:id="957880596">
      <w:bodyDiv w:val="1"/>
      <w:marLeft w:val="0"/>
      <w:marRight w:val="0"/>
      <w:marTop w:val="0"/>
      <w:marBottom w:val="0"/>
      <w:divBdr>
        <w:top w:val="none" w:sz="0" w:space="0" w:color="auto"/>
        <w:left w:val="none" w:sz="0" w:space="0" w:color="auto"/>
        <w:bottom w:val="none" w:sz="0" w:space="0" w:color="auto"/>
        <w:right w:val="none" w:sz="0" w:space="0" w:color="auto"/>
      </w:divBdr>
    </w:div>
    <w:div w:id="976715327">
      <w:bodyDiv w:val="1"/>
      <w:marLeft w:val="0"/>
      <w:marRight w:val="0"/>
      <w:marTop w:val="0"/>
      <w:marBottom w:val="0"/>
      <w:divBdr>
        <w:top w:val="none" w:sz="0" w:space="0" w:color="auto"/>
        <w:left w:val="none" w:sz="0" w:space="0" w:color="auto"/>
        <w:bottom w:val="none" w:sz="0" w:space="0" w:color="auto"/>
        <w:right w:val="none" w:sz="0" w:space="0" w:color="auto"/>
      </w:divBdr>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077244780">
      <w:bodyDiv w:val="1"/>
      <w:marLeft w:val="0"/>
      <w:marRight w:val="0"/>
      <w:marTop w:val="0"/>
      <w:marBottom w:val="0"/>
      <w:divBdr>
        <w:top w:val="none" w:sz="0" w:space="0" w:color="auto"/>
        <w:left w:val="none" w:sz="0" w:space="0" w:color="auto"/>
        <w:bottom w:val="none" w:sz="0" w:space="0" w:color="auto"/>
        <w:right w:val="none" w:sz="0" w:space="0" w:color="auto"/>
      </w:divBdr>
    </w:div>
    <w:div w:id="1081831822">
      <w:bodyDiv w:val="1"/>
      <w:marLeft w:val="0"/>
      <w:marRight w:val="0"/>
      <w:marTop w:val="0"/>
      <w:marBottom w:val="0"/>
      <w:divBdr>
        <w:top w:val="none" w:sz="0" w:space="0" w:color="auto"/>
        <w:left w:val="none" w:sz="0" w:space="0" w:color="auto"/>
        <w:bottom w:val="none" w:sz="0" w:space="0" w:color="auto"/>
        <w:right w:val="none" w:sz="0" w:space="0" w:color="auto"/>
      </w:divBdr>
    </w:div>
    <w:div w:id="1123966339">
      <w:bodyDiv w:val="1"/>
      <w:marLeft w:val="0"/>
      <w:marRight w:val="0"/>
      <w:marTop w:val="0"/>
      <w:marBottom w:val="0"/>
      <w:divBdr>
        <w:top w:val="none" w:sz="0" w:space="0" w:color="auto"/>
        <w:left w:val="none" w:sz="0" w:space="0" w:color="auto"/>
        <w:bottom w:val="none" w:sz="0" w:space="0" w:color="auto"/>
        <w:right w:val="none" w:sz="0" w:space="0" w:color="auto"/>
      </w:divBdr>
    </w:div>
    <w:div w:id="1165701194">
      <w:bodyDiv w:val="1"/>
      <w:marLeft w:val="0"/>
      <w:marRight w:val="0"/>
      <w:marTop w:val="0"/>
      <w:marBottom w:val="0"/>
      <w:divBdr>
        <w:top w:val="none" w:sz="0" w:space="0" w:color="auto"/>
        <w:left w:val="none" w:sz="0" w:space="0" w:color="auto"/>
        <w:bottom w:val="none" w:sz="0" w:space="0" w:color="auto"/>
        <w:right w:val="none" w:sz="0" w:space="0" w:color="auto"/>
      </w:divBdr>
    </w:div>
    <w:div w:id="1189761420">
      <w:bodyDiv w:val="1"/>
      <w:marLeft w:val="0"/>
      <w:marRight w:val="0"/>
      <w:marTop w:val="0"/>
      <w:marBottom w:val="0"/>
      <w:divBdr>
        <w:top w:val="none" w:sz="0" w:space="0" w:color="auto"/>
        <w:left w:val="none" w:sz="0" w:space="0" w:color="auto"/>
        <w:bottom w:val="none" w:sz="0" w:space="0" w:color="auto"/>
        <w:right w:val="none" w:sz="0" w:space="0" w:color="auto"/>
      </w:divBdr>
    </w:div>
    <w:div w:id="1202748749">
      <w:bodyDiv w:val="1"/>
      <w:marLeft w:val="0"/>
      <w:marRight w:val="0"/>
      <w:marTop w:val="0"/>
      <w:marBottom w:val="0"/>
      <w:divBdr>
        <w:top w:val="none" w:sz="0" w:space="0" w:color="auto"/>
        <w:left w:val="none" w:sz="0" w:space="0" w:color="auto"/>
        <w:bottom w:val="none" w:sz="0" w:space="0" w:color="auto"/>
        <w:right w:val="none" w:sz="0" w:space="0" w:color="auto"/>
      </w:divBdr>
    </w:div>
    <w:div w:id="1218005946">
      <w:bodyDiv w:val="1"/>
      <w:marLeft w:val="0"/>
      <w:marRight w:val="0"/>
      <w:marTop w:val="0"/>
      <w:marBottom w:val="0"/>
      <w:divBdr>
        <w:top w:val="none" w:sz="0" w:space="0" w:color="auto"/>
        <w:left w:val="none" w:sz="0" w:space="0" w:color="auto"/>
        <w:bottom w:val="none" w:sz="0" w:space="0" w:color="auto"/>
        <w:right w:val="none" w:sz="0" w:space="0" w:color="auto"/>
      </w:divBdr>
    </w:div>
    <w:div w:id="1277760305">
      <w:bodyDiv w:val="1"/>
      <w:marLeft w:val="0"/>
      <w:marRight w:val="0"/>
      <w:marTop w:val="0"/>
      <w:marBottom w:val="0"/>
      <w:divBdr>
        <w:top w:val="none" w:sz="0" w:space="0" w:color="auto"/>
        <w:left w:val="none" w:sz="0" w:space="0" w:color="auto"/>
        <w:bottom w:val="none" w:sz="0" w:space="0" w:color="auto"/>
        <w:right w:val="none" w:sz="0" w:space="0" w:color="auto"/>
      </w:divBdr>
    </w:div>
    <w:div w:id="1283346570">
      <w:bodyDiv w:val="1"/>
      <w:marLeft w:val="0"/>
      <w:marRight w:val="0"/>
      <w:marTop w:val="0"/>
      <w:marBottom w:val="0"/>
      <w:divBdr>
        <w:top w:val="none" w:sz="0" w:space="0" w:color="auto"/>
        <w:left w:val="none" w:sz="0" w:space="0" w:color="auto"/>
        <w:bottom w:val="none" w:sz="0" w:space="0" w:color="auto"/>
        <w:right w:val="none" w:sz="0" w:space="0" w:color="auto"/>
      </w:divBdr>
    </w:div>
    <w:div w:id="1306161138">
      <w:bodyDiv w:val="1"/>
      <w:marLeft w:val="0"/>
      <w:marRight w:val="0"/>
      <w:marTop w:val="0"/>
      <w:marBottom w:val="0"/>
      <w:divBdr>
        <w:top w:val="none" w:sz="0" w:space="0" w:color="auto"/>
        <w:left w:val="none" w:sz="0" w:space="0" w:color="auto"/>
        <w:bottom w:val="none" w:sz="0" w:space="0" w:color="auto"/>
        <w:right w:val="none" w:sz="0" w:space="0" w:color="auto"/>
      </w:divBdr>
    </w:div>
    <w:div w:id="1328971652">
      <w:bodyDiv w:val="1"/>
      <w:marLeft w:val="0"/>
      <w:marRight w:val="0"/>
      <w:marTop w:val="0"/>
      <w:marBottom w:val="0"/>
      <w:divBdr>
        <w:top w:val="none" w:sz="0" w:space="0" w:color="auto"/>
        <w:left w:val="none" w:sz="0" w:space="0" w:color="auto"/>
        <w:bottom w:val="none" w:sz="0" w:space="0" w:color="auto"/>
        <w:right w:val="none" w:sz="0" w:space="0" w:color="auto"/>
      </w:divBdr>
    </w:div>
    <w:div w:id="1357925216">
      <w:bodyDiv w:val="1"/>
      <w:marLeft w:val="0"/>
      <w:marRight w:val="0"/>
      <w:marTop w:val="0"/>
      <w:marBottom w:val="0"/>
      <w:divBdr>
        <w:top w:val="none" w:sz="0" w:space="0" w:color="auto"/>
        <w:left w:val="none" w:sz="0" w:space="0" w:color="auto"/>
        <w:bottom w:val="none" w:sz="0" w:space="0" w:color="auto"/>
        <w:right w:val="none" w:sz="0" w:space="0" w:color="auto"/>
      </w:divBdr>
    </w:div>
    <w:div w:id="1414931080">
      <w:bodyDiv w:val="1"/>
      <w:marLeft w:val="0"/>
      <w:marRight w:val="0"/>
      <w:marTop w:val="0"/>
      <w:marBottom w:val="0"/>
      <w:divBdr>
        <w:top w:val="none" w:sz="0" w:space="0" w:color="auto"/>
        <w:left w:val="none" w:sz="0" w:space="0" w:color="auto"/>
        <w:bottom w:val="none" w:sz="0" w:space="0" w:color="auto"/>
        <w:right w:val="none" w:sz="0" w:space="0" w:color="auto"/>
      </w:divBdr>
    </w:div>
    <w:div w:id="1419058589">
      <w:bodyDiv w:val="1"/>
      <w:marLeft w:val="0"/>
      <w:marRight w:val="0"/>
      <w:marTop w:val="0"/>
      <w:marBottom w:val="0"/>
      <w:divBdr>
        <w:top w:val="none" w:sz="0" w:space="0" w:color="auto"/>
        <w:left w:val="none" w:sz="0" w:space="0" w:color="auto"/>
        <w:bottom w:val="none" w:sz="0" w:space="0" w:color="auto"/>
        <w:right w:val="none" w:sz="0" w:space="0" w:color="auto"/>
      </w:divBdr>
    </w:div>
    <w:div w:id="1431468030">
      <w:bodyDiv w:val="1"/>
      <w:marLeft w:val="0"/>
      <w:marRight w:val="0"/>
      <w:marTop w:val="0"/>
      <w:marBottom w:val="0"/>
      <w:divBdr>
        <w:top w:val="none" w:sz="0" w:space="0" w:color="auto"/>
        <w:left w:val="none" w:sz="0" w:space="0" w:color="auto"/>
        <w:bottom w:val="none" w:sz="0" w:space="0" w:color="auto"/>
        <w:right w:val="none" w:sz="0" w:space="0" w:color="auto"/>
      </w:divBdr>
    </w:div>
    <w:div w:id="1440874562">
      <w:bodyDiv w:val="1"/>
      <w:marLeft w:val="0"/>
      <w:marRight w:val="0"/>
      <w:marTop w:val="0"/>
      <w:marBottom w:val="0"/>
      <w:divBdr>
        <w:top w:val="none" w:sz="0" w:space="0" w:color="auto"/>
        <w:left w:val="none" w:sz="0" w:space="0" w:color="auto"/>
        <w:bottom w:val="none" w:sz="0" w:space="0" w:color="auto"/>
        <w:right w:val="none" w:sz="0" w:space="0" w:color="auto"/>
      </w:divBdr>
    </w:div>
    <w:div w:id="1463188161">
      <w:bodyDiv w:val="1"/>
      <w:marLeft w:val="0"/>
      <w:marRight w:val="0"/>
      <w:marTop w:val="0"/>
      <w:marBottom w:val="0"/>
      <w:divBdr>
        <w:top w:val="none" w:sz="0" w:space="0" w:color="auto"/>
        <w:left w:val="none" w:sz="0" w:space="0" w:color="auto"/>
        <w:bottom w:val="none" w:sz="0" w:space="0" w:color="auto"/>
        <w:right w:val="none" w:sz="0" w:space="0" w:color="auto"/>
      </w:divBdr>
    </w:div>
    <w:div w:id="1464735084">
      <w:bodyDiv w:val="1"/>
      <w:marLeft w:val="0"/>
      <w:marRight w:val="0"/>
      <w:marTop w:val="0"/>
      <w:marBottom w:val="0"/>
      <w:divBdr>
        <w:top w:val="none" w:sz="0" w:space="0" w:color="auto"/>
        <w:left w:val="none" w:sz="0" w:space="0" w:color="auto"/>
        <w:bottom w:val="none" w:sz="0" w:space="0" w:color="auto"/>
        <w:right w:val="none" w:sz="0" w:space="0" w:color="auto"/>
      </w:divBdr>
    </w:div>
    <w:div w:id="1500198135">
      <w:bodyDiv w:val="1"/>
      <w:marLeft w:val="0"/>
      <w:marRight w:val="0"/>
      <w:marTop w:val="0"/>
      <w:marBottom w:val="0"/>
      <w:divBdr>
        <w:top w:val="none" w:sz="0" w:space="0" w:color="auto"/>
        <w:left w:val="none" w:sz="0" w:space="0" w:color="auto"/>
        <w:bottom w:val="none" w:sz="0" w:space="0" w:color="auto"/>
        <w:right w:val="none" w:sz="0" w:space="0" w:color="auto"/>
      </w:divBdr>
    </w:div>
    <w:div w:id="1527408338">
      <w:bodyDiv w:val="1"/>
      <w:marLeft w:val="0"/>
      <w:marRight w:val="0"/>
      <w:marTop w:val="0"/>
      <w:marBottom w:val="0"/>
      <w:divBdr>
        <w:top w:val="none" w:sz="0" w:space="0" w:color="auto"/>
        <w:left w:val="none" w:sz="0" w:space="0" w:color="auto"/>
        <w:bottom w:val="none" w:sz="0" w:space="0" w:color="auto"/>
        <w:right w:val="none" w:sz="0" w:space="0" w:color="auto"/>
      </w:divBdr>
    </w:div>
    <w:div w:id="1527718446">
      <w:bodyDiv w:val="1"/>
      <w:marLeft w:val="0"/>
      <w:marRight w:val="0"/>
      <w:marTop w:val="0"/>
      <w:marBottom w:val="0"/>
      <w:divBdr>
        <w:top w:val="none" w:sz="0" w:space="0" w:color="auto"/>
        <w:left w:val="none" w:sz="0" w:space="0" w:color="auto"/>
        <w:bottom w:val="none" w:sz="0" w:space="0" w:color="auto"/>
        <w:right w:val="none" w:sz="0" w:space="0" w:color="auto"/>
      </w:divBdr>
    </w:div>
    <w:div w:id="1533953636">
      <w:bodyDiv w:val="1"/>
      <w:marLeft w:val="0"/>
      <w:marRight w:val="0"/>
      <w:marTop w:val="0"/>
      <w:marBottom w:val="0"/>
      <w:divBdr>
        <w:top w:val="none" w:sz="0" w:space="0" w:color="auto"/>
        <w:left w:val="none" w:sz="0" w:space="0" w:color="auto"/>
        <w:bottom w:val="none" w:sz="0" w:space="0" w:color="auto"/>
        <w:right w:val="none" w:sz="0" w:space="0" w:color="auto"/>
      </w:divBdr>
    </w:div>
    <w:div w:id="1576669716">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17445656">
      <w:bodyDiv w:val="1"/>
      <w:marLeft w:val="0"/>
      <w:marRight w:val="0"/>
      <w:marTop w:val="0"/>
      <w:marBottom w:val="0"/>
      <w:divBdr>
        <w:top w:val="none" w:sz="0" w:space="0" w:color="auto"/>
        <w:left w:val="none" w:sz="0" w:space="0" w:color="auto"/>
        <w:bottom w:val="none" w:sz="0" w:space="0" w:color="auto"/>
        <w:right w:val="none" w:sz="0" w:space="0" w:color="auto"/>
      </w:divBdr>
    </w:div>
    <w:div w:id="1640915576">
      <w:bodyDiv w:val="1"/>
      <w:marLeft w:val="0"/>
      <w:marRight w:val="0"/>
      <w:marTop w:val="0"/>
      <w:marBottom w:val="0"/>
      <w:divBdr>
        <w:top w:val="none" w:sz="0" w:space="0" w:color="auto"/>
        <w:left w:val="none" w:sz="0" w:space="0" w:color="auto"/>
        <w:bottom w:val="none" w:sz="0" w:space="0" w:color="auto"/>
        <w:right w:val="none" w:sz="0" w:space="0" w:color="auto"/>
      </w:divBdr>
    </w:div>
    <w:div w:id="1659966228">
      <w:bodyDiv w:val="1"/>
      <w:marLeft w:val="0"/>
      <w:marRight w:val="0"/>
      <w:marTop w:val="0"/>
      <w:marBottom w:val="0"/>
      <w:divBdr>
        <w:top w:val="none" w:sz="0" w:space="0" w:color="auto"/>
        <w:left w:val="none" w:sz="0" w:space="0" w:color="auto"/>
        <w:bottom w:val="none" w:sz="0" w:space="0" w:color="auto"/>
        <w:right w:val="none" w:sz="0" w:space="0" w:color="auto"/>
      </w:divBdr>
    </w:div>
    <w:div w:id="1691757962">
      <w:bodyDiv w:val="1"/>
      <w:marLeft w:val="0"/>
      <w:marRight w:val="0"/>
      <w:marTop w:val="0"/>
      <w:marBottom w:val="0"/>
      <w:divBdr>
        <w:top w:val="none" w:sz="0" w:space="0" w:color="auto"/>
        <w:left w:val="none" w:sz="0" w:space="0" w:color="auto"/>
        <w:bottom w:val="none" w:sz="0" w:space="0" w:color="auto"/>
        <w:right w:val="none" w:sz="0" w:space="0" w:color="auto"/>
      </w:divBdr>
    </w:div>
    <w:div w:id="1708867504">
      <w:bodyDiv w:val="1"/>
      <w:marLeft w:val="0"/>
      <w:marRight w:val="0"/>
      <w:marTop w:val="0"/>
      <w:marBottom w:val="0"/>
      <w:divBdr>
        <w:top w:val="none" w:sz="0" w:space="0" w:color="auto"/>
        <w:left w:val="none" w:sz="0" w:space="0" w:color="auto"/>
        <w:bottom w:val="none" w:sz="0" w:space="0" w:color="auto"/>
        <w:right w:val="none" w:sz="0" w:space="0" w:color="auto"/>
      </w:divBdr>
    </w:div>
    <w:div w:id="1709137676">
      <w:bodyDiv w:val="1"/>
      <w:marLeft w:val="0"/>
      <w:marRight w:val="0"/>
      <w:marTop w:val="0"/>
      <w:marBottom w:val="0"/>
      <w:divBdr>
        <w:top w:val="none" w:sz="0" w:space="0" w:color="auto"/>
        <w:left w:val="none" w:sz="0" w:space="0" w:color="auto"/>
        <w:bottom w:val="none" w:sz="0" w:space="0" w:color="auto"/>
        <w:right w:val="none" w:sz="0" w:space="0" w:color="auto"/>
      </w:divBdr>
    </w:div>
    <w:div w:id="1740637678">
      <w:bodyDiv w:val="1"/>
      <w:marLeft w:val="0"/>
      <w:marRight w:val="0"/>
      <w:marTop w:val="0"/>
      <w:marBottom w:val="0"/>
      <w:divBdr>
        <w:top w:val="none" w:sz="0" w:space="0" w:color="auto"/>
        <w:left w:val="none" w:sz="0" w:space="0" w:color="auto"/>
        <w:bottom w:val="none" w:sz="0" w:space="0" w:color="auto"/>
        <w:right w:val="none" w:sz="0" w:space="0" w:color="auto"/>
      </w:divBdr>
    </w:div>
    <w:div w:id="1777098271">
      <w:bodyDiv w:val="1"/>
      <w:marLeft w:val="0"/>
      <w:marRight w:val="0"/>
      <w:marTop w:val="0"/>
      <w:marBottom w:val="0"/>
      <w:divBdr>
        <w:top w:val="none" w:sz="0" w:space="0" w:color="auto"/>
        <w:left w:val="none" w:sz="0" w:space="0" w:color="auto"/>
        <w:bottom w:val="none" w:sz="0" w:space="0" w:color="auto"/>
        <w:right w:val="none" w:sz="0" w:space="0" w:color="auto"/>
      </w:divBdr>
    </w:div>
    <w:div w:id="1783769927">
      <w:bodyDiv w:val="1"/>
      <w:marLeft w:val="0"/>
      <w:marRight w:val="0"/>
      <w:marTop w:val="0"/>
      <w:marBottom w:val="0"/>
      <w:divBdr>
        <w:top w:val="none" w:sz="0" w:space="0" w:color="auto"/>
        <w:left w:val="none" w:sz="0" w:space="0" w:color="auto"/>
        <w:bottom w:val="none" w:sz="0" w:space="0" w:color="auto"/>
        <w:right w:val="none" w:sz="0" w:space="0" w:color="auto"/>
      </w:divBdr>
    </w:div>
    <w:div w:id="1806967657">
      <w:bodyDiv w:val="1"/>
      <w:marLeft w:val="0"/>
      <w:marRight w:val="0"/>
      <w:marTop w:val="0"/>
      <w:marBottom w:val="0"/>
      <w:divBdr>
        <w:top w:val="none" w:sz="0" w:space="0" w:color="auto"/>
        <w:left w:val="none" w:sz="0" w:space="0" w:color="auto"/>
        <w:bottom w:val="none" w:sz="0" w:space="0" w:color="auto"/>
        <w:right w:val="none" w:sz="0" w:space="0" w:color="auto"/>
      </w:divBdr>
    </w:div>
    <w:div w:id="1840077977">
      <w:bodyDiv w:val="1"/>
      <w:marLeft w:val="0"/>
      <w:marRight w:val="0"/>
      <w:marTop w:val="0"/>
      <w:marBottom w:val="0"/>
      <w:divBdr>
        <w:top w:val="none" w:sz="0" w:space="0" w:color="auto"/>
        <w:left w:val="none" w:sz="0" w:space="0" w:color="auto"/>
        <w:bottom w:val="none" w:sz="0" w:space="0" w:color="auto"/>
        <w:right w:val="none" w:sz="0" w:space="0" w:color="auto"/>
      </w:divBdr>
    </w:div>
    <w:div w:id="1849439314">
      <w:bodyDiv w:val="1"/>
      <w:marLeft w:val="0"/>
      <w:marRight w:val="0"/>
      <w:marTop w:val="0"/>
      <w:marBottom w:val="0"/>
      <w:divBdr>
        <w:top w:val="none" w:sz="0" w:space="0" w:color="auto"/>
        <w:left w:val="none" w:sz="0" w:space="0" w:color="auto"/>
        <w:bottom w:val="none" w:sz="0" w:space="0" w:color="auto"/>
        <w:right w:val="none" w:sz="0" w:space="0" w:color="auto"/>
      </w:divBdr>
    </w:div>
    <w:div w:id="1862933227">
      <w:bodyDiv w:val="1"/>
      <w:marLeft w:val="0"/>
      <w:marRight w:val="0"/>
      <w:marTop w:val="0"/>
      <w:marBottom w:val="0"/>
      <w:divBdr>
        <w:top w:val="none" w:sz="0" w:space="0" w:color="auto"/>
        <w:left w:val="none" w:sz="0" w:space="0" w:color="auto"/>
        <w:bottom w:val="none" w:sz="0" w:space="0" w:color="auto"/>
        <w:right w:val="none" w:sz="0" w:space="0" w:color="auto"/>
      </w:divBdr>
    </w:div>
    <w:div w:id="1879852078">
      <w:bodyDiv w:val="1"/>
      <w:marLeft w:val="0"/>
      <w:marRight w:val="0"/>
      <w:marTop w:val="0"/>
      <w:marBottom w:val="0"/>
      <w:divBdr>
        <w:top w:val="none" w:sz="0" w:space="0" w:color="auto"/>
        <w:left w:val="none" w:sz="0" w:space="0" w:color="auto"/>
        <w:bottom w:val="none" w:sz="0" w:space="0" w:color="auto"/>
        <w:right w:val="none" w:sz="0" w:space="0" w:color="auto"/>
      </w:divBdr>
    </w:div>
    <w:div w:id="1939485162">
      <w:bodyDiv w:val="1"/>
      <w:marLeft w:val="0"/>
      <w:marRight w:val="0"/>
      <w:marTop w:val="0"/>
      <w:marBottom w:val="0"/>
      <w:divBdr>
        <w:top w:val="none" w:sz="0" w:space="0" w:color="auto"/>
        <w:left w:val="none" w:sz="0" w:space="0" w:color="auto"/>
        <w:bottom w:val="none" w:sz="0" w:space="0" w:color="auto"/>
        <w:right w:val="none" w:sz="0" w:space="0" w:color="auto"/>
      </w:divBdr>
    </w:div>
    <w:div w:id="1968507582">
      <w:bodyDiv w:val="1"/>
      <w:marLeft w:val="0"/>
      <w:marRight w:val="0"/>
      <w:marTop w:val="0"/>
      <w:marBottom w:val="0"/>
      <w:divBdr>
        <w:top w:val="none" w:sz="0" w:space="0" w:color="auto"/>
        <w:left w:val="none" w:sz="0" w:space="0" w:color="auto"/>
        <w:bottom w:val="none" w:sz="0" w:space="0" w:color="auto"/>
        <w:right w:val="none" w:sz="0" w:space="0" w:color="auto"/>
      </w:divBdr>
    </w:div>
    <w:div w:id="1972206923">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 w:id="2028868590">
      <w:bodyDiv w:val="1"/>
      <w:marLeft w:val="0"/>
      <w:marRight w:val="0"/>
      <w:marTop w:val="0"/>
      <w:marBottom w:val="0"/>
      <w:divBdr>
        <w:top w:val="none" w:sz="0" w:space="0" w:color="auto"/>
        <w:left w:val="none" w:sz="0" w:space="0" w:color="auto"/>
        <w:bottom w:val="none" w:sz="0" w:space="0" w:color="auto"/>
        <w:right w:val="none" w:sz="0" w:space="0" w:color="auto"/>
      </w:divBdr>
    </w:div>
    <w:div w:id="2036422027">
      <w:bodyDiv w:val="1"/>
      <w:marLeft w:val="0"/>
      <w:marRight w:val="0"/>
      <w:marTop w:val="0"/>
      <w:marBottom w:val="0"/>
      <w:divBdr>
        <w:top w:val="none" w:sz="0" w:space="0" w:color="auto"/>
        <w:left w:val="none" w:sz="0" w:space="0" w:color="auto"/>
        <w:bottom w:val="none" w:sz="0" w:space="0" w:color="auto"/>
        <w:right w:val="none" w:sz="0" w:space="0" w:color="auto"/>
      </w:divBdr>
    </w:div>
    <w:div w:id="2072002121">
      <w:bodyDiv w:val="1"/>
      <w:marLeft w:val="0"/>
      <w:marRight w:val="0"/>
      <w:marTop w:val="0"/>
      <w:marBottom w:val="0"/>
      <w:divBdr>
        <w:top w:val="none" w:sz="0" w:space="0" w:color="auto"/>
        <w:left w:val="none" w:sz="0" w:space="0" w:color="auto"/>
        <w:bottom w:val="none" w:sz="0" w:space="0" w:color="auto"/>
        <w:right w:val="none" w:sz="0" w:space="0" w:color="auto"/>
      </w:divBdr>
    </w:div>
    <w:div w:id="2074428192">
      <w:bodyDiv w:val="1"/>
      <w:marLeft w:val="0"/>
      <w:marRight w:val="0"/>
      <w:marTop w:val="0"/>
      <w:marBottom w:val="0"/>
      <w:divBdr>
        <w:top w:val="none" w:sz="0" w:space="0" w:color="auto"/>
        <w:left w:val="none" w:sz="0" w:space="0" w:color="auto"/>
        <w:bottom w:val="none" w:sz="0" w:space="0" w:color="auto"/>
        <w:right w:val="none" w:sz="0" w:space="0" w:color="auto"/>
      </w:divBdr>
    </w:div>
    <w:div w:id="2080982750">
      <w:bodyDiv w:val="1"/>
      <w:marLeft w:val="0"/>
      <w:marRight w:val="0"/>
      <w:marTop w:val="0"/>
      <w:marBottom w:val="0"/>
      <w:divBdr>
        <w:top w:val="none" w:sz="0" w:space="0" w:color="auto"/>
        <w:left w:val="none" w:sz="0" w:space="0" w:color="auto"/>
        <w:bottom w:val="none" w:sz="0" w:space="0" w:color="auto"/>
        <w:right w:val="none" w:sz="0" w:space="0" w:color="auto"/>
      </w:divBdr>
    </w:div>
    <w:div w:id="2093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microsoft.com/investo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investor"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microsoft.com/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rt@waggeneredstr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83090-0ECD-4B98-84FA-A6FA3701E8B5}"/>
</file>

<file path=customXml/itemProps2.xml><?xml version="1.0" encoding="utf-8"?>
<ds:datastoreItem xmlns:ds="http://schemas.openxmlformats.org/officeDocument/2006/customXml" ds:itemID="{0EA6BD1B-99B4-4621-898C-CE6EEEDE6AB9}"/>
</file>

<file path=customXml/itemProps3.xml><?xml version="1.0" encoding="utf-8"?>
<ds:datastoreItem xmlns:ds="http://schemas.openxmlformats.org/officeDocument/2006/customXml" ds:itemID="{C2D83090-0ECD-4B98-84FA-A6FA3701E8B5}"/>
</file>

<file path=customXml/itemProps4.xml><?xml version="1.0" encoding="utf-8"?>
<ds:datastoreItem xmlns:ds="http://schemas.openxmlformats.org/officeDocument/2006/customXml" ds:itemID="{B88EE1EE-51FB-42E8-8914-2AA36DB98BCC}"/>
</file>

<file path=docProps/app.xml><?xml version="1.0" encoding="utf-8"?>
<Properties xmlns="http://schemas.openxmlformats.org/officeDocument/2006/extended-properties" xmlns:vt="http://schemas.openxmlformats.org/officeDocument/2006/docPropsVTypes">
  <Template>Normal.dotm</Template>
  <TotalTime>0</TotalTime>
  <Pages>17</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2013-07-18T18:30:00Z</dcterms:created>
  <dcterms:modified xsi:type="dcterms:W3CDTF">2013-07-18T18:31:00Z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9a489507-c3c9-4cae-99f6-d775415dccef</vt:lpwstr>
  </property>
  <property fmtid="{D5CDD505-2E9C-101B-9397-08002B2CF9AE}" pid="3" name="ContentTypeId">
    <vt:lpwstr>0x0101004EEB5A68CE6442648224A0682BF61800004B9775297EFBF642A4F1523B0C630918</vt:lpwstr>
  </property>
  <property fmtid="{D5CDD505-2E9C-101B-9397-08002B2CF9AE}" pid="4" name="_DocHome">
    <vt:i4>-1148023779</vt:i4>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