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2DD60" w14:textId="77777777" w:rsidR="00666FC3" w:rsidRPr="00123413" w:rsidRDefault="00BC5C0E" w:rsidP="00983CBE">
      <w:pPr>
        <w:spacing w:after="0" w:line="320" w:lineRule="exact"/>
        <w:rPr>
          <w:rFonts w:ascii="Segoe UI" w:hAnsi="Segoe UI" w:cs="Segoe UI"/>
          <w:color w:val="333333"/>
          <w:sz w:val="26"/>
          <w:szCs w:val="26"/>
        </w:rPr>
      </w:pPr>
      <w:r>
        <w:rPr>
          <w:rFonts w:ascii="Segoe UI" w:hAnsi="Segoe UI" w:cs="Segoe UI"/>
          <w:color w:val="333333"/>
          <w:sz w:val="26"/>
          <w:szCs w:val="26"/>
        </w:rPr>
        <w:t xml:space="preserve">Microsoft Cloud Momentum Helps Drive </w:t>
      </w:r>
      <w:r w:rsidR="00F07BDE">
        <w:rPr>
          <w:rFonts w:ascii="Segoe UI" w:hAnsi="Segoe UI" w:cs="Segoe UI"/>
          <w:color w:val="333333"/>
          <w:sz w:val="26"/>
          <w:szCs w:val="26"/>
        </w:rPr>
        <w:t>Third-</w:t>
      </w:r>
      <w:r w:rsidR="00D54081">
        <w:rPr>
          <w:rFonts w:ascii="Segoe UI" w:hAnsi="Segoe UI" w:cs="Segoe UI"/>
          <w:color w:val="333333"/>
          <w:sz w:val="26"/>
          <w:szCs w:val="26"/>
        </w:rPr>
        <w:t xml:space="preserve">Quarter </w:t>
      </w:r>
      <w:r w:rsidR="00666FC3">
        <w:rPr>
          <w:rFonts w:ascii="Segoe UI" w:hAnsi="Segoe UI" w:cs="Segoe UI"/>
          <w:color w:val="333333"/>
          <w:sz w:val="26"/>
          <w:szCs w:val="26"/>
        </w:rPr>
        <w:t>Results</w:t>
      </w:r>
    </w:p>
    <w:p w14:paraId="1CC2DD61" w14:textId="77777777" w:rsidR="00AE5744" w:rsidRDefault="0036725F" w:rsidP="00AE5744">
      <w:pPr>
        <w:spacing w:after="0" w:line="320" w:lineRule="exact"/>
        <w:rPr>
          <w:rFonts w:ascii="Segoe UI" w:hAnsi="Segoe UI" w:cs="Segoe UI"/>
          <w:i/>
          <w:color w:val="333333"/>
          <w:sz w:val="18"/>
          <w:szCs w:val="18"/>
        </w:rPr>
      </w:pPr>
      <w:r>
        <w:rPr>
          <w:rFonts w:ascii="Segoe UI" w:hAnsi="Segoe UI" w:cs="Segoe UI"/>
          <w:i/>
          <w:color w:val="333333"/>
          <w:sz w:val="18"/>
          <w:szCs w:val="18"/>
        </w:rPr>
        <w:t>Revenue g</w:t>
      </w:r>
      <w:r w:rsidR="00AE5744">
        <w:rPr>
          <w:rFonts w:ascii="Segoe UI" w:hAnsi="Segoe UI" w:cs="Segoe UI"/>
          <w:i/>
          <w:color w:val="333333"/>
          <w:sz w:val="18"/>
          <w:szCs w:val="18"/>
        </w:rPr>
        <w:t>rowth across segments and cost discipline drive earnings per share of $0.68.</w:t>
      </w:r>
    </w:p>
    <w:p w14:paraId="1CC2DD62" w14:textId="77777777" w:rsidR="00983CBE" w:rsidRPr="00123413" w:rsidRDefault="00983CBE" w:rsidP="00983CBE">
      <w:pPr>
        <w:spacing w:after="0" w:line="480" w:lineRule="auto"/>
        <w:ind w:firstLine="720"/>
        <w:rPr>
          <w:rFonts w:ascii="Segoe UI" w:hAnsi="Segoe UI" w:cs="Segoe UI"/>
          <w:b/>
          <w:color w:val="666666"/>
          <w:sz w:val="16"/>
          <w:szCs w:val="16"/>
        </w:rPr>
      </w:pPr>
    </w:p>
    <w:p w14:paraId="1CC2DD63" w14:textId="77777777" w:rsidR="00983CBE" w:rsidRPr="00123413" w:rsidRDefault="00983CBE" w:rsidP="00983CBE">
      <w:pPr>
        <w:spacing w:line="280" w:lineRule="exact"/>
        <w:rPr>
          <w:rFonts w:ascii="Segoe UI" w:hAnsi="Segoe UI" w:cs="Segoe UI"/>
          <w:color w:val="666666"/>
          <w:sz w:val="20"/>
          <w:szCs w:val="20"/>
        </w:rPr>
      </w:pPr>
      <w:r w:rsidRPr="00123413">
        <w:rPr>
          <w:rFonts w:ascii="Segoe UI" w:hAnsi="Segoe UI" w:cs="Segoe UI"/>
          <w:b/>
          <w:color w:val="666666"/>
          <w:sz w:val="20"/>
          <w:szCs w:val="20"/>
        </w:rPr>
        <w:t xml:space="preserve">REDMOND, Wash. — </w:t>
      </w:r>
      <w:r w:rsidR="00437919">
        <w:rPr>
          <w:rFonts w:ascii="Segoe UI" w:hAnsi="Segoe UI" w:cs="Segoe UI"/>
          <w:b/>
          <w:color w:val="666666"/>
          <w:sz w:val="20"/>
          <w:szCs w:val="20"/>
        </w:rPr>
        <w:t>April 24</w:t>
      </w:r>
      <w:r>
        <w:rPr>
          <w:rFonts w:ascii="Segoe UI" w:hAnsi="Segoe UI" w:cs="Segoe UI"/>
          <w:b/>
          <w:color w:val="666666"/>
          <w:sz w:val="20"/>
          <w:szCs w:val="20"/>
        </w:rPr>
        <w:t>, 2014</w:t>
      </w:r>
      <w:r w:rsidRPr="00123413">
        <w:rPr>
          <w:rFonts w:ascii="Segoe UI" w:hAnsi="Segoe UI" w:cs="Segoe UI"/>
          <w:b/>
          <w:color w:val="666666"/>
          <w:sz w:val="20"/>
          <w:szCs w:val="20"/>
        </w:rPr>
        <w:t xml:space="preserve"> —</w:t>
      </w:r>
      <w:r>
        <w:rPr>
          <w:rFonts w:ascii="Segoe UI" w:hAnsi="Segoe UI" w:cs="Segoe UI"/>
          <w:b/>
          <w:color w:val="666666"/>
          <w:sz w:val="20"/>
          <w:szCs w:val="20"/>
        </w:rPr>
        <w:t xml:space="preserve"> </w:t>
      </w:r>
      <w:r w:rsidRPr="00FF16CC">
        <w:rPr>
          <w:rFonts w:ascii="Segoe UI" w:hAnsi="Segoe UI" w:cs="Segoe UI"/>
          <w:color w:val="666666"/>
          <w:sz w:val="20"/>
          <w:szCs w:val="20"/>
        </w:rPr>
        <w:t>Microsoft Corp. today announced revenue of $2</w:t>
      </w:r>
      <w:r w:rsidR="00193730">
        <w:rPr>
          <w:rFonts w:ascii="Segoe UI" w:hAnsi="Segoe UI" w:cs="Segoe UI"/>
          <w:color w:val="666666"/>
          <w:sz w:val="20"/>
          <w:szCs w:val="20"/>
        </w:rPr>
        <w:t>0</w:t>
      </w:r>
      <w:r w:rsidRPr="00FF16CC">
        <w:rPr>
          <w:rFonts w:ascii="Segoe UI" w:hAnsi="Segoe UI" w:cs="Segoe UI"/>
          <w:color w:val="666666"/>
          <w:sz w:val="20"/>
          <w:szCs w:val="20"/>
        </w:rPr>
        <w:t>.</w:t>
      </w:r>
      <w:r w:rsidR="00193730">
        <w:rPr>
          <w:rFonts w:ascii="Segoe UI" w:hAnsi="Segoe UI" w:cs="Segoe UI"/>
          <w:color w:val="666666"/>
          <w:sz w:val="20"/>
          <w:szCs w:val="20"/>
        </w:rPr>
        <w:t>40</w:t>
      </w:r>
      <w:r w:rsidRPr="00FF16CC">
        <w:rPr>
          <w:rFonts w:ascii="Segoe UI" w:hAnsi="Segoe UI" w:cs="Segoe UI"/>
          <w:color w:val="666666"/>
          <w:sz w:val="20"/>
          <w:szCs w:val="20"/>
        </w:rPr>
        <w:t xml:space="preserve"> billion for the quarter ended </w:t>
      </w:r>
      <w:r w:rsidR="00193730">
        <w:rPr>
          <w:rFonts w:ascii="Segoe UI" w:hAnsi="Segoe UI" w:cs="Segoe UI"/>
          <w:color w:val="666666"/>
          <w:sz w:val="20"/>
          <w:szCs w:val="20"/>
        </w:rPr>
        <w:t>March</w:t>
      </w:r>
      <w:r w:rsidRPr="00FF16CC">
        <w:rPr>
          <w:rFonts w:ascii="Segoe UI" w:hAnsi="Segoe UI" w:cs="Segoe UI"/>
          <w:color w:val="666666"/>
          <w:sz w:val="20"/>
          <w:szCs w:val="20"/>
        </w:rPr>
        <w:t xml:space="preserve"> 31, 201</w:t>
      </w:r>
      <w:r w:rsidR="00193730">
        <w:rPr>
          <w:rFonts w:ascii="Segoe UI" w:hAnsi="Segoe UI" w:cs="Segoe UI"/>
          <w:color w:val="666666"/>
          <w:sz w:val="20"/>
          <w:szCs w:val="20"/>
        </w:rPr>
        <w:t>4</w:t>
      </w:r>
      <w:r w:rsidRPr="00FF16CC">
        <w:rPr>
          <w:rFonts w:ascii="Segoe UI" w:hAnsi="Segoe UI" w:cs="Segoe UI"/>
          <w:color w:val="666666"/>
          <w:sz w:val="20"/>
          <w:szCs w:val="20"/>
        </w:rPr>
        <w:t>. Gross margin, operating income, net income, and diluted earnings per share for the quarter were $1</w:t>
      </w:r>
      <w:r w:rsidR="00193730">
        <w:rPr>
          <w:rFonts w:ascii="Segoe UI" w:hAnsi="Segoe UI" w:cs="Segoe UI"/>
          <w:color w:val="666666"/>
          <w:sz w:val="20"/>
          <w:szCs w:val="20"/>
        </w:rPr>
        <w:t>4</w:t>
      </w:r>
      <w:r w:rsidRPr="00FF16CC">
        <w:rPr>
          <w:rFonts w:ascii="Segoe UI" w:hAnsi="Segoe UI" w:cs="Segoe UI"/>
          <w:color w:val="666666"/>
          <w:sz w:val="20"/>
          <w:szCs w:val="20"/>
        </w:rPr>
        <w:t>.</w:t>
      </w:r>
      <w:r w:rsidR="00193730">
        <w:rPr>
          <w:rFonts w:ascii="Segoe UI" w:hAnsi="Segoe UI" w:cs="Segoe UI"/>
          <w:color w:val="666666"/>
          <w:sz w:val="20"/>
          <w:szCs w:val="20"/>
        </w:rPr>
        <w:t>46</w:t>
      </w:r>
      <w:r w:rsidRPr="00FF16CC">
        <w:rPr>
          <w:rFonts w:ascii="Segoe UI" w:hAnsi="Segoe UI" w:cs="Segoe UI"/>
          <w:color w:val="666666"/>
          <w:sz w:val="20"/>
          <w:szCs w:val="20"/>
        </w:rPr>
        <w:t xml:space="preserve"> billion, $</w:t>
      </w:r>
      <w:r w:rsidR="00193730">
        <w:rPr>
          <w:rFonts w:ascii="Segoe UI" w:hAnsi="Segoe UI" w:cs="Segoe UI"/>
          <w:color w:val="666666"/>
          <w:sz w:val="20"/>
          <w:szCs w:val="20"/>
        </w:rPr>
        <w:t>6</w:t>
      </w:r>
      <w:r w:rsidRPr="00FF16CC">
        <w:rPr>
          <w:rFonts w:ascii="Segoe UI" w:hAnsi="Segoe UI" w:cs="Segoe UI"/>
          <w:color w:val="666666"/>
          <w:sz w:val="20"/>
          <w:szCs w:val="20"/>
        </w:rPr>
        <w:t>.97 billion, $</w:t>
      </w:r>
      <w:r w:rsidR="00AF5C4A">
        <w:rPr>
          <w:rFonts w:ascii="Segoe UI" w:hAnsi="Segoe UI" w:cs="Segoe UI"/>
          <w:color w:val="666666"/>
          <w:sz w:val="20"/>
          <w:szCs w:val="20"/>
        </w:rPr>
        <w:t>5</w:t>
      </w:r>
      <w:r w:rsidRPr="00FF16CC">
        <w:rPr>
          <w:rFonts w:ascii="Segoe UI" w:hAnsi="Segoe UI" w:cs="Segoe UI"/>
          <w:color w:val="666666"/>
          <w:sz w:val="20"/>
          <w:szCs w:val="20"/>
        </w:rPr>
        <w:t>.</w:t>
      </w:r>
      <w:r w:rsidR="00AF5C4A">
        <w:rPr>
          <w:rFonts w:ascii="Segoe UI" w:hAnsi="Segoe UI" w:cs="Segoe UI"/>
          <w:color w:val="666666"/>
          <w:sz w:val="20"/>
          <w:szCs w:val="20"/>
        </w:rPr>
        <w:t>66</w:t>
      </w:r>
      <w:r w:rsidRPr="00FF16CC">
        <w:rPr>
          <w:rFonts w:ascii="Segoe UI" w:hAnsi="Segoe UI" w:cs="Segoe UI"/>
          <w:color w:val="666666"/>
          <w:sz w:val="20"/>
          <w:szCs w:val="20"/>
        </w:rPr>
        <w:t xml:space="preserve"> billion, and $0.</w:t>
      </w:r>
      <w:r w:rsidR="00193730">
        <w:rPr>
          <w:rFonts w:ascii="Segoe UI" w:hAnsi="Segoe UI" w:cs="Segoe UI"/>
          <w:color w:val="666666"/>
          <w:sz w:val="20"/>
          <w:szCs w:val="20"/>
        </w:rPr>
        <w:t>6</w:t>
      </w:r>
      <w:r w:rsidRPr="00FF16CC">
        <w:rPr>
          <w:rFonts w:ascii="Segoe UI" w:hAnsi="Segoe UI" w:cs="Segoe UI"/>
          <w:color w:val="666666"/>
          <w:sz w:val="20"/>
          <w:szCs w:val="20"/>
        </w:rPr>
        <w:t>8 per share, respectively</w:t>
      </w:r>
      <w:r w:rsidRPr="00123413">
        <w:rPr>
          <w:rFonts w:ascii="Segoe UI" w:hAnsi="Segoe UI" w:cs="Segoe UI"/>
          <w:color w:val="666666"/>
          <w:sz w:val="20"/>
          <w:szCs w:val="20"/>
        </w:rPr>
        <w:t>.</w:t>
      </w:r>
    </w:p>
    <w:p w14:paraId="1CC2DD64" w14:textId="525A3024" w:rsidR="00983CBE" w:rsidRPr="00123413" w:rsidRDefault="00983CBE" w:rsidP="00983CBE">
      <w:pPr>
        <w:spacing w:line="280" w:lineRule="exact"/>
        <w:rPr>
          <w:rFonts w:ascii="Segoe UI" w:hAnsi="Segoe UI" w:cs="Segoe UI"/>
          <w:color w:val="666666"/>
          <w:sz w:val="20"/>
          <w:szCs w:val="20"/>
        </w:rPr>
      </w:pPr>
      <w:r w:rsidRPr="00FF16CC">
        <w:rPr>
          <w:rFonts w:ascii="Segoe UI" w:hAnsi="Segoe UI" w:cs="Segoe UI"/>
          <w:color w:val="666666"/>
          <w:sz w:val="20"/>
          <w:szCs w:val="20"/>
        </w:rPr>
        <w:lastRenderedPageBreak/>
        <w:t xml:space="preserve">The following table reconciles </w:t>
      </w:r>
      <w:r w:rsidR="00211318">
        <w:rPr>
          <w:rFonts w:ascii="Segoe UI" w:hAnsi="Segoe UI" w:cs="Segoe UI"/>
          <w:color w:val="666666"/>
          <w:sz w:val="20"/>
          <w:szCs w:val="20"/>
        </w:rPr>
        <w:t>our</w:t>
      </w:r>
      <w:r w:rsidRPr="00FF16CC">
        <w:rPr>
          <w:rFonts w:ascii="Segoe UI" w:hAnsi="Segoe UI" w:cs="Segoe UI"/>
          <w:color w:val="666666"/>
          <w:sz w:val="20"/>
          <w:szCs w:val="20"/>
        </w:rPr>
        <w:t xml:space="preserve"> financial results reported in accordance with generally accepted accounting principles (</w:t>
      </w:r>
      <w:r>
        <w:rPr>
          <w:rFonts w:ascii="Segoe UI" w:hAnsi="Segoe UI" w:cs="Segoe UI"/>
          <w:color w:val="666666"/>
          <w:sz w:val="20"/>
          <w:szCs w:val="20"/>
        </w:rPr>
        <w:t>“</w:t>
      </w:r>
      <w:r w:rsidRPr="00FF16CC">
        <w:rPr>
          <w:rFonts w:ascii="Segoe UI" w:hAnsi="Segoe UI" w:cs="Segoe UI"/>
          <w:color w:val="666666"/>
          <w:sz w:val="20"/>
          <w:szCs w:val="20"/>
        </w:rPr>
        <w:t>GAAP</w:t>
      </w:r>
      <w:r>
        <w:rPr>
          <w:rFonts w:ascii="Segoe UI" w:hAnsi="Segoe UI" w:cs="Segoe UI"/>
          <w:color w:val="666666"/>
          <w:sz w:val="20"/>
          <w:szCs w:val="20"/>
        </w:rPr>
        <w:t>”</w:t>
      </w:r>
      <w:r w:rsidRPr="00FF16CC">
        <w:rPr>
          <w:rFonts w:ascii="Segoe UI" w:hAnsi="Segoe UI" w:cs="Segoe UI"/>
          <w:color w:val="666666"/>
          <w:sz w:val="20"/>
          <w:szCs w:val="20"/>
        </w:rPr>
        <w:t>) to non-GAAP financial results</w:t>
      </w:r>
      <w:r w:rsidR="0058222D">
        <w:rPr>
          <w:rFonts w:ascii="Segoe UI" w:hAnsi="Segoe UI" w:cs="Segoe UI"/>
          <w:color w:val="666666"/>
          <w:sz w:val="20"/>
          <w:szCs w:val="20"/>
        </w:rPr>
        <w:t xml:space="preserve"> for the prior year</w:t>
      </w:r>
      <w:r w:rsidRPr="00FF16CC">
        <w:rPr>
          <w:rFonts w:ascii="Segoe UI" w:hAnsi="Segoe UI" w:cs="Segoe UI"/>
          <w:color w:val="666666"/>
          <w:sz w:val="20"/>
          <w:szCs w:val="20"/>
        </w:rPr>
        <w:t>. We have provided this non-GAAP financial information to aid investors in better understanding the company’s performance</w:t>
      </w:r>
      <w:r>
        <w:rPr>
          <w:rFonts w:ascii="Segoe UI" w:hAnsi="Segoe UI" w:cs="Segoe UI"/>
          <w:color w:val="666666"/>
          <w:sz w:val="20"/>
          <w:szCs w:val="20"/>
        </w:rPr>
        <w:t>.</w:t>
      </w:r>
      <w:r w:rsidR="00BA3529">
        <w:rPr>
          <w:rFonts w:ascii="Segoe UI" w:hAnsi="Segoe UI" w:cs="Segoe UI"/>
          <w:color w:val="666666"/>
          <w:sz w:val="20"/>
          <w:szCs w:val="20"/>
        </w:rPr>
        <w:t xml:space="preserve"> </w:t>
      </w:r>
      <w:r w:rsidR="006147D1" w:rsidRPr="00B07909">
        <w:rPr>
          <w:rFonts w:ascii="Segoe UI" w:hAnsi="Segoe UI" w:cs="Segoe UI"/>
          <w:color w:val="666666"/>
          <w:sz w:val="20"/>
          <w:szCs w:val="20"/>
        </w:rPr>
        <w:t>Management commentary regarding performance and growth refer</w:t>
      </w:r>
      <w:r w:rsidR="00E0697C">
        <w:rPr>
          <w:rFonts w:ascii="Segoe UI" w:hAnsi="Segoe UI" w:cs="Segoe UI"/>
          <w:color w:val="666666"/>
          <w:sz w:val="20"/>
          <w:szCs w:val="20"/>
        </w:rPr>
        <w:t>s</w:t>
      </w:r>
      <w:bookmarkStart w:id="0" w:name="_GoBack"/>
      <w:bookmarkEnd w:id="0"/>
      <w:r w:rsidR="006147D1" w:rsidRPr="00B07909">
        <w:rPr>
          <w:rFonts w:ascii="Segoe UI" w:hAnsi="Segoe UI" w:cs="Segoe UI"/>
          <w:color w:val="666666"/>
          <w:sz w:val="20"/>
          <w:szCs w:val="20"/>
        </w:rPr>
        <w:t xml:space="preserve"> to non-GAAP financial results.</w:t>
      </w:r>
      <w:r w:rsidR="00F71CA5">
        <w:rPr>
          <w:rFonts w:ascii="Segoe UI" w:hAnsi="Segoe UI" w:cs="Segoe UI"/>
          <w:color w:val="666666"/>
          <w:sz w:val="20"/>
          <w:szCs w:val="20"/>
        </w:rPr>
        <w:t xml:space="preserve"> </w:t>
      </w:r>
    </w:p>
    <w:tbl>
      <w:tblPr>
        <w:tblStyle w:val="TableGrid1"/>
        <w:tblW w:w="7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gridCol w:w="730"/>
        <w:gridCol w:w="1646"/>
        <w:gridCol w:w="1059"/>
        <w:gridCol w:w="882"/>
        <w:gridCol w:w="889"/>
        <w:gridCol w:w="608"/>
        <w:gridCol w:w="453"/>
        <w:gridCol w:w="155"/>
      </w:tblGrid>
      <w:tr w:rsidR="00245A26" w:rsidRPr="009A30FC" w14:paraId="7DB78FF1" w14:textId="77777777" w:rsidTr="00950986">
        <w:trPr>
          <w:gridAfter w:val="1"/>
          <w:wAfter w:w="155" w:type="dxa"/>
          <w:trHeight w:val="328"/>
        </w:trPr>
        <w:tc>
          <w:tcPr>
            <w:tcW w:w="1440" w:type="dxa"/>
            <w:tcMar>
              <w:left w:w="29" w:type="dxa"/>
              <w:right w:w="43" w:type="dxa"/>
            </w:tcMar>
            <w:vAlign w:val="bottom"/>
          </w:tcPr>
          <w:p w14:paraId="15D1C5E7" w14:textId="77777777" w:rsidR="00245A26" w:rsidRPr="009A30FC" w:rsidRDefault="00245A26" w:rsidP="00950986">
            <w:pPr>
              <w:rPr>
                <w:rFonts w:ascii="Segoe UI" w:hAnsi="Segoe UI" w:cs="Segoe UI"/>
                <w:b/>
                <w:color w:val="666666"/>
                <w:sz w:val="16"/>
                <w:szCs w:val="16"/>
              </w:rPr>
            </w:pPr>
          </w:p>
        </w:tc>
        <w:tc>
          <w:tcPr>
            <w:tcW w:w="6267" w:type="dxa"/>
            <w:gridSpan w:val="7"/>
            <w:tcBorders>
              <w:bottom w:val="single" w:sz="4" w:space="0" w:color="auto"/>
            </w:tcBorders>
            <w:tcMar>
              <w:left w:w="29" w:type="dxa"/>
              <w:right w:w="43" w:type="dxa"/>
            </w:tcMar>
            <w:vAlign w:val="center"/>
          </w:tcPr>
          <w:p w14:paraId="2BA1EAC0" w14:textId="77777777" w:rsidR="00245A26" w:rsidRPr="009A30FC" w:rsidRDefault="00245A26" w:rsidP="00950986">
            <w:pPr>
              <w:jc w:val="center"/>
              <w:rPr>
                <w:rFonts w:ascii="Segoe UI" w:hAnsi="Segoe UI" w:cs="Segoe UI"/>
                <w:b/>
                <w:color w:val="666666"/>
                <w:sz w:val="16"/>
                <w:szCs w:val="16"/>
              </w:rPr>
            </w:pPr>
            <w:r w:rsidRPr="009A30FC">
              <w:rPr>
                <w:rFonts w:ascii="Segoe UI" w:hAnsi="Segoe UI" w:cs="Segoe UI"/>
                <w:b/>
                <w:color w:val="666666"/>
                <w:sz w:val="16"/>
                <w:szCs w:val="16"/>
              </w:rPr>
              <w:t xml:space="preserve">Three Months Ended </w:t>
            </w:r>
            <w:r>
              <w:rPr>
                <w:rFonts w:ascii="Segoe UI" w:hAnsi="Segoe UI" w:cs="Segoe UI"/>
                <w:b/>
                <w:color w:val="666666"/>
                <w:sz w:val="16"/>
                <w:szCs w:val="16"/>
              </w:rPr>
              <w:t>March</w:t>
            </w:r>
            <w:r w:rsidRPr="009A30FC">
              <w:rPr>
                <w:rFonts w:ascii="Segoe UI" w:hAnsi="Segoe UI" w:cs="Segoe UI"/>
                <w:b/>
                <w:color w:val="666666"/>
                <w:sz w:val="16"/>
                <w:szCs w:val="16"/>
              </w:rPr>
              <w:t xml:space="preserve"> 31,</w:t>
            </w:r>
          </w:p>
        </w:tc>
      </w:tr>
      <w:tr w:rsidR="00245A26" w:rsidRPr="009A30FC" w14:paraId="3CA236DF" w14:textId="77777777" w:rsidTr="00950986">
        <w:trPr>
          <w:trHeight w:val="1137"/>
        </w:trPr>
        <w:tc>
          <w:tcPr>
            <w:tcW w:w="1440" w:type="dxa"/>
            <w:tcMar>
              <w:left w:w="29" w:type="dxa"/>
              <w:right w:w="43" w:type="dxa"/>
            </w:tcMar>
            <w:vAlign w:val="bottom"/>
          </w:tcPr>
          <w:p w14:paraId="0619FDFD" w14:textId="77777777" w:rsidR="00245A26" w:rsidRPr="009A30FC" w:rsidRDefault="00245A26" w:rsidP="00950986">
            <w:pPr>
              <w:rPr>
                <w:rFonts w:ascii="Segoe UI" w:hAnsi="Segoe UI" w:cs="Segoe UI"/>
                <w:b/>
                <w:color w:val="666666"/>
              </w:rPr>
            </w:pPr>
            <w:r w:rsidRPr="009A30FC">
              <w:rPr>
                <w:rFonts w:ascii="Segoe UI" w:hAnsi="Segoe UI" w:cs="Segoe UI"/>
                <w:color w:val="666666"/>
                <w:sz w:val="16"/>
                <w:szCs w:val="16"/>
              </w:rPr>
              <w:t>($ in millions, except per share amounts)</w:t>
            </w:r>
          </w:p>
        </w:tc>
        <w:tc>
          <w:tcPr>
            <w:tcW w:w="730" w:type="dxa"/>
            <w:tcBorders>
              <w:top w:val="single" w:sz="4" w:space="0" w:color="auto"/>
              <w:bottom w:val="single" w:sz="4" w:space="0" w:color="auto"/>
            </w:tcBorders>
            <w:tcMar>
              <w:left w:w="29" w:type="dxa"/>
              <w:right w:w="43" w:type="dxa"/>
            </w:tcMar>
            <w:vAlign w:val="bottom"/>
          </w:tcPr>
          <w:p w14:paraId="2E317E4C" w14:textId="77777777" w:rsidR="00245A26" w:rsidRPr="009A30FC" w:rsidRDefault="00245A26" w:rsidP="00950986">
            <w:pPr>
              <w:jc w:val="right"/>
              <w:rPr>
                <w:rFonts w:ascii="Segoe UI" w:hAnsi="Segoe UI" w:cs="Segoe UI"/>
                <w:color w:val="666666"/>
                <w:sz w:val="16"/>
                <w:szCs w:val="16"/>
              </w:rPr>
            </w:pPr>
            <w:r w:rsidRPr="009A30FC">
              <w:rPr>
                <w:rFonts w:ascii="Segoe UI" w:hAnsi="Segoe UI" w:cs="Segoe UI"/>
                <w:color w:val="666666"/>
                <w:sz w:val="16"/>
                <w:szCs w:val="16"/>
              </w:rPr>
              <w:t>201</w:t>
            </w:r>
            <w:r>
              <w:rPr>
                <w:rFonts w:ascii="Segoe UI" w:hAnsi="Segoe UI" w:cs="Segoe UI"/>
                <w:color w:val="666666"/>
                <w:sz w:val="16"/>
                <w:szCs w:val="16"/>
              </w:rPr>
              <w:t>3</w:t>
            </w:r>
            <w:r w:rsidRPr="009A30FC">
              <w:rPr>
                <w:rFonts w:ascii="Segoe UI" w:hAnsi="Segoe UI" w:cs="Segoe UI"/>
                <w:color w:val="666666"/>
                <w:sz w:val="16"/>
                <w:szCs w:val="16"/>
              </w:rPr>
              <w:t xml:space="preserve"> As Reported (GAAP)</w:t>
            </w:r>
          </w:p>
        </w:tc>
        <w:tc>
          <w:tcPr>
            <w:tcW w:w="1646" w:type="dxa"/>
            <w:tcBorders>
              <w:top w:val="single" w:sz="4" w:space="0" w:color="auto"/>
              <w:bottom w:val="single" w:sz="4" w:space="0" w:color="auto"/>
            </w:tcBorders>
            <w:tcMar>
              <w:left w:w="29" w:type="dxa"/>
              <w:right w:w="43" w:type="dxa"/>
            </w:tcMar>
            <w:vAlign w:val="bottom"/>
          </w:tcPr>
          <w:p w14:paraId="3BC6E39B"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Net revenue recognition for Windows Upgrade Offer, Office Deferral, and Video Game Deferral</w:t>
            </w:r>
          </w:p>
        </w:tc>
        <w:tc>
          <w:tcPr>
            <w:tcW w:w="1059" w:type="dxa"/>
            <w:tcBorders>
              <w:top w:val="single" w:sz="4" w:space="0" w:color="auto"/>
              <w:left w:val="nil"/>
              <w:bottom w:val="single" w:sz="4" w:space="0" w:color="auto"/>
            </w:tcBorders>
            <w:tcMar>
              <w:left w:w="29" w:type="dxa"/>
              <w:right w:w="43" w:type="dxa"/>
            </w:tcMar>
            <w:vAlign w:val="bottom"/>
          </w:tcPr>
          <w:p w14:paraId="58167B69"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European Commission Fine</w:t>
            </w:r>
          </w:p>
        </w:tc>
        <w:tc>
          <w:tcPr>
            <w:tcW w:w="882" w:type="dxa"/>
            <w:tcBorders>
              <w:top w:val="single" w:sz="4" w:space="0" w:color="auto"/>
              <w:bottom w:val="single" w:sz="4" w:space="0" w:color="auto"/>
            </w:tcBorders>
            <w:tcMar>
              <w:left w:w="29" w:type="dxa"/>
              <w:right w:w="43" w:type="dxa"/>
            </w:tcMar>
            <w:vAlign w:val="bottom"/>
          </w:tcPr>
          <w:p w14:paraId="71895DA2"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2013</w:t>
            </w:r>
            <w:r w:rsidRPr="009A30FC">
              <w:rPr>
                <w:rFonts w:ascii="Segoe UI" w:hAnsi="Segoe UI" w:cs="Segoe UI"/>
                <w:color w:val="666666"/>
                <w:sz w:val="16"/>
                <w:szCs w:val="16"/>
              </w:rPr>
              <w:t xml:space="preserve"> As Adjusted (Non-GAAP)</w:t>
            </w:r>
          </w:p>
        </w:tc>
        <w:tc>
          <w:tcPr>
            <w:tcW w:w="889" w:type="dxa"/>
            <w:tcBorders>
              <w:top w:val="single" w:sz="4" w:space="0" w:color="auto"/>
              <w:bottom w:val="single" w:sz="4" w:space="0" w:color="auto"/>
            </w:tcBorders>
            <w:tcMar>
              <w:left w:w="29" w:type="dxa"/>
              <w:right w:w="43" w:type="dxa"/>
            </w:tcMar>
            <w:vAlign w:val="bottom"/>
          </w:tcPr>
          <w:p w14:paraId="3DD9FEAC" w14:textId="77777777" w:rsidR="00245A26" w:rsidRPr="009A30FC" w:rsidRDefault="00245A26" w:rsidP="00950986">
            <w:pPr>
              <w:jc w:val="right"/>
              <w:rPr>
                <w:rFonts w:ascii="Segoe UI" w:hAnsi="Segoe UI" w:cs="Segoe UI"/>
                <w:color w:val="666666"/>
                <w:sz w:val="16"/>
                <w:szCs w:val="16"/>
              </w:rPr>
            </w:pPr>
            <w:r w:rsidRPr="009A30FC">
              <w:rPr>
                <w:rFonts w:ascii="Segoe UI" w:hAnsi="Segoe UI" w:cs="Segoe UI"/>
                <w:color w:val="666666"/>
                <w:sz w:val="16"/>
                <w:szCs w:val="16"/>
              </w:rPr>
              <w:t>201</w:t>
            </w:r>
            <w:r>
              <w:rPr>
                <w:rFonts w:ascii="Segoe UI" w:hAnsi="Segoe UI" w:cs="Segoe UI"/>
                <w:color w:val="666666"/>
                <w:sz w:val="16"/>
                <w:szCs w:val="16"/>
              </w:rPr>
              <w:t>4</w:t>
            </w:r>
            <w:r w:rsidRPr="009A30FC">
              <w:rPr>
                <w:rFonts w:ascii="Segoe UI" w:hAnsi="Segoe UI" w:cs="Segoe UI"/>
                <w:color w:val="666666"/>
                <w:sz w:val="16"/>
                <w:szCs w:val="16"/>
              </w:rPr>
              <w:t xml:space="preserve"> As Reported (GAAP)</w:t>
            </w:r>
          </w:p>
        </w:tc>
        <w:tc>
          <w:tcPr>
            <w:tcW w:w="608" w:type="dxa"/>
            <w:tcBorders>
              <w:top w:val="single" w:sz="4" w:space="0" w:color="auto"/>
              <w:bottom w:val="single" w:sz="4" w:space="0" w:color="auto"/>
            </w:tcBorders>
            <w:tcMar>
              <w:left w:w="29" w:type="dxa"/>
              <w:right w:w="43" w:type="dxa"/>
            </w:tcMar>
            <w:vAlign w:val="bottom"/>
          </w:tcPr>
          <w:p w14:paraId="6F0BD8D5" w14:textId="77777777" w:rsidR="00245A26" w:rsidRPr="009A30FC" w:rsidRDefault="00245A26" w:rsidP="00950986">
            <w:pPr>
              <w:jc w:val="right"/>
              <w:rPr>
                <w:rFonts w:ascii="Segoe UI" w:hAnsi="Segoe UI" w:cs="Segoe UI"/>
                <w:color w:val="666666"/>
                <w:sz w:val="16"/>
                <w:szCs w:val="16"/>
              </w:rPr>
            </w:pPr>
            <w:r w:rsidRPr="009A30FC">
              <w:rPr>
                <w:rFonts w:ascii="Segoe UI" w:hAnsi="Segoe UI" w:cs="Segoe UI"/>
                <w:color w:val="666666"/>
                <w:sz w:val="16"/>
                <w:szCs w:val="16"/>
              </w:rPr>
              <w:t>%Y/Y (GAAP)</w:t>
            </w:r>
          </w:p>
        </w:tc>
        <w:tc>
          <w:tcPr>
            <w:tcW w:w="608" w:type="dxa"/>
            <w:gridSpan w:val="2"/>
            <w:tcBorders>
              <w:top w:val="single" w:sz="4" w:space="0" w:color="auto"/>
              <w:bottom w:val="single" w:sz="4" w:space="0" w:color="auto"/>
            </w:tcBorders>
            <w:tcMar>
              <w:left w:w="29" w:type="dxa"/>
              <w:right w:w="43" w:type="dxa"/>
            </w:tcMar>
            <w:vAlign w:val="bottom"/>
          </w:tcPr>
          <w:p w14:paraId="348A671B" w14:textId="77777777" w:rsidR="00245A26" w:rsidRPr="009A30FC" w:rsidRDefault="00245A26" w:rsidP="00950986">
            <w:pPr>
              <w:jc w:val="right"/>
              <w:rPr>
                <w:rFonts w:ascii="Segoe UI" w:hAnsi="Segoe UI" w:cs="Segoe UI"/>
                <w:color w:val="666666"/>
                <w:sz w:val="16"/>
                <w:szCs w:val="16"/>
              </w:rPr>
            </w:pPr>
            <w:r w:rsidRPr="009A30FC">
              <w:rPr>
                <w:rFonts w:ascii="Segoe UI" w:hAnsi="Segoe UI" w:cs="Segoe UI"/>
                <w:color w:val="666666"/>
                <w:sz w:val="16"/>
                <w:szCs w:val="16"/>
              </w:rPr>
              <w:t>%Y/Y (Non-GAAP)</w:t>
            </w:r>
          </w:p>
        </w:tc>
      </w:tr>
      <w:tr w:rsidR="00245A26" w:rsidRPr="009A30FC" w14:paraId="59B818AC" w14:textId="77777777" w:rsidTr="00950986">
        <w:trPr>
          <w:trHeight w:val="305"/>
        </w:trPr>
        <w:tc>
          <w:tcPr>
            <w:tcW w:w="1440" w:type="dxa"/>
            <w:tcMar>
              <w:left w:w="29" w:type="dxa"/>
              <w:right w:w="43" w:type="dxa"/>
            </w:tcMar>
            <w:vAlign w:val="bottom"/>
          </w:tcPr>
          <w:p w14:paraId="361FEE77" w14:textId="77777777" w:rsidR="00245A26" w:rsidRPr="009A30FC" w:rsidRDefault="00245A26" w:rsidP="00950986">
            <w:pPr>
              <w:rPr>
                <w:rFonts w:ascii="Segoe UI" w:hAnsi="Segoe UI" w:cs="Segoe UI"/>
                <w:b/>
                <w:color w:val="666666"/>
              </w:rPr>
            </w:pPr>
            <w:r w:rsidRPr="009A30FC">
              <w:rPr>
                <w:rFonts w:ascii="Segoe UI" w:hAnsi="Segoe UI" w:cs="Segoe UI"/>
                <w:color w:val="666666"/>
                <w:sz w:val="16"/>
                <w:szCs w:val="16"/>
              </w:rPr>
              <w:t>Revenue</w:t>
            </w:r>
          </w:p>
        </w:tc>
        <w:tc>
          <w:tcPr>
            <w:tcW w:w="730" w:type="dxa"/>
            <w:tcBorders>
              <w:top w:val="single" w:sz="4" w:space="0" w:color="auto"/>
            </w:tcBorders>
            <w:tcMar>
              <w:left w:w="29" w:type="dxa"/>
              <w:right w:w="43" w:type="dxa"/>
            </w:tcMar>
            <w:vAlign w:val="bottom"/>
          </w:tcPr>
          <w:p w14:paraId="020C22D3"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w:t>
            </w:r>
            <w:r>
              <w:rPr>
                <w:rFonts w:ascii="Segoe UI" w:hAnsi="Segoe UI" w:cs="Segoe UI"/>
                <w:color w:val="666666"/>
                <w:sz w:val="16"/>
                <w:szCs w:val="16"/>
              </w:rPr>
              <w:t>20</w:t>
            </w:r>
            <w:r w:rsidRPr="009A30FC">
              <w:rPr>
                <w:rFonts w:ascii="Segoe UI" w:hAnsi="Segoe UI" w:cs="Segoe UI"/>
                <w:color w:val="666666"/>
                <w:sz w:val="16"/>
                <w:szCs w:val="16"/>
              </w:rPr>
              <w:t>,</w:t>
            </w:r>
            <w:r>
              <w:rPr>
                <w:rFonts w:ascii="Segoe UI" w:hAnsi="Segoe UI" w:cs="Segoe UI"/>
                <w:color w:val="666666"/>
                <w:sz w:val="16"/>
                <w:szCs w:val="16"/>
              </w:rPr>
              <w:t>489</w:t>
            </w:r>
          </w:p>
        </w:tc>
        <w:tc>
          <w:tcPr>
            <w:tcW w:w="1646" w:type="dxa"/>
            <w:tcBorders>
              <w:top w:val="single" w:sz="4" w:space="0" w:color="auto"/>
            </w:tcBorders>
            <w:tcMar>
              <w:left w:w="29" w:type="dxa"/>
              <w:right w:w="43" w:type="dxa"/>
            </w:tcMar>
            <w:vAlign w:val="bottom"/>
          </w:tcPr>
          <w:p w14:paraId="26A0B918"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w:t>
            </w:r>
            <w:r w:rsidRPr="009A30FC">
              <w:rPr>
                <w:rFonts w:ascii="Segoe UI" w:hAnsi="Segoe UI" w:cs="Segoe UI"/>
                <w:color w:val="666666"/>
                <w:sz w:val="16"/>
                <w:szCs w:val="16"/>
              </w:rPr>
              <w:t>$1,</w:t>
            </w:r>
            <w:r>
              <w:rPr>
                <w:rFonts w:ascii="Segoe UI" w:hAnsi="Segoe UI" w:cs="Segoe UI"/>
                <w:color w:val="666666"/>
                <w:sz w:val="16"/>
                <w:szCs w:val="16"/>
              </w:rPr>
              <w:t>658)</w:t>
            </w:r>
          </w:p>
        </w:tc>
        <w:tc>
          <w:tcPr>
            <w:tcW w:w="1059" w:type="dxa"/>
            <w:tcBorders>
              <w:top w:val="single" w:sz="4" w:space="0" w:color="auto"/>
              <w:left w:val="nil"/>
            </w:tcBorders>
            <w:tcMar>
              <w:left w:w="29" w:type="dxa"/>
              <w:right w:w="43" w:type="dxa"/>
            </w:tcMar>
            <w:vAlign w:val="bottom"/>
          </w:tcPr>
          <w:p w14:paraId="7EE98949" w14:textId="77777777" w:rsidR="00245A26" w:rsidRPr="009A30FC" w:rsidRDefault="00245A26" w:rsidP="00950986">
            <w:pPr>
              <w:jc w:val="right"/>
              <w:rPr>
                <w:rFonts w:ascii="Segoe UI" w:hAnsi="Segoe UI" w:cs="Segoe UI"/>
                <w:b/>
                <w:color w:val="666666"/>
              </w:rPr>
            </w:pPr>
          </w:p>
        </w:tc>
        <w:tc>
          <w:tcPr>
            <w:tcW w:w="882" w:type="dxa"/>
            <w:tcBorders>
              <w:top w:val="single" w:sz="4" w:space="0" w:color="auto"/>
              <w:right w:val="single" w:sz="4" w:space="0" w:color="auto"/>
            </w:tcBorders>
            <w:tcMar>
              <w:left w:w="29" w:type="dxa"/>
              <w:right w:w="43" w:type="dxa"/>
            </w:tcMar>
            <w:vAlign w:val="bottom"/>
          </w:tcPr>
          <w:p w14:paraId="6044B5DF"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 xml:space="preserve">    $</w:t>
            </w:r>
            <w:r>
              <w:rPr>
                <w:rFonts w:ascii="Segoe UI" w:hAnsi="Segoe UI" w:cs="Segoe UI"/>
                <w:color w:val="666666"/>
                <w:sz w:val="16"/>
                <w:szCs w:val="16"/>
              </w:rPr>
              <w:t>18</w:t>
            </w:r>
            <w:r w:rsidRPr="009A30FC">
              <w:rPr>
                <w:rFonts w:ascii="Segoe UI" w:hAnsi="Segoe UI" w:cs="Segoe UI"/>
                <w:color w:val="666666"/>
                <w:sz w:val="16"/>
                <w:szCs w:val="16"/>
              </w:rPr>
              <w:t>,</w:t>
            </w:r>
            <w:r>
              <w:rPr>
                <w:rFonts w:ascii="Segoe UI" w:hAnsi="Segoe UI" w:cs="Segoe UI"/>
                <w:color w:val="666666"/>
                <w:sz w:val="16"/>
                <w:szCs w:val="16"/>
              </w:rPr>
              <w:t>831</w:t>
            </w:r>
          </w:p>
        </w:tc>
        <w:tc>
          <w:tcPr>
            <w:tcW w:w="889" w:type="dxa"/>
            <w:tcBorders>
              <w:top w:val="single" w:sz="4" w:space="0" w:color="auto"/>
              <w:left w:val="single" w:sz="4" w:space="0" w:color="auto"/>
              <w:right w:val="single" w:sz="4" w:space="0" w:color="auto"/>
            </w:tcBorders>
            <w:tcMar>
              <w:left w:w="29" w:type="dxa"/>
              <w:right w:w="43" w:type="dxa"/>
            </w:tcMar>
            <w:vAlign w:val="bottom"/>
          </w:tcPr>
          <w:p w14:paraId="47020BB2"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w:t>
            </w:r>
            <w:r>
              <w:rPr>
                <w:rFonts w:ascii="Segoe UI" w:hAnsi="Segoe UI" w:cs="Segoe UI"/>
                <w:color w:val="666666"/>
                <w:sz w:val="16"/>
                <w:szCs w:val="16"/>
              </w:rPr>
              <w:t>20,403</w:t>
            </w:r>
          </w:p>
        </w:tc>
        <w:tc>
          <w:tcPr>
            <w:tcW w:w="608" w:type="dxa"/>
            <w:tcBorders>
              <w:top w:val="single" w:sz="4" w:space="0" w:color="auto"/>
              <w:left w:val="single" w:sz="4" w:space="0" w:color="auto"/>
              <w:right w:val="single" w:sz="4" w:space="0" w:color="auto"/>
            </w:tcBorders>
            <w:tcMar>
              <w:left w:w="29" w:type="dxa"/>
              <w:right w:w="43" w:type="dxa"/>
            </w:tcMar>
            <w:vAlign w:val="bottom"/>
          </w:tcPr>
          <w:p w14:paraId="348783C8"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(0)</w:t>
            </w:r>
            <w:r w:rsidRPr="009A30FC">
              <w:rPr>
                <w:rFonts w:ascii="Segoe UI" w:hAnsi="Segoe UI" w:cs="Segoe UI"/>
                <w:color w:val="666666"/>
                <w:sz w:val="16"/>
                <w:szCs w:val="16"/>
              </w:rPr>
              <w:t>%</w:t>
            </w:r>
          </w:p>
        </w:tc>
        <w:tc>
          <w:tcPr>
            <w:tcW w:w="608" w:type="dxa"/>
            <w:gridSpan w:val="2"/>
            <w:tcBorders>
              <w:top w:val="single" w:sz="4" w:space="0" w:color="auto"/>
              <w:left w:val="single" w:sz="4" w:space="0" w:color="auto"/>
            </w:tcBorders>
            <w:tcMar>
              <w:left w:w="29" w:type="dxa"/>
              <w:right w:w="43" w:type="dxa"/>
            </w:tcMar>
            <w:vAlign w:val="bottom"/>
          </w:tcPr>
          <w:p w14:paraId="4DD75A82" w14:textId="77777777" w:rsidR="00245A26" w:rsidRPr="009A30FC" w:rsidRDefault="00245A26" w:rsidP="00950986">
            <w:pPr>
              <w:jc w:val="right"/>
              <w:rPr>
                <w:rFonts w:ascii="Segoe UI" w:hAnsi="Segoe UI" w:cs="Segoe UI"/>
                <w:color w:val="666666"/>
                <w:sz w:val="16"/>
                <w:szCs w:val="16"/>
              </w:rPr>
            </w:pPr>
            <w:r>
              <w:rPr>
                <w:rFonts w:ascii="Segoe UI" w:hAnsi="Segoe UI" w:cs="Segoe UI"/>
                <w:color w:val="666666"/>
                <w:sz w:val="16"/>
                <w:szCs w:val="16"/>
              </w:rPr>
              <w:t>8</w:t>
            </w:r>
            <w:r w:rsidRPr="009A30FC">
              <w:rPr>
                <w:rFonts w:ascii="Segoe UI" w:hAnsi="Segoe UI" w:cs="Segoe UI"/>
                <w:color w:val="666666"/>
                <w:sz w:val="16"/>
                <w:szCs w:val="16"/>
              </w:rPr>
              <w:t>%</w:t>
            </w:r>
          </w:p>
        </w:tc>
      </w:tr>
      <w:tr w:rsidR="00245A26" w:rsidRPr="009A30FC" w14:paraId="4F740BFC" w14:textId="77777777" w:rsidTr="00950986">
        <w:trPr>
          <w:trHeight w:val="270"/>
        </w:trPr>
        <w:tc>
          <w:tcPr>
            <w:tcW w:w="1440" w:type="dxa"/>
            <w:tcMar>
              <w:left w:w="29" w:type="dxa"/>
              <w:right w:w="43" w:type="dxa"/>
            </w:tcMar>
            <w:vAlign w:val="bottom"/>
          </w:tcPr>
          <w:p w14:paraId="06976A76" w14:textId="77777777" w:rsidR="00245A26" w:rsidRPr="009A30FC" w:rsidRDefault="00245A26" w:rsidP="00950986">
            <w:pPr>
              <w:rPr>
                <w:rFonts w:ascii="Segoe UI" w:hAnsi="Segoe UI" w:cs="Segoe UI"/>
                <w:color w:val="666666"/>
                <w:sz w:val="16"/>
                <w:szCs w:val="16"/>
              </w:rPr>
            </w:pPr>
            <w:r>
              <w:rPr>
                <w:rFonts w:ascii="Segoe UI" w:hAnsi="Segoe UI" w:cs="Segoe UI"/>
                <w:color w:val="666666"/>
                <w:sz w:val="16"/>
                <w:szCs w:val="16"/>
              </w:rPr>
              <w:t>Gross Margin</w:t>
            </w:r>
          </w:p>
        </w:tc>
        <w:tc>
          <w:tcPr>
            <w:tcW w:w="730" w:type="dxa"/>
            <w:tcMar>
              <w:left w:w="29" w:type="dxa"/>
              <w:right w:w="43" w:type="dxa"/>
            </w:tcMar>
            <w:vAlign w:val="bottom"/>
          </w:tcPr>
          <w:p w14:paraId="79DBDA86" w14:textId="77777777" w:rsidR="00245A26" w:rsidRPr="009A30FC" w:rsidRDefault="00245A26" w:rsidP="00950986">
            <w:pPr>
              <w:jc w:val="right"/>
              <w:rPr>
                <w:rFonts w:ascii="Segoe UI" w:hAnsi="Segoe UI" w:cs="Segoe UI"/>
                <w:color w:val="666666"/>
                <w:sz w:val="16"/>
                <w:szCs w:val="16"/>
              </w:rPr>
            </w:pPr>
            <w:r>
              <w:rPr>
                <w:rFonts w:ascii="Segoe UI" w:hAnsi="Segoe UI" w:cs="Segoe UI"/>
                <w:color w:val="666666"/>
                <w:sz w:val="16"/>
                <w:szCs w:val="16"/>
              </w:rPr>
              <w:t>$15,702</w:t>
            </w:r>
          </w:p>
        </w:tc>
        <w:tc>
          <w:tcPr>
            <w:tcW w:w="1646" w:type="dxa"/>
            <w:tcMar>
              <w:left w:w="29" w:type="dxa"/>
              <w:right w:w="43" w:type="dxa"/>
            </w:tcMar>
            <w:vAlign w:val="bottom"/>
          </w:tcPr>
          <w:p w14:paraId="025B4696" w14:textId="77777777" w:rsidR="00245A26" w:rsidRDefault="00245A26" w:rsidP="00950986">
            <w:pPr>
              <w:jc w:val="right"/>
              <w:rPr>
                <w:rFonts w:ascii="Segoe UI" w:hAnsi="Segoe UI" w:cs="Segoe UI"/>
                <w:color w:val="666666"/>
                <w:sz w:val="16"/>
                <w:szCs w:val="16"/>
              </w:rPr>
            </w:pPr>
            <w:r w:rsidRPr="00FA2C1F">
              <w:rPr>
                <w:rFonts w:ascii="Segoe UI" w:hAnsi="Segoe UI" w:cs="Segoe UI"/>
                <w:color w:val="666666"/>
                <w:sz w:val="16"/>
                <w:szCs w:val="16"/>
              </w:rPr>
              <w:t>($1,658)</w:t>
            </w:r>
          </w:p>
        </w:tc>
        <w:tc>
          <w:tcPr>
            <w:tcW w:w="1059" w:type="dxa"/>
            <w:tcBorders>
              <w:left w:val="nil"/>
            </w:tcBorders>
            <w:tcMar>
              <w:left w:w="29" w:type="dxa"/>
              <w:right w:w="43" w:type="dxa"/>
            </w:tcMar>
            <w:vAlign w:val="bottom"/>
          </w:tcPr>
          <w:p w14:paraId="02AF9E5F" w14:textId="77777777" w:rsidR="00245A26" w:rsidRPr="009A30FC" w:rsidRDefault="00245A26" w:rsidP="00950986">
            <w:pPr>
              <w:jc w:val="right"/>
              <w:rPr>
                <w:rFonts w:ascii="Segoe UI" w:hAnsi="Segoe UI" w:cs="Segoe UI"/>
                <w:color w:val="666666"/>
                <w:sz w:val="16"/>
                <w:szCs w:val="16"/>
              </w:rPr>
            </w:pPr>
          </w:p>
        </w:tc>
        <w:tc>
          <w:tcPr>
            <w:tcW w:w="882" w:type="dxa"/>
            <w:tcBorders>
              <w:right w:val="single" w:sz="4" w:space="0" w:color="auto"/>
            </w:tcBorders>
            <w:tcMar>
              <w:left w:w="29" w:type="dxa"/>
              <w:right w:w="43" w:type="dxa"/>
            </w:tcMar>
            <w:vAlign w:val="bottom"/>
          </w:tcPr>
          <w:p w14:paraId="265B46A2" w14:textId="77777777" w:rsidR="00245A26" w:rsidRPr="009A30FC" w:rsidRDefault="00245A26" w:rsidP="00950986">
            <w:pPr>
              <w:jc w:val="right"/>
              <w:rPr>
                <w:rFonts w:ascii="Segoe UI" w:hAnsi="Segoe UI" w:cs="Segoe UI"/>
                <w:color w:val="666666"/>
                <w:sz w:val="16"/>
                <w:szCs w:val="16"/>
              </w:rPr>
            </w:pPr>
            <w:r>
              <w:rPr>
                <w:rFonts w:ascii="Segoe UI" w:hAnsi="Segoe UI" w:cs="Segoe UI"/>
                <w:color w:val="666666"/>
                <w:sz w:val="16"/>
                <w:szCs w:val="16"/>
              </w:rPr>
              <w:t>$14,044</w:t>
            </w:r>
          </w:p>
        </w:tc>
        <w:tc>
          <w:tcPr>
            <w:tcW w:w="889" w:type="dxa"/>
            <w:tcBorders>
              <w:left w:val="single" w:sz="4" w:space="0" w:color="auto"/>
              <w:right w:val="single" w:sz="4" w:space="0" w:color="auto"/>
            </w:tcBorders>
            <w:tcMar>
              <w:left w:w="29" w:type="dxa"/>
              <w:right w:w="43" w:type="dxa"/>
            </w:tcMar>
            <w:vAlign w:val="bottom"/>
          </w:tcPr>
          <w:p w14:paraId="16B16E18" w14:textId="77777777" w:rsidR="00245A26" w:rsidRPr="009A30FC" w:rsidRDefault="00245A26" w:rsidP="00950986">
            <w:pPr>
              <w:jc w:val="right"/>
              <w:rPr>
                <w:rFonts w:ascii="Segoe UI" w:hAnsi="Segoe UI" w:cs="Segoe UI"/>
                <w:color w:val="666666"/>
                <w:sz w:val="16"/>
                <w:szCs w:val="16"/>
              </w:rPr>
            </w:pPr>
            <w:r>
              <w:rPr>
                <w:rFonts w:ascii="Segoe UI" w:hAnsi="Segoe UI" w:cs="Segoe UI"/>
                <w:color w:val="666666"/>
                <w:sz w:val="16"/>
                <w:szCs w:val="16"/>
              </w:rPr>
              <w:t>$14,462</w:t>
            </w:r>
          </w:p>
        </w:tc>
        <w:tc>
          <w:tcPr>
            <w:tcW w:w="608" w:type="dxa"/>
            <w:tcBorders>
              <w:left w:val="single" w:sz="4" w:space="0" w:color="auto"/>
              <w:right w:val="single" w:sz="4" w:space="0" w:color="auto"/>
            </w:tcBorders>
            <w:tcMar>
              <w:left w:w="29" w:type="dxa"/>
              <w:right w:w="43" w:type="dxa"/>
            </w:tcMar>
            <w:vAlign w:val="bottom"/>
          </w:tcPr>
          <w:p w14:paraId="2FD9583A" w14:textId="77777777" w:rsidR="00245A26" w:rsidRDefault="00245A26" w:rsidP="00950986">
            <w:pPr>
              <w:jc w:val="right"/>
              <w:rPr>
                <w:rFonts w:ascii="Segoe UI" w:hAnsi="Segoe UI" w:cs="Segoe UI"/>
                <w:color w:val="666666"/>
                <w:sz w:val="16"/>
                <w:szCs w:val="16"/>
              </w:rPr>
            </w:pPr>
            <w:r>
              <w:rPr>
                <w:rFonts w:ascii="Segoe UI" w:hAnsi="Segoe UI" w:cs="Segoe UI"/>
                <w:color w:val="666666"/>
                <w:sz w:val="16"/>
                <w:szCs w:val="16"/>
              </w:rPr>
              <w:t>(8)%</w:t>
            </w:r>
          </w:p>
        </w:tc>
        <w:tc>
          <w:tcPr>
            <w:tcW w:w="608" w:type="dxa"/>
            <w:gridSpan w:val="2"/>
            <w:tcBorders>
              <w:left w:val="single" w:sz="4" w:space="0" w:color="auto"/>
            </w:tcBorders>
            <w:tcMar>
              <w:left w:w="29" w:type="dxa"/>
              <w:right w:w="43" w:type="dxa"/>
            </w:tcMar>
            <w:vAlign w:val="bottom"/>
          </w:tcPr>
          <w:p w14:paraId="401A63D0" w14:textId="77777777" w:rsidR="00245A26" w:rsidRDefault="00245A26" w:rsidP="00950986">
            <w:pPr>
              <w:jc w:val="right"/>
              <w:rPr>
                <w:rFonts w:ascii="Segoe UI" w:hAnsi="Segoe UI" w:cs="Segoe UI"/>
                <w:color w:val="666666"/>
                <w:sz w:val="16"/>
                <w:szCs w:val="16"/>
              </w:rPr>
            </w:pPr>
            <w:r>
              <w:rPr>
                <w:rFonts w:ascii="Segoe UI" w:hAnsi="Segoe UI" w:cs="Segoe UI"/>
                <w:color w:val="666666"/>
                <w:sz w:val="16"/>
                <w:szCs w:val="16"/>
              </w:rPr>
              <w:t>3%</w:t>
            </w:r>
          </w:p>
        </w:tc>
      </w:tr>
      <w:tr w:rsidR="00245A26" w:rsidRPr="009A30FC" w14:paraId="15797E43" w14:textId="77777777" w:rsidTr="00950986">
        <w:trPr>
          <w:trHeight w:val="270"/>
        </w:trPr>
        <w:tc>
          <w:tcPr>
            <w:tcW w:w="1440" w:type="dxa"/>
            <w:tcMar>
              <w:left w:w="29" w:type="dxa"/>
              <w:right w:w="43" w:type="dxa"/>
            </w:tcMar>
            <w:vAlign w:val="bottom"/>
          </w:tcPr>
          <w:p w14:paraId="31FCB231" w14:textId="77777777" w:rsidR="00245A26" w:rsidRPr="009A30FC" w:rsidRDefault="00245A26" w:rsidP="00950986">
            <w:pPr>
              <w:rPr>
                <w:rFonts w:ascii="Segoe UI" w:hAnsi="Segoe UI" w:cs="Segoe UI"/>
                <w:b/>
                <w:color w:val="666666"/>
              </w:rPr>
            </w:pPr>
            <w:r w:rsidRPr="009A30FC">
              <w:rPr>
                <w:rFonts w:ascii="Segoe UI" w:hAnsi="Segoe UI" w:cs="Segoe UI"/>
                <w:color w:val="666666"/>
                <w:sz w:val="16"/>
                <w:szCs w:val="16"/>
              </w:rPr>
              <w:t>Operating Income</w:t>
            </w:r>
          </w:p>
        </w:tc>
        <w:tc>
          <w:tcPr>
            <w:tcW w:w="730" w:type="dxa"/>
            <w:tcMar>
              <w:left w:w="29" w:type="dxa"/>
              <w:right w:w="43" w:type="dxa"/>
            </w:tcMar>
            <w:vAlign w:val="bottom"/>
          </w:tcPr>
          <w:p w14:paraId="464CCE01"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w:t>
            </w:r>
            <w:r>
              <w:rPr>
                <w:rFonts w:ascii="Segoe UI" w:hAnsi="Segoe UI" w:cs="Segoe UI"/>
                <w:color w:val="666666"/>
                <w:sz w:val="16"/>
                <w:szCs w:val="16"/>
              </w:rPr>
              <w:t>7</w:t>
            </w:r>
            <w:r w:rsidRPr="009A30FC">
              <w:rPr>
                <w:rFonts w:ascii="Segoe UI" w:hAnsi="Segoe UI" w:cs="Segoe UI"/>
                <w:color w:val="666666"/>
                <w:sz w:val="16"/>
                <w:szCs w:val="16"/>
              </w:rPr>
              <w:t>,</w:t>
            </w:r>
            <w:r>
              <w:rPr>
                <w:rFonts w:ascii="Segoe UI" w:hAnsi="Segoe UI" w:cs="Segoe UI"/>
                <w:color w:val="666666"/>
                <w:sz w:val="16"/>
                <w:szCs w:val="16"/>
              </w:rPr>
              <w:t>612</w:t>
            </w:r>
          </w:p>
        </w:tc>
        <w:tc>
          <w:tcPr>
            <w:tcW w:w="1646" w:type="dxa"/>
            <w:tcMar>
              <w:left w:w="29" w:type="dxa"/>
              <w:right w:w="43" w:type="dxa"/>
            </w:tcMar>
            <w:vAlign w:val="bottom"/>
          </w:tcPr>
          <w:p w14:paraId="0B87CBCA"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w:t>
            </w:r>
            <w:r w:rsidRPr="009A30FC">
              <w:rPr>
                <w:rFonts w:ascii="Segoe UI" w:hAnsi="Segoe UI" w:cs="Segoe UI"/>
                <w:color w:val="666666"/>
                <w:sz w:val="16"/>
                <w:szCs w:val="16"/>
              </w:rPr>
              <w:t>$1,</w:t>
            </w:r>
            <w:r>
              <w:rPr>
                <w:rFonts w:ascii="Segoe UI" w:hAnsi="Segoe UI" w:cs="Segoe UI"/>
                <w:color w:val="666666"/>
                <w:sz w:val="16"/>
                <w:szCs w:val="16"/>
              </w:rPr>
              <w:t>658)</w:t>
            </w:r>
          </w:p>
        </w:tc>
        <w:tc>
          <w:tcPr>
            <w:tcW w:w="1059" w:type="dxa"/>
            <w:tcBorders>
              <w:left w:val="nil"/>
            </w:tcBorders>
            <w:tcMar>
              <w:left w:w="29" w:type="dxa"/>
              <w:right w:w="43" w:type="dxa"/>
            </w:tcMar>
            <w:vAlign w:val="bottom"/>
          </w:tcPr>
          <w:p w14:paraId="73A1CC89"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w:t>
            </w:r>
            <w:r>
              <w:rPr>
                <w:rFonts w:ascii="Segoe UI" w:hAnsi="Segoe UI" w:cs="Segoe UI"/>
                <w:color w:val="666666"/>
                <w:sz w:val="16"/>
                <w:szCs w:val="16"/>
              </w:rPr>
              <w:t>733</w:t>
            </w:r>
          </w:p>
        </w:tc>
        <w:tc>
          <w:tcPr>
            <w:tcW w:w="882" w:type="dxa"/>
            <w:tcBorders>
              <w:right w:val="single" w:sz="4" w:space="0" w:color="auto"/>
            </w:tcBorders>
            <w:tcMar>
              <w:left w:w="29" w:type="dxa"/>
              <w:right w:w="43" w:type="dxa"/>
            </w:tcMar>
            <w:vAlign w:val="bottom"/>
          </w:tcPr>
          <w:p w14:paraId="2130A0E7"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w:t>
            </w:r>
            <w:r>
              <w:rPr>
                <w:rFonts w:ascii="Segoe UI" w:hAnsi="Segoe UI" w:cs="Segoe UI"/>
                <w:color w:val="666666"/>
                <w:sz w:val="16"/>
                <w:szCs w:val="16"/>
              </w:rPr>
              <w:t>6</w:t>
            </w:r>
            <w:r w:rsidRPr="009A30FC">
              <w:rPr>
                <w:rFonts w:ascii="Segoe UI" w:hAnsi="Segoe UI" w:cs="Segoe UI"/>
                <w:color w:val="666666"/>
                <w:sz w:val="16"/>
                <w:szCs w:val="16"/>
              </w:rPr>
              <w:t>,</w:t>
            </w:r>
            <w:r>
              <w:rPr>
                <w:rFonts w:ascii="Segoe UI" w:hAnsi="Segoe UI" w:cs="Segoe UI"/>
                <w:color w:val="666666"/>
                <w:sz w:val="16"/>
                <w:szCs w:val="16"/>
              </w:rPr>
              <w:t>687</w:t>
            </w:r>
          </w:p>
        </w:tc>
        <w:tc>
          <w:tcPr>
            <w:tcW w:w="889" w:type="dxa"/>
            <w:tcBorders>
              <w:left w:val="single" w:sz="4" w:space="0" w:color="auto"/>
              <w:right w:val="single" w:sz="4" w:space="0" w:color="auto"/>
            </w:tcBorders>
            <w:tcMar>
              <w:left w:w="29" w:type="dxa"/>
              <w:right w:w="43" w:type="dxa"/>
            </w:tcMar>
            <w:vAlign w:val="bottom"/>
          </w:tcPr>
          <w:p w14:paraId="61997E94"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w:t>
            </w:r>
            <w:r>
              <w:rPr>
                <w:rFonts w:ascii="Segoe UI" w:hAnsi="Segoe UI" w:cs="Segoe UI"/>
                <w:color w:val="666666"/>
                <w:sz w:val="16"/>
                <w:szCs w:val="16"/>
              </w:rPr>
              <w:t>6,974</w:t>
            </w:r>
          </w:p>
        </w:tc>
        <w:tc>
          <w:tcPr>
            <w:tcW w:w="608" w:type="dxa"/>
            <w:tcBorders>
              <w:left w:val="single" w:sz="4" w:space="0" w:color="auto"/>
              <w:right w:val="single" w:sz="4" w:space="0" w:color="auto"/>
            </w:tcBorders>
            <w:tcMar>
              <w:left w:w="29" w:type="dxa"/>
              <w:right w:w="43" w:type="dxa"/>
            </w:tcMar>
            <w:vAlign w:val="bottom"/>
          </w:tcPr>
          <w:p w14:paraId="5899EA9A"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(8)</w:t>
            </w:r>
            <w:r w:rsidRPr="009A30FC">
              <w:rPr>
                <w:rFonts w:ascii="Segoe UI" w:hAnsi="Segoe UI" w:cs="Segoe UI"/>
                <w:color w:val="666666"/>
                <w:sz w:val="16"/>
                <w:szCs w:val="16"/>
              </w:rPr>
              <w:t>%</w:t>
            </w:r>
          </w:p>
        </w:tc>
        <w:tc>
          <w:tcPr>
            <w:tcW w:w="608" w:type="dxa"/>
            <w:gridSpan w:val="2"/>
            <w:tcBorders>
              <w:left w:val="single" w:sz="4" w:space="0" w:color="auto"/>
            </w:tcBorders>
            <w:tcMar>
              <w:left w:w="29" w:type="dxa"/>
              <w:right w:w="43" w:type="dxa"/>
            </w:tcMar>
            <w:vAlign w:val="bottom"/>
          </w:tcPr>
          <w:p w14:paraId="23C9F2EF" w14:textId="77777777" w:rsidR="00245A26" w:rsidRPr="009A30FC" w:rsidRDefault="00245A26" w:rsidP="00950986">
            <w:pPr>
              <w:jc w:val="right"/>
              <w:rPr>
                <w:rFonts w:ascii="Segoe UI" w:hAnsi="Segoe UI" w:cs="Segoe UI"/>
                <w:color w:val="666666"/>
                <w:sz w:val="16"/>
                <w:szCs w:val="16"/>
              </w:rPr>
            </w:pPr>
            <w:r>
              <w:rPr>
                <w:rFonts w:ascii="Segoe UI" w:hAnsi="Segoe UI" w:cs="Segoe UI"/>
                <w:color w:val="666666"/>
                <w:sz w:val="16"/>
                <w:szCs w:val="16"/>
              </w:rPr>
              <w:t>4</w:t>
            </w:r>
            <w:r w:rsidRPr="009A30FC">
              <w:rPr>
                <w:rFonts w:ascii="Segoe UI" w:hAnsi="Segoe UI" w:cs="Segoe UI"/>
                <w:color w:val="666666"/>
                <w:sz w:val="16"/>
                <w:szCs w:val="16"/>
              </w:rPr>
              <w:t>%</w:t>
            </w:r>
          </w:p>
        </w:tc>
      </w:tr>
      <w:tr w:rsidR="00245A26" w:rsidRPr="009A30FC" w14:paraId="2C0089D9" w14:textId="77777777" w:rsidTr="00950986">
        <w:trPr>
          <w:trHeight w:val="243"/>
        </w:trPr>
        <w:tc>
          <w:tcPr>
            <w:tcW w:w="1440" w:type="dxa"/>
            <w:tcMar>
              <w:left w:w="29" w:type="dxa"/>
              <w:right w:w="43" w:type="dxa"/>
            </w:tcMar>
            <w:vAlign w:val="bottom"/>
          </w:tcPr>
          <w:p w14:paraId="70ED9618" w14:textId="77777777" w:rsidR="00245A26" w:rsidRPr="009A30FC" w:rsidRDefault="00245A26" w:rsidP="00950986">
            <w:pPr>
              <w:rPr>
                <w:rFonts w:ascii="Segoe UI" w:hAnsi="Segoe UI" w:cs="Segoe UI"/>
                <w:b/>
                <w:color w:val="666666"/>
              </w:rPr>
            </w:pPr>
            <w:r>
              <w:rPr>
                <w:rFonts w:ascii="Segoe UI" w:hAnsi="Segoe UI" w:cs="Segoe UI"/>
                <w:color w:val="666666"/>
                <w:sz w:val="16"/>
                <w:szCs w:val="16"/>
              </w:rPr>
              <w:t xml:space="preserve">Diluted </w:t>
            </w:r>
            <w:r w:rsidRPr="009A30FC">
              <w:rPr>
                <w:rFonts w:ascii="Segoe UI" w:hAnsi="Segoe UI" w:cs="Segoe UI"/>
                <w:color w:val="666666"/>
                <w:sz w:val="16"/>
                <w:szCs w:val="16"/>
              </w:rPr>
              <w:t>EPS</w:t>
            </w:r>
          </w:p>
        </w:tc>
        <w:tc>
          <w:tcPr>
            <w:tcW w:w="730" w:type="dxa"/>
            <w:tcBorders>
              <w:bottom w:val="single" w:sz="4" w:space="0" w:color="auto"/>
            </w:tcBorders>
            <w:tcMar>
              <w:left w:w="29" w:type="dxa"/>
              <w:right w:w="43" w:type="dxa"/>
            </w:tcMar>
            <w:vAlign w:val="bottom"/>
          </w:tcPr>
          <w:p w14:paraId="65A41B0A"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$0.</w:t>
            </w:r>
            <w:r>
              <w:rPr>
                <w:rFonts w:ascii="Segoe UI" w:hAnsi="Segoe UI" w:cs="Segoe UI"/>
                <w:color w:val="666666"/>
                <w:sz w:val="16"/>
                <w:szCs w:val="16"/>
              </w:rPr>
              <w:t>72</w:t>
            </w:r>
          </w:p>
        </w:tc>
        <w:tc>
          <w:tcPr>
            <w:tcW w:w="1646" w:type="dxa"/>
            <w:tcBorders>
              <w:bottom w:val="single" w:sz="4" w:space="0" w:color="auto"/>
            </w:tcBorders>
            <w:tcMar>
              <w:left w:w="29" w:type="dxa"/>
              <w:right w:w="43" w:type="dxa"/>
            </w:tcMar>
            <w:vAlign w:val="bottom"/>
          </w:tcPr>
          <w:p w14:paraId="63AE4671"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w:t>
            </w:r>
            <w:r w:rsidRPr="009A30FC">
              <w:rPr>
                <w:rFonts w:ascii="Segoe UI" w:hAnsi="Segoe UI" w:cs="Segoe UI"/>
                <w:color w:val="666666"/>
                <w:sz w:val="16"/>
                <w:szCs w:val="16"/>
              </w:rPr>
              <w:t>$0.1</w:t>
            </w:r>
            <w:r>
              <w:rPr>
                <w:rFonts w:ascii="Segoe UI" w:hAnsi="Segoe UI" w:cs="Segoe UI"/>
                <w:color w:val="666666"/>
                <w:sz w:val="16"/>
                <w:szCs w:val="16"/>
              </w:rPr>
              <w:t>6)</w:t>
            </w:r>
          </w:p>
        </w:tc>
        <w:tc>
          <w:tcPr>
            <w:tcW w:w="1059" w:type="dxa"/>
            <w:tcBorders>
              <w:left w:val="nil"/>
              <w:bottom w:val="single" w:sz="4" w:space="0" w:color="auto"/>
            </w:tcBorders>
            <w:tcMar>
              <w:left w:w="29" w:type="dxa"/>
              <w:right w:w="43" w:type="dxa"/>
            </w:tcMar>
            <w:vAlign w:val="bottom"/>
          </w:tcPr>
          <w:p w14:paraId="2FD147E6"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$0.</w:t>
            </w:r>
            <w:r>
              <w:rPr>
                <w:rFonts w:ascii="Segoe UI" w:hAnsi="Segoe UI" w:cs="Segoe UI"/>
                <w:color w:val="666666"/>
                <w:sz w:val="16"/>
                <w:szCs w:val="16"/>
              </w:rPr>
              <w:t>09</w:t>
            </w:r>
          </w:p>
        </w:tc>
        <w:tc>
          <w:tcPr>
            <w:tcW w:w="882" w:type="dxa"/>
            <w:tcBorders>
              <w:bottom w:val="single" w:sz="4" w:space="0" w:color="auto"/>
              <w:right w:val="single" w:sz="4" w:space="0" w:color="auto"/>
            </w:tcBorders>
            <w:tcMar>
              <w:left w:w="29" w:type="dxa"/>
              <w:right w:w="43" w:type="dxa"/>
            </w:tcMar>
            <w:vAlign w:val="bottom"/>
          </w:tcPr>
          <w:p w14:paraId="0AC01D26"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$0.</w:t>
            </w:r>
            <w:r>
              <w:rPr>
                <w:rFonts w:ascii="Segoe UI" w:hAnsi="Segoe UI" w:cs="Segoe UI"/>
                <w:color w:val="666666"/>
                <w:sz w:val="16"/>
                <w:szCs w:val="16"/>
              </w:rPr>
              <w:t>65</w:t>
            </w:r>
          </w:p>
        </w:tc>
        <w:tc>
          <w:tcPr>
            <w:tcW w:w="889" w:type="dxa"/>
            <w:tcBorders>
              <w:left w:val="single" w:sz="4" w:space="0" w:color="auto"/>
              <w:bottom w:val="single" w:sz="4" w:space="0" w:color="auto"/>
              <w:right w:val="single" w:sz="4" w:space="0" w:color="auto"/>
            </w:tcBorders>
            <w:tcMar>
              <w:left w:w="29" w:type="dxa"/>
              <w:right w:w="43" w:type="dxa"/>
            </w:tcMar>
            <w:vAlign w:val="bottom"/>
          </w:tcPr>
          <w:p w14:paraId="072ADF13" w14:textId="77777777" w:rsidR="00245A26" w:rsidRPr="009A30FC" w:rsidRDefault="00245A26" w:rsidP="00950986">
            <w:pPr>
              <w:jc w:val="right"/>
              <w:rPr>
                <w:rFonts w:ascii="Segoe UI" w:hAnsi="Segoe UI" w:cs="Segoe UI"/>
                <w:b/>
                <w:color w:val="666666"/>
              </w:rPr>
            </w:pPr>
            <w:r w:rsidRPr="009A30FC">
              <w:rPr>
                <w:rFonts w:ascii="Segoe UI" w:hAnsi="Segoe UI" w:cs="Segoe UI"/>
                <w:color w:val="666666"/>
                <w:sz w:val="16"/>
                <w:szCs w:val="16"/>
              </w:rPr>
              <w:t>$0.</w:t>
            </w:r>
            <w:r>
              <w:rPr>
                <w:rFonts w:ascii="Segoe UI" w:hAnsi="Segoe UI" w:cs="Segoe UI"/>
                <w:color w:val="666666"/>
                <w:sz w:val="16"/>
                <w:szCs w:val="16"/>
              </w:rPr>
              <w:t>68</w:t>
            </w:r>
          </w:p>
        </w:tc>
        <w:tc>
          <w:tcPr>
            <w:tcW w:w="608" w:type="dxa"/>
            <w:tcBorders>
              <w:left w:val="single" w:sz="4" w:space="0" w:color="auto"/>
              <w:bottom w:val="single" w:sz="4" w:space="0" w:color="auto"/>
              <w:right w:val="single" w:sz="4" w:space="0" w:color="auto"/>
            </w:tcBorders>
            <w:tcMar>
              <w:left w:w="29" w:type="dxa"/>
              <w:right w:w="43" w:type="dxa"/>
            </w:tcMar>
            <w:vAlign w:val="bottom"/>
          </w:tcPr>
          <w:p w14:paraId="12BC8C16" w14:textId="77777777" w:rsidR="00245A26" w:rsidRPr="009A30FC" w:rsidRDefault="00245A26" w:rsidP="00950986">
            <w:pPr>
              <w:jc w:val="right"/>
              <w:rPr>
                <w:rFonts w:ascii="Segoe UI" w:hAnsi="Segoe UI" w:cs="Segoe UI"/>
                <w:b/>
                <w:color w:val="666666"/>
              </w:rPr>
            </w:pPr>
            <w:r>
              <w:rPr>
                <w:rFonts w:ascii="Segoe UI" w:hAnsi="Segoe UI" w:cs="Segoe UI"/>
                <w:color w:val="666666"/>
                <w:sz w:val="16"/>
                <w:szCs w:val="16"/>
              </w:rPr>
              <w:t>(6)</w:t>
            </w:r>
            <w:r w:rsidRPr="009A30FC">
              <w:rPr>
                <w:rFonts w:ascii="Segoe UI" w:hAnsi="Segoe UI" w:cs="Segoe UI"/>
                <w:color w:val="666666"/>
                <w:sz w:val="16"/>
                <w:szCs w:val="16"/>
              </w:rPr>
              <w:t>%</w:t>
            </w:r>
          </w:p>
        </w:tc>
        <w:tc>
          <w:tcPr>
            <w:tcW w:w="608" w:type="dxa"/>
            <w:gridSpan w:val="2"/>
            <w:tcBorders>
              <w:left w:val="single" w:sz="4" w:space="0" w:color="auto"/>
              <w:bottom w:val="single" w:sz="4" w:space="0" w:color="auto"/>
            </w:tcBorders>
            <w:tcMar>
              <w:left w:w="29" w:type="dxa"/>
              <w:right w:w="43" w:type="dxa"/>
            </w:tcMar>
            <w:vAlign w:val="bottom"/>
          </w:tcPr>
          <w:p w14:paraId="6656D399" w14:textId="77777777" w:rsidR="00245A26" w:rsidRPr="009A30FC" w:rsidRDefault="00245A26" w:rsidP="00950986">
            <w:pPr>
              <w:jc w:val="right"/>
              <w:rPr>
                <w:rFonts w:ascii="Segoe UI" w:hAnsi="Segoe UI" w:cs="Segoe UI"/>
                <w:color w:val="666666"/>
                <w:sz w:val="16"/>
                <w:szCs w:val="16"/>
              </w:rPr>
            </w:pPr>
            <w:r>
              <w:rPr>
                <w:rFonts w:ascii="Segoe UI" w:hAnsi="Segoe UI" w:cs="Segoe UI"/>
                <w:color w:val="666666"/>
                <w:sz w:val="16"/>
                <w:szCs w:val="16"/>
              </w:rPr>
              <w:t>5</w:t>
            </w:r>
            <w:r w:rsidRPr="009A30FC">
              <w:rPr>
                <w:rFonts w:ascii="Segoe UI" w:hAnsi="Segoe UI" w:cs="Segoe UI"/>
                <w:color w:val="666666"/>
                <w:sz w:val="16"/>
                <w:szCs w:val="16"/>
              </w:rPr>
              <w:t>%</w:t>
            </w:r>
          </w:p>
        </w:tc>
      </w:tr>
    </w:tbl>
    <w:p w14:paraId="667526BF" w14:textId="77777777" w:rsidR="00245A26" w:rsidRDefault="00245A26" w:rsidP="00941917">
      <w:pPr>
        <w:spacing w:line="280" w:lineRule="exact"/>
        <w:rPr>
          <w:rFonts w:ascii="Segoe UI" w:hAnsi="Segoe UI" w:cs="Segoe UI"/>
          <w:color w:val="666666"/>
          <w:sz w:val="20"/>
          <w:szCs w:val="20"/>
        </w:rPr>
      </w:pPr>
    </w:p>
    <w:p w14:paraId="59780B1A" w14:textId="34E97769" w:rsidR="00941917" w:rsidRDefault="00941917" w:rsidP="00941917">
      <w:pPr>
        <w:spacing w:line="280" w:lineRule="exact"/>
        <w:rPr>
          <w:rFonts w:ascii="Segoe UI" w:hAnsi="Segoe UI" w:cs="Segoe UI"/>
          <w:color w:val="666666"/>
          <w:sz w:val="20"/>
          <w:szCs w:val="20"/>
        </w:rPr>
      </w:pPr>
      <w:r>
        <w:rPr>
          <w:rFonts w:ascii="Segoe UI" w:hAnsi="Segoe UI" w:cs="Segoe UI"/>
          <w:color w:val="666666"/>
          <w:sz w:val="20"/>
          <w:szCs w:val="20"/>
        </w:rPr>
        <w:lastRenderedPageBreak/>
        <w:t>“This quarter’s results demonstrate the strength of our business, as well as the opportunities we see in a mobile-first, cloud-first world. We are making good progress in our consumer services like Bing and Office 365 Home, and our commercial customers continue to embrace our cloud solutions. Both position us well for long-term growth,” said Satya Nadella, chief executive officer at Microsoft. “We are focused on executing rapidly and delivering bold</w:t>
      </w:r>
      <w:r w:rsidR="002D5792">
        <w:rPr>
          <w:rFonts w:ascii="Segoe UI" w:hAnsi="Segoe UI" w:cs="Segoe UI"/>
          <w:color w:val="666666"/>
          <w:sz w:val="20"/>
          <w:szCs w:val="20"/>
        </w:rPr>
        <w:t>,</w:t>
      </w:r>
      <w:r>
        <w:rPr>
          <w:rFonts w:ascii="Segoe UI" w:hAnsi="Segoe UI" w:cs="Segoe UI"/>
          <w:color w:val="666666"/>
          <w:sz w:val="20"/>
          <w:szCs w:val="20"/>
        </w:rPr>
        <w:t xml:space="preserve"> innovative products that people love to use.”</w:t>
      </w:r>
    </w:p>
    <w:p w14:paraId="1CC2DD8E" w14:textId="77777777" w:rsidR="00E159BE" w:rsidRDefault="00E159BE" w:rsidP="00983CBE">
      <w:pPr>
        <w:spacing w:line="280" w:lineRule="exact"/>
        <w:rPr>
          <w:rFonts w:ascii="Segoe UI" w:hAnsi="Segoe UI" w:cs="Segoe UI"/>
          <w:color w:val="666666"/>
          <w:sz w:val="20"/>
          <w:szCs w:val="20"/>
        </w:rPr>
      </w:pPr>
      <w:r w:rsidRPr="00026FF9">
        <w:rPr>
          <w:rFonts w:ascii="Segoe UI" w:hAnsi="Segoe UI" w:cs="Segoe UI"/>
          <w:color w:val="666666"/>
          <w:sz w:val="20"/>
          <w:szCs w:val="20"/>
        </w:rPr>
        <w:t>“</w:t>
      </w:r>
      <w:r>
        <w:rPr>
          <w:rFonts w:ascii="Segoe UI" w:hAnsi="Segoe UI" w:cs="Segoe UI"/>
          <w:color w:val="666666"/>
          <w:sz w:val="20"/>
          <w:szCs w:val="20"/>
        </w:rPr>
        <w:t>We delivered solid</w:t>
      </w:r>
      <w:r w:rsidR="003F35B6">
        <w:rPr>
          <w:rFonts w:ascii="Segoe UI" w:hAnsi="Segoe UI" w:cs="Segoe UI"/>
          <w:color w:val="666666"/>
          <w:sz w:val="20"/>
          <w:szCs w:val="20"/>
        </w:rPr>
        <w:t>, broad-based</w:t>
      </w:r>
      <w:r>
        <w:rPr>
          <w:rFonts w:ascii="Segoe UI" w:hAnsi="Segoe UI" w:cs="Segoe UI"/>
          <w:color w:val="666666"/>
          <w:sz w:val="20"/>
          <w:szCs w:val="20"/>
        </w:rPr>
        <w:t xml:space="preserve"> financial results driven</w:t>
      </w:r>
      <w:r w:rsidR="003F35B6">
        <w:rPr>
          <w:rFonts w:ascii="Segoe UI" w:hAnsi="Segoe UI" w:cs="Segoe UI"/>
          <w:color w:val="666666"/>
          <w:sz w:val="20"/>
          <w:szCs w:val="20"/>
        </w:rPr>
        <w:t xml:space="preserve"> </w:t>
      </w:r>
      <w:r>
        <w:rPr>
          <w:rFonts w:ascii="Segoe UI" w:hAnsi="Segoe UI" w:cs="Segoe UI"/>
          <w:color w:val="666666"/>
          <w:sz w:val="20"/>
          <w:szCs w:val="20"/>
        </w:rPr>
        <w:t xml:space="preserve">by </w:t>
      </w:r>
      <w:r w:rsidR="004C44F2">
        <w:rPr>
          <w:rFonts w:ascii="Segoe UI" w:hAnsi="Segoe UI" w:cs="Segoe UI"/>
          <w:color w:val="666666"/>
          <w:sz w:val="20"/>
          <w:szCs w:val="20"/>
        </w:rPr>
        <w:t xml:space="preserve">strong execution and </w:t>
      </w:r>
      <w:r>
        <w:rPr>
          <w:rFonts w:ascii="Segoe UI" w:hAnsi="Segoe UI" w:cs="Segoe UI"/>
          <w:color w:val="666666"/>
          <w:sz w:val="20"/>
          <w:szCs w:val="20"/>
        </w:rPr>
        <w:t xml:space="preserve">continued cost </w:t>
      </w:r>
      <w:r>
        <w:rPr>
          <w:rFonts w:ascii="Segoe UI" w:hAnsi="Segoe UI" w:cs="Segoe UI"/>
          <w:color w:val="666666"/>
          <w:sz w:val="20"/>
          <w:szCs w:val="20"/>
        </w:rPr>
        <w:lastRenderedPageBreak/>
        <w:t>discipline</w:t>
      </w:r>
      <w:r w:rsidRPr="00CD7338">
        <w:rPr>
          <w:rFonts w:ascii="Segoe UI" w:hAnsi="Segoe UI" w:cs="Segoe UI"/>
          <w:color w:val="666666"/>
          <w:sz w:val="20"/>
          <w:szCs w:val="20"/>
        </w:rPr>
        <w:t xml:space="preserve">,” said Amy Hood, </w:t>
      </w:r>
      <w:r w:rsidR="00C90491">
        <w:rPr>
          <w:rFonts w:ascii="Segoe UI" w:hAnsi="Segoe UI" w:cs="Segoe UI"/>
          <w:color w:val="666666"/>
          <w:sz w:val="20"/>
          <w:szCs w:val="20"/>
        </w:rPr>
        <w:t xml:space="preserve">executive vice president and </w:t>
      </w:r>
      <w:r w:rsidRPr="00CD7338">
        <w:rPr>
          <w:rFonts w:ascii="Segoe UI" w:hAnsi="Segoe UI" w:cs="Segoe UI"/>
          <w:color w:val="666666"/>
          <w:sz w:val="20"/>
          <w:szCs w:val="20"/>
        </w:rPr>
        <w:t>chief financial officer at Microsoft. “</w:t>
      </w:r>
      <w:r>
        <w:rPr>
          <w:rFonts w:ascii="Segoe UI" w:hAnsi="Segoe UI" w:cs="Segoe UI"/>
          <w:color w:val="666666"/>
          <w:sz w:val="20"/>
          <w:szCs w:val="20"/>
        </w:rPr>
        <w:t>We</w:t>
      </w:r>
      <w:r w:rsidR="00D46028">
        <w:rPr>
          <w:rFonts w:ascii="Segoe UI" w:hAnsi="Segoe UI" w:cs="Segoe UI"/>
          <w:color w:val="666666"/>
          <w:sz w:val="20"/>
          <w:szCs w:val="20"/>
        </w:rPr>
        <w:t xml:space="preserve"> are </w:t>
      </w:r>
      <w:r w:rsidR="00BC5C0E">
        <w:rPr>
          <w:rFonts w:ascii="Segoe UI" w:hAnsi="Segoe UI" w:cs="Segoe UI"/>
          <w:color w:val="666666"/>
          <w:sz w:val="20"/>
          <w:szCs w:val="20"/>
        </w:rPr>
        <w:t xml:space="preserve">focusing </w:t>
      </w:r>
      <w:r>
        <w:rPr>
          <w:rFonts w:ascii="Segoe UI" w:hAnsi="Segoe UI" w:cs="Segoe UI"/>
          <w:color w:val="666666"/>
          <w:sz w:val="20"/>
          <w:szCs w:val="20"/>
        </w:rPr>
        <w:t xml:space="preserve">our resources to drive growth and </w:t>
      </w:r>
      <w:r w:rsidR="00773B60">
        <w:rPr>
          <w:rFonts w:ascii="Segoe UI" w:hAnsi="Segoe UI" w:cs="Segoe UI"/>
          <w:color w:val="666666"/>
          <w:sz w:val="20"/>
          <w:szCs w:val="20"/>
        </w:rPr>
        <w:t xml:space="preserve">long-term </w:t>
      </w:r>
      <w:r>
        <w:rPr>
          <w:rFonts w:ascii="Segoe UI" w:hAnsi="Segoe UI" w:cs="Segoe UI"/>
          <w:color w:val="666666"/>
          <w:sz w:val="20"/>
          <w:szCs w:val="20"/>
        </w:rPr>
        <w:t>shareholder value.”</w:t>
      </w:r>
    </w:p>
    <w:p w14:paraId="1CC2DD8F" w14:textId="14A9BEDD" w:rsidR="00983CBE" w:rsidRPr="00D17AA0" w:rsidRDefault="00983CBE" w:rsidP="00983CBE">
      <w:pPr>
        <w:spacing w:line="280" w:lineRule="exact"/>
        <w:rPr>
          <w:rFonts w:ascii="Segoe UI" w:hAnsi="Segoe UI" w:cs="Segoe UI"/>
          <w:color w:val="666666"/>
          <w:sz w:val="20"/>
          <w:szCs w:val="20"/>
        </w:rPr>
      </w:pPr>
      <w:r>
        <w:rPr>
          <w:rFonts w:ascii="Segoe UI" w:hAnsi="Segoe UI" w:cs="Segoe UI"/>
          <w:color w:val="666666"/>
          <w:sz w:val="20"/>
          <w:szCs w:val="20"/>
        </w:rPr>
        <w:t xml:space="preserve">Devices and Consumer revenue grew </w:t>
      </w:r>
      <w:r w:rsidR="00193730">
        <w:rPr>
          <w:rFonts w:ascii="Segoe UI" w:hAnsi="Segoe UI" w:cs="Segoe UI"/>
          <w:color w:val="666666"/>
          <w:sz w:val="20"/>
          <w:szCs w:val="20"/>
        </w:rPr>
        <w:t>12</w:t>
      </w:r>
      <w:r>
        <w:rPr>
          <w:rFonts w:ascii="Segoe UI" w:hAnsi="Segoe UI" w:cs="Segoe UI"/>
          <w:color w:val="666666"/>
          <w:sz w:val="20"/>
          <w:szCs w:val="20"/>
        </w:rPr>
        <w:t>% to $</w:t>
      </w:r>
      <w:r w:rsidR="00193730">
        <w:rPr>
          <w:rFonts w:ascii="Segoe UI" w:hAnsi="Segoe UI" w:cs="Segoe UI"/>
          <w:color w:val="666666"/>
          <w:sz w:val="20"/>
          <w:szCs w:val="20"/>
        </w:rPr>
        <w:t>8</w:t>
      </w:r>
      <w:r>
        <w:rPr>
          <w:rFonts w:ascii="Segoe UI" w:hAnsi="Segoe UI" w:cs="Segoe UI"/>
          <w:color w:val="666666"/>
          <w:sz w:val="20"/>
          <w:szCs w:val="20"/>
        </w:rPr>
        <w:t>.</w:t>
      </w:r>
      <w:r w:rsidR="00193730">
        <w:rPr>
          <w:rFonts w:ascii="Segoe UI" w:hAnsi="Segoe UI" w:cs="Segoe UI"/>
          <w:color w:val="666666"/>
          <w:sz w:val="20"/>
          <w:szCs w:val="20"/>
        </w:rPr>
        <w:t>3</w:t>
      </w:r>
      <w:r w:rsidR="00136EC4">
        <w:rPr>
          <w:rFonts w:ascii="Segoe UI" w:hAnsi="Segoe UI" w:cs="Segoe UI"/>
          <w:color w:val="666666"/>
          <w:sz w:val="20"/>
          <w:szCs w:val="20"/>
        </w:rPr>
        <w:t>0</w:t>
      </w:r>
      <w:r>
        <w:rPr>
          <w:rFonts w:ascii="Segoe UI" w:hAnsi="Segoe UI" w:cs="Segoe UI"/>
          <w:color w:val="666666"/>
          <w:sz w:val="20"/>
          <w:szCs w:val="20"/>
        </w:rPr>
        <w:t xml:space="preserve"> billion.</w:t>
      </w:r>
    </w:p>
    <w:p w14:paraId="1CC2DD90" w14:textId="77777777" w:rsidR="00983CBE" w:rsidRDefault="00983CBE" w:rsidP="00983CBE">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 xml:space="preserve">Windows OEM revenue </w:t>
      </w:r>
      <w:r w:rsidR="007D2DB4">
        <w:rPr>
          <w:rFonts w:ascii="Segoe UI" w:hAnsi="Segoe UI" w:cs="Segoe UI"/>
          <w:color w:val="666666"/>
          <w:sz w:val="20"/>
          <w:szCs w:val="20"/>
        </w:rPr>
        <w:t>grew</w:t>
      </w:r>
      <w:r>
        <w:rPr>
          <w:rFonts w:ascii="Segoe UI" w:hAnsi="Segoe UI" w:cs="Segoe UI"/>
          <w:color w:val="666666"/>
          <w:sz w:val="20"/>
          <w:szCs w:val="20"/>
        </w:rPr>
        <w:t xml:space="preserve"> </w:t>
      </w:r>
      <w:r w:rsidR="007D2DB4">
        <w:rPr>
          <w:rFonts w:ascii="Segoe UI" w:hAnsi="Segoe UI" w:cs="Segoe UI"/>
          <w:color w:val="666666"/>
          <w:sz w:val="20"/>
          <w:szCs w:val="20"/>
        </w:rPr>
        <w:t>4</w:t>
      </w:r>
      <w:r>
        <w:rPr>
          <w:rFonts w:ascii="Segoe UI" w:hAnsi="Segoe UI" w:cs="Segoe UI"/>
          <w:color w:val="666666"/>
          <w:sz w:val="20"/>
          <w:szCs w:val="20"/>
        </w:rPr>
        <w:t xml:space="preserve">%, </w:t>
      </w:r>
      <w:r w:rsidR="005D7F36">
        <w:rPr>
          <w:rFonts w:ascii="Segoe UI" w:hAnsi="Segoe UI" w:cs="Segoe UI"/>
          <w:color w:val="666666"/>
          <w:sz w:val="20"/>
          <w:szCs w:val="20"/>
        </w:rPr>
        <w:t xml:space="preserve">driven by </w:t>
      </w:r>
      <w:r>
        <w:rPr>
          <w:rFonts w:ascii="Segoe UI" w:hAnsi="Segoe UI" w:cs="Segoe UI"/>
          <w:color w:val="666666"/>
          <w:sz w:val="20"/>
          <w:szCs w:val="20"/>
        </w:rPr>
        <w:t>strong 1</w:t>
      </w:r>
      <w:r w:rsidR="007D2DB4">
        <w:rPr>
          <w:rFonts w:ascii="Segoe UI" w:hAnsi="Segoe UI" w:cs="Segoe UI"/>
          <w:color w:val="666666"/>
          <w:sz w:val="20"/>
          <w:szCs w:val="20"/>
        </w:rPr>
        <w:t>9</w:t>
      </w:r>
      <w:r>
        <w:rPr>
          <w:rFonts w:ascii="Segoe UI" w:hAnsi="Segoe UI" w:cs="Segoe UI"/>
          <w:color w:val="666666"/>
          <w:sz w:val="20"/>
          <w:szCs w:val="20"/>
        </w:rPr>
        <w:t>% growth in Windows OEM Pro revenue.</w:t>
      </w:r>
    </w:p>
    <w:p w14:paraId="1CC2DD91" w14:textId="77777777" w:rsidR="00DA1F95" w:rsidRPr="007C275C" w:rsidRDefault="00DA1F95" w:rsidP="00983CBE">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 xml:space="preserve">Office 365 Home now has 4.4 million subscribers, </w:t>
      </w:r>
      <w:r w:rsidR="00F0041F">
        <w:rPr>
          <w:rFonts w:ascii="Segoe UI" w:hAnsi="Segoe UI" w:cs="Segoe UI"/>
          <w:color w:val="666666"/>
          <w:sz w:val="20"/>
          <w:szCs w:val="20"/>
        </w:rPr>
        <w:t>adding</w:t>
      </w:r>
      <w:r w:rsidR="005D7F36">
        <w:rPr>
          <w:rFonts w:ascii="Segoe UI" w:hAnsi="Segoe UI" w:cs="Segoe UI"/>
          <w:color w:val="666666"/>
          <w:sz w:val="20"/>
          <w:szCs w:val="20"/>
        </w:rPr>
        <w:t xml:space="preserve"> nearly 1 million subscribers in just three months</w:t>
      </w:r>
      <w:r w:rsidR="002406C8">
        <w:rPr>
          <w:rFonts w:ascii="Segoe UI" w:hAnsi="Segoe UI" w:cs="Segoe UI"/>
          <w:color w:val="666666"/>
          <w:sz w:val="20"/>
          <w:szCs w:val="20"/>
        </w:rPr>
        <w:t>.</w:t>
      </w:r>
    </w:p>
    <w:p w14:paraId="1CC2DD92" w14:textId="0A0EE072" w:rsidR="00983CBE" w:rsidRDefault="00F12BDC" w:rsidP="00983CBE">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Microsoft sold</w:t>
      </w:r>
      <w:r w:rsidR="008D6434">
        <w:rPr>
          <w:rFonts w:ascii="Segoe UI" w:hAnsi="Segoe UI" w:cs="Segoe UI"/>
          <w:color w:val="666666"/>
          <w:sz w:val="20"/>
          <w:szCs w:val="20"/>
        </w:rPr>
        <w:t xml:space="preserve"> in</w:t>
      </w:r>
      <w:r>
        <w:rPr>
          <w:rFonts w:ascii="Segoe UI" w:hAnsi="Segoe UI" w:cs="Segoe UI"/>
          <w:color w:val="666666"/>
          <w:sz w:val="20"/>
          <w:szCs w:val="20"/>
        </w:rPr>
        <w:t xml:space="preserve"> 2.0 million Xbox </w:t>
      </w:r>
      <w:r w:rsidR="00983CBE">
        <w:rPr>
          <w:rFonts w:ascii="Segoe UI" w:hAnsi="Segoe UI" w:cs="Segoe UI"/>
          <w:color w:val="666666"/>
          <w:sz w:val="20"/>
          <w:szCs w:val="20"/>
        </w:rPr>
        <w:t xml:space="preserve">console </w:t>
      </w:r>
      <w:r w:rsidR="00D115B7">
        <w:rPr>
          <w:rFonts w:ascii="Segoe UI" w:hAnsi="Segoe UI" w:cs="Segoe UI"/>
          <w:color w:val="666666"/>
          <w:sz w:val="20"/>
          <w:szCs w:val="20"/>
        </w:rPr>
        <w:t xml:space="preserve">units, </w:t>
      </w:r>
      <w:r w:rsidR="00953F71">
        <w:rPr>
          <w:rFonts w:ascii="Segoe UI" w:hAnsi="Segoe UI" w:cs="Segoe UI"/>
          <w:color w:val="666666"/>
          <w:sz w:val="20"/>
          <w:szCs w:val="20"/>
        </w:rPr>
        <w:t>including 1.2 million Xbox One console</w:t>
      </w:r>
      <w:r w:rsidR="007420D3">
        <w:rPr>
          <w:rFonts w:ascii="Segoe UI" w:hAnsi="Segoe UI" w:cs="Segoe UI"/>
          <w:color w:val="666666"/>
          <w:sz w:val="20"/>
          <w:szCs w:val="20"/>
        </w:rPr>
        <w:t>s</w:t>
      </w:r>
      <w:r w:rsidR="00953F71">
        <w:rPr>
          <w:rFonts w:ascii="Segoe UI" w:hAnsi="Segoe UI" w:cs="Segoe UI"/>
          <w:color w:val="666666"/>
          <w:sz w:val="20"/>
          <w:szCs w:val="20"/>
        </w:rPr>
        <w:t>.</w:t>
      </w:r>
    </w:p>
    <w:p w14:paraId="1CC2DD93" w14:textId="77777777" w:rsidR="00983CBE" w:rsidRDefault="00D115B7" w:rsidP="00983CBE">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lastRenderedPageBreak/>
        <w:t xml:space="preserve">Surface revenue </w:t>
      </w:r>
      <w:r w:rsidR="003F0FF8">
        <w:rPr>
          <w:rFonts w:ascii="Segoe UI" w:hAnsi="Segoe UI" w:cs="Segoe UI"/>
          <w:color w:val="666666"/>
          <w:sz w:val="20"/>
          <w:szCs w:val="20"/>
        </w:rPr>
        <w:t xml:space="preserve">grew over 50% to approximately </w:t>
      </w:r>
      <w:r>
        <w:rPr>
          <w:rFonts w:ascii="Segoe UI" w:hAnsi="Segoe UI" w:cs="Segoe UI"/>
          <w:color w:val="666666"/>
          <w:sz w:val="20"/>
          <w:szCs w:val="20"/>
        </w:rPr>
        <w:t>$</w:t>
      </w:r>
      <w:r w:rsidR="003F0FF8">
        <w:rPr>
          <w:rFonts w:ascii="Segoe UI" w:hAnsi="Segoe UI" w:cs="Segoe UI"/>
          <w:color w:val="666666"/>
          <w:sz w:val="20"/>
          <w:szCs w:val="20"/>
        </w:rPr>
        <w:t xml:space="preserve">500 </w:t>
      </w:r>
      <w:r>
        <w:rPr>
          <w:rFonts w:ascii="Segoe UI" w:hAnsi="Segoe UI" w:cs="Segoe UI"/>
          <w:color w:val="666666"/>
          <w:sz w:val="20"/>
          <w:szCs w:val="20"/>
        </w:rPr>
        <w:t>million</w:t>
      </w:r>
      <w:r w:rsidR="00983CBE">
        <w:rPr>
          <w:rFonts w:ascii="Segoe UI" w:hAnsi="Segoe UI" w:cs="Segoe UI"/>
          <w:color w:val="666666"/>
          <w:sz w:val="20"/>
          <w:szCs w:val="20"/>
        </w:rPr>
        <w:t>.</w:t>
      </w:r>
    </w:p>
    <w:p w14:paraId="1CC2DD94" w14:textId="77777777" w:rsidR="00AD4B2C" w:rsidRPr="00CA4E8E" w:rsidRDefault="00AD4B2C" w:rsidP="00983CBE">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Bing U.S. search share grew to 18.6% and search advertising revenue grew 38%.</w:t>
      </w:r>
    </w:p>
    <w:p w14:paraId="1CC2DD95" w14:textId="77777777" w:rsidR="00983CBE" w:rsidRPr="00CA4E8E" w:rsidRDefault="00193730" w:rsidP="00983CBE">
      <w:pPr>
        <w:spacing w:line="280" w:lineRule="exact"/>
        <w:rPr>
          <w:rFonts w:ascii="Segoe UI" w:hAnsi="Segoe UI" w:cs="Segoe UI"/>
          <w:color w:val="666666"/>
          <w:sz w:val="20"/>
          <w:szCs w:val="20"/>
        </w:rPr>
      </w:pPr>
      <w:r>
        <w:rPr>
          <w:rFonts w:ascii="Segoe UI" w:hAnsi="Segoe UI" w:cs="Segoe UI"/>
          <w:color w:val="666666"/>
          <w:sz w:val="20"/>
          <w:szCs w:val="20"/>
        </w:rPr>
        <w:t>Commercial revenue grew 7</w:t>
      </w:r>
      <w:r w:rsidR="00983CBE" w:rsidRPr="00CA4E8E">
        <w:rPr>
          <w:rFonts w:ascii="Segoe UI" w:hAnsi="Segoe UI" w:cs="Segoe UI"/>
          <w:color w:val="666666"/>
          <w:sz w:val="20"/>
          <w:szCs w:val="20"/>
        </w:rPr>
        <w:t>% to $1</w:t>
      </w:r>
      <w:r w:rsidR="00983CBE">
        <w:rPr>
          <w:rFonts w:ascii="Segoe UI" w:hAnsi="Segoe UI" w:cs="Segoe UI"/>
          <w:color w:val="666666"/>
          <w:sz w:val="20"/>
          <w:szCs w:val="20"/>
        </w:rPr>
        <w:t>2.</w:t>
      </w:r>
      <w:r>
        <w:rPr>
          <w:rFonts w:ascii="Segoe UI" w:hAnsi="Segoe UI" w:cs="Segoe UI"/>
          <w:color w:val="666666"/>
          <w:sz w:val="20"/>
          <w:szCs w:val="20"/>
        </w:rPr>
        <w:t>23</w:t>
      </w:r>
      <w:r w:rsidR="00983CBE" w:rsidRPr="00CA4E8E">
        <w:rPr>
          <w:rFonts w:ascii="Segoe UI" w:hAnsi="Segoe UI" w:cs="Segoe UI"/>
          <w:color w:val="666666"/>
          <w:sz w:val="20"/>
          <w:szCs w:val="20"/>
        </w:rPr>
        <w:t xml:space="preserve"> billion.</w:t>
      </w:r>
    </w:p>
    <w:p w14:paraId="1CC2DD96" w14:textId="6B4619DF" w:rsidR="00B7741A" w:rsidRDefault="00B7741A" w:rsidP="00B7741A">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Office 365 revenue grew over 100%</w:t>
      </w:r>
      <w:r w:rsidR="005D5B2D">
        <w:rPr>
          <w:rFonts w:ascii="Segoe UI" w:hAnsi="Segoe UI" w:cs="Segoe UI"/>
          <w:color w:val="666666"/>
          <w:sz w:val="20"/>
          <w:szCs w:val="20"/>
        </w:rPr>
        <w:t>,</w:t>
      </w:r>
      <w:r>
        <w:rPr>
          <w:rFonts w:ascii="Segoe UI" w:hAnsi="Segoe UI" w:cs="Segoe UI"/>
          <w:color w:val="666666"/>
          <w:sz w:val="20"/>
          <w:szCs w:val="20"/>
        </w:rPr>
        <w:t xml:space="preserve"> and commercial seats nearly doubled, demonstrating strong enterprise momentum for Microsoft’s cloud productivity solutions.</w:t>
      </w:r>
    </w:p>
    <w:p w14:paraId="1CC2DD97" w14:textId="77777777" w:rsidR="003572E7" w:rsidRDefault="001D7240" w:rsidP="00DA1F95">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Azure revenue gr</w:t>
      </w:r>
      <w:r w:rsidR="007142A0">
        <w:rPr>
          <w:rFonts w:ascii="Segoe UI" w:hAnsi="Segoe UI" w:cs="Segoe UI"/>
          <w:color w:val="666666"/>
          <w:sz w:val="20"/>
          <w:szCs w:val="20"/>
        </w:rPr>
        <w:t>e</w:t>
      </w:r>
      <w:r>
        <w:rPr>
          <w:rFonts w:ascii="Segoe UI" w:hAnsi="Segoe UI" w:cs="Segoe UI"/>
          <w:color w:val="666666"/>
          <w:sz w:val="20"/>
          <w:szCs w:val="20"/>
        </w:rPr>
        <w:t>w over 150%</w:t>
      </w:r>
      <w:r w:rsidR="000454E1">
        <w:rPr>
          <w:rFonts w:ascii="Segoe UI" w:hAnsi="Segoe UI" w:cs="Segoe UI"/>
          <w:color w:val="666666"/>
          <w:sz w:val="20"/>
          <w:szCs w:val="20"/>
        </w:rPr>
        <w:t xml:space="preserve">, </w:t>
      </w:r>
      <w:r w:rsidR="00830527">
        <w:rPr>
          <w:rFonts w:ascii="Segoe UI" w:hAnsi="Segoe UI" w:cs="Segoe UI"/>
          <w:color w:val="666666"/>
          <w:sz w:val="20"/>
          <w:szCs w:val="20"/>
        </w:rPr>
        <w:t xml:space="preserve">and the company </w:t>
      </w:r>
      <w:r w:rsidR="006147D1">
        <w:rPr>
          <w:rFonts w:ascii="Segoe UI" w:hAnsi="Segoe UI" w:cs="Segoe UI"/>
          <w:color w:val="666666"/>
          <w:sz w:val="20"/>
          <w:szCs w:val="20"/>
        </w:rPr>
        <w:t xml:space="preserve">has </w:t>
      </w:r>
      <w:r w:rsidR="004464A8">
        <w:rPr>
          <w:rFonts w:ascii="Segoe UI" w:hAnsi="Segoe UI" w:cs="Segoe UI"/>
          <w:color w:val="666666"/>
          <w:sz w:val="20"/>
          <w:szCs w:val="20"/>
        </w:rPr>
        <w:t>announc</w:t>
      </w:r>
      <w:r w:rsidR="00830527">
        <w:rPr>
          <w:rFonts w:ascii="Segoe UI" w:hAnsi="Segoe UI" w:cs="Segoe UI"/>
          <w:color w:val="666666"/>
          <w:sz w:val="20"/>
          <w:szCs w:val="20"/>
        </w:rPr>
        <w:t xml:space="preserve">ed more than 40 new features that make the Azure platform more attractive to cloud application developers. </w:t>
      </w:r>
      <w:r w:rsidR="005E3AE3">
        <w:rPr>
          <w:rFonts w:ascii="Segoe UI" w:hAnsi="Segoe UI" w:cs="Segoe UI"/>
          <w:color w:val="666666"/>
          <w:sz w:val="20"/>
          <w:szCs w:val="20"/>
        </w:rPr>
        <w:t xml:space="preserve"> </w:t>
      </w:r>
    </w:p>
    <w:p w14:paraId="1CC2DD98" w14:textId="77777777" w:rsidR="00B7741A" w:rsidRDefault="00B7741A" w:rsidP="00B7741A">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lastRenderedPageBreak/>
        <w:t>Windows volume licensing revenue grew 11%, as business customers continue to make Windows their platform of choice.</w:t>
      </w:r>
    </w:p>
    <w:p w14:paraId="1CC2DD99" w14:textId="77777777" w:rsidR="00877A00" w:rsidRDefault="003572E7" w:rsidP="00877A00">
      <w:pPr>
        <w:pStyle w:val="ListParagraph"/>
        <w:numPr>
          <w:ilvl w:val="0"/>
          <w:numId w:val="3"/>
        </w:numPr>
        <w:spacing w:line="280" w:lineRule="exact"/>
        <w:rPr>
          <w:rFonts w:ascii="Segoe UI" w:hAnsi="Segoe UI" w:cs="Segoe UI"/>
          <w:color w:val="666666"/>
          <w:sz w:val="20"/>
          <w:szCs w:val="20"/>
        </w:rPr>
      </w:pPr>
      <w:r>
        <w:rPr>
          <w:rFonts w:ascii="Segoe UI" w:hAnsi="Segoe UI" w:cs="Segoe UI"/>
          <w:color w:val="666666"/>
          <w:sz w:val="20"/>
          <w:szCs w:val="20"/>
        </w:rPr>
        <w:t>Lync, SharePoint, and Exchange, our productivity server offerings, collectively grew double-digits.</w:t>
      </w:r>
    </w:p>
    <w:p w14:paraId="1CC2DD9A" w14:textId="77777777" w:rsidR="009954CE" w:rsidRDefault="009954CE" w:rsidP="00D160D8">
      <w:pPr>
        <w:spacing w:line="280" w:lineRule="exact"/>
        <w:rPr>
          <w:rFonts w:ascii="Segoe UI" w:hAnsi="Segoe UI" w:cs="Segoe UI"/>
          <w:color w:val="666666"/>
          <w:sz w:val="20"/>
          <w:szCs w:val="20"/>
        </w:rPr>
      </w:pPr>
      <w:r>
        <w:rPr>
          <w:rFonts w:ascii="Segoe UI" w:hAnsi="Segoe UI" w:cs="Segoe UI"/>
          <w:color w:val="666666"/>
          <w:sz w:val="20"/>
          <w:szCs w:val="20"/>
        </w:rPr>
        <w:t xml:space="preserve">“Our products and services continue to deliver differentiated </w:t>
      </w:r>
      <w:r w:rsidR="004A2FA7">
        <w:rPr>
          <w:rFonts w:ascii="Segoe UI" w:hAnsi="Segoe UI" w:cs="Segoe UI"/>
          <w:color w:val="666666"/>
          <w:sz w:val="20"/>
          <w:szCs w:val="20"/>
        </w:rPr>
        <w:t xml:space="preserve">business </w:t>
      </w:r>
      <w:r>
        <w:rPr>
          <w:rFonts w:ascii="Segoe UI" w:hAnsi="Segoe UI" w:cs="Segoe UI"/>
          <w:color w:val="666666"/>
          <w:sz w:val="20"/>
          <w:szCs w:val="20"/>
        </w:rPr>
        <w:t xml:space="preserve">value to our customers, and </w:t>
      </w:r>
      <w:r w:rsidR="00904E87">
        <w:rPr>
          <w:rFonts w:ascii="Segoe UI" w:hAnsi="Segoe UI" w:cs="Segoe UI"/>
          <w:color w:val="666666"/>
          <w:sz w:val="20"/>
          <w:szCs w:val="20"/>
        </w:rPr>
        <w:t xml:space="preserve">we continue </w:t>
      </w:r>
      <w:r w:rsidR="007420D3">
        <w:rPr>
          <w:rFonts w:ascii="Segoe UI" w:hAnsi="Segoe UI" w:cs="Segoe UI"/>
          <w:color w:val="666666"/>
          <w:sz w:val="20"/>
          <w:szCs w:val="20"/>
        </w:rPr>
        <w:t xml:space="preserve">to </w:t>
      </w:r>
      <w:r w:rsidR="004C553E">
        <w:rPr>
          <w:rFonts w:ascii="Segoe UI" w:hAnsi="Segoe UI" w:cs="Segoe UI"/>
          <w:color w:val="666666"/>
          <w:sz w:val="20"/>
          <w:szCs w:val="20"/>
        </w:rPr>
        <w:t>win</w:t>
      </w:r>
      <w:r>
        <w:rPr>
          <w:rFonts w:ascii="Segoe UI" w:hAnsi="Segoe UI" w:cs="Segoe UI"/>
          <w:color w:val="666666"/>
          <w:sz w:val="20"/>
          <w:szCs w:val="20"/>
        </w:rPr>
        <w:t xml:space="preserve"> share in areas like </w:t>
      </w:r>
      <w:r w:rsidR="004A2FA7">
        <w:rPr>
          <w:rFonts w:ascii="Segoe UI" w:hAnsi="Segoe UI" w:cs="Segoe UI"/>
          <w:color w:val="666666"/>
          <w:sz w:val="20"/>
          <w:szCs w:val="20"/>
        </w:rPr>
        <w:t xml:space="preserve">cloud services, </w:t>
      </w:r>
      <w:r>
        <w:rPr>
          <w:rFonts w:ascii="Segoe UI" w:hAnsi="Segoe UI" w:cs="Segoe UI"/>
          <w:color w:val="666666"/>
          <w:sz w:val="20"/>
          <w:szCs w:val="20"/>
        </w:rPr>
        <w:t>data platform</w:t>
      </w:r>
      <w:r w:rsidR="00EE0010">
        <w:rPr>
          <w:rFonts w:ascii="Segoe UI" w:hAnsi="Segoe UI" w:cs="Segoe UI"/>
          <w:color w:val="666666"/>
          <w:sz w:val="20"/>
          <w:szCs w:val="20"/>
        </w:rPr>
        <w:t>,</w:t>
      </w:r>
      <w:r>
        <w:rPr>
          <w:rFonts w:ascii="Segoe UI" w:hAnsi="Segoe UI" w:cs="Segoe UI"/>
          <w:color w:val="666666"/>
          <w:sz w:val="20"/>
          <w:szCs w:val="20"/>
        </w:rPr>
        <w:t xml:space="preserve"> and infrastructure management,” said </w:t>
      </w:r>
      <w:r w:rsidRPr="00940272">
        <w:rPr>
          <w:rFonts w:ascii="Segoe UI" w:hAnsi="Segoe UI" w:cs="Segoe UI"/>
          <w:color w:val="666666"/>
          <w:sz w:val="20"/>
          <w:szCs w:val="20"/>
        </w:rPr>
        <w:t xml:space="preserve">Kevin Turner, chief </w:t>
      </w:r>
      <w:r>
        <w:rPr>
          <w:rFonts w:ascii="Segoe UI" w:hAnsi="Segoe UI" w:cs="Segoe UI"/>
          <w:color w:val="666666"/>
          <w:sz w:val="20"/>
          <w:szCs w:val="20"/>
        </w:rPr>
        <w:t>operating officer at Microsoft. “</w:t>
      </w:r>
      <w:r w:rsidRPr="009954CE">
        <w:rPr>
          <w:rFonts w:ascii="Segoe UI" w:hAnsi="Segoe UI" w:cs="Segoe UI"/>
          <w:color w:val="666666"/>
          <w:sz w:val="20"/>
          <w:szCs w:val="20"/>
        </w:rPr>
        <w:t xml:space="preserve">Our SQL </w:t>
      </w:r>
      <w:r w:rsidR="00904E87" w:rsidRPr="009954CE">
        <w:rPr>
          <w:rFonts w:ascii="Segoe UI" w:hAnsi="Segoe UI" w:cs="Segoe UI"/>
          <w:color w:val="666666"/>
          <w:sz w:val="20"/>
          <w:szCs w:val="20"/>
        </w:rPr>
        <w:t>Serv</w:t>
      </w:r>
      <w:r w:rsidR="00904E87">
        <w:rPr>
          <w:rFonts w:ascii="Segoe UI" w:hAnsi="Segoe UI" w:cs="Segoe UI"/>
          <w:color w:val="666666"/>
          <w:sz w:val="20"/>
          <w:szCs w:val="20"/>
        </w:rPr>
        <w:t>er</w:t>
      </w:r>
      <w:r w:rsidR="00904E87" w:rsidRPr="009954CE">
        <w:rPr>
          <w:rFonts w:ascii="Segoe UI" w:hAnsi="Segoe UI" w:cs="Segoe UI"/>
          <w:color w:val="666666"/>
          <w:sz w:val="20"/>
          <w:szCs w:val="20"/>
        </w:rPr>
        <w:t xml:space="preserve"> </w:t>
      </w:r>
      <w:r w:rsidRPr="009954CE">
        <w:rPr>
          <w:rFonts w:ascii="Segoe UI" w:hAnsi="Segoe UI" w:cs="Segoe UI"/>
          <w:color w:val="666666"/>
          <w:sz w:val="20"/>
          <w:szCs w:val="20"/>
        </w:rPr>
        <w:t xml:space="preserve">business grew double-digits again this quarter, and with the </w:t>
      </w:r>
      <w:r w:rsidR="004A2FA7">
        <w:rPr>
          <w:rFonts w:ascii="Segoe UI" w:hAnsi="Segoe UI" w:cs="Segoe UI"/>
          <w:color w:val="666666"/>
          <w:sz w:val="20"/>
          <w:szCs w:val="20"/>
        </w:rPr>
        <w:t>an</w:t>
      </w:r>
      <w:r w:rsidR="004A2FA7">
        <w:rPr>
          <w:rFonts w:ascii="Segoe UI" w:hAnsi="Segoe UI" w:cs="Segoe UI"/>
          <w:color w:val="666666"/>
          <w:sz w:val="20"/>
          <w:szCs w:val="20"/>
        </w:rPr>
        <w:lastRenderedPageBreak/>
        <w:t>nouncements of SQL 2014</w:t>
      </w:r>
      <w:r w:rsidRPr="009954CE">
        <w:rPr>
          <w:rFonts w:ascii="Segoe UI" w:hAnsi="Segoe UI" w:cs="Segoe UI"/>
          <w:color w:val="666666"/>
          <w:sz w:val="20"/>
          <w:szCs w:val="20"/>
        </w:rPr>
        <w:t xml:space="preserve"> </w:t>
      </w:r>
      <w:r w:rsidR="00EE0010">
        <w:rPr>
          <w:rFonts w:ascii="Segoe UI" w:hAnsi="Segoe UI" w:cs="Segoe UI"/>
          <w:color w:val="666666"/>
          <w:sz w:val="20"/>
          <w:szCs w:val="20"/>
        </w:rPr>
        <w:t>and</w:t>
      </w:r>
      <w:r w:rsidRPr="009954CE">
        <w:rPr>
          <w:rFonts w:ascii="Segoe UI" w:hAnsi="Segoe UI" w:cs="Segoe UI"/>
          <w:color w:val="666666"/>
          <w:sz w:val="20"/>
          <w:szCs w:val="20"/>
        </w:rPr>
        <w:t xml:space="preserve"> Power BI for Office 365, we offer a unique</w:t>
      </w:r>
      <w:r w:rsidR="00074C2F">
        <w:rPr>
          <w:rFonts w:ascii="Segoe UI" w:hAnsi="Segoe UI" w:cs="Segoe UI"/>
          <w:color w:val="666666"/>
          <w:sz w:val="20"/>
          <w:szCs w:val="20"/>
        </w:rPr>
        <w:t>,</w:t>
      </w:r>
      <w:r w:rsidRPr="009954CE">
        <w:rPr>
          <w:rFonts w:ascii="Segoe UI" w:hAnsi="Segoe UI" w:cs="Segoe UI"/>
          <w:color w:val="666666"/>
          <w:sz w:val="20"/>
          <w:szCs w:val="20"/>
        </w:rPr>
        <w:t xml:space="preserve"> comprehensive</w:t>
      </w:r>
      <w:r w:rsidR="00B71C2B">
        <w:rPr>
          <w:rFonts w:ascii="Segoe UI" w:hAnsi="Segoe UI" w:cs="Segoe UI"/>
          <w:color w:val="666666"/>
          <w:sz w:val="20"/>
          <w:szCs w:val="20"/>
        </w:rPr>
        <w:t>,</w:t>
      </w:r>
      <w:r w:rsidRPr="009954CE">
        <w:rPr>
          <w:rFonts w:ascii="Segoe UI" w:hAnsi="Segoe UI" w:cs="Segoe UI"/>
          <w:color w:val="666666"/>
          <w:sz w:val="20"/>
          <w:szCs w:val="20"/>
        </w:rPr>
        <w:t xml:space="preserve"> end-to-end data and analytics solution.</w:t>
      </w:r>
      <w:r>
        <w:rPr>
          <w:rFonts w:ascii="Segoe UI" w:hAnsi="Segoe UI" w:cs="Segoe UI"/>
          <w:color w:val="666666"/>
          <w:sz w:val="20"/>
          <w:szCs w:val="20"/>
        </w:rPr>
        <w:t>”</w:t>
      </w:r>
    </w:p>
    <w:p w14:paraId="1CC2DD9B" w14:textId="77777777" w:rsidR="00E0693D" w:rsidRPr="00123413" w:rsidRDefault="00E0693D" w:rsidP="00E0693D">
      <w:pPr>
        <w:spacing w:before="240" w:line="280" w:lineRule="exact"/>
        <w:rPr>
          <w:rFonts w:ascii="Segoe UI" w:hAnsi="Segoe UI" w:cs="Segoe UI"/>
          <w:b/>
          <w:color w:val="666666"/>
          <w:sz w:val="20"/>
          <w:szCs w:val="20"/>
        </w:rPr>
      </w:pPr>
      <w:r>
        <w:rPr>
          <w:rFonts w:ascii="Segoe UI" w:hAnsi="Segoe UI" w:cs="Segoe UI"/>
          <w:b/>
          <w:color w:val="666666"/>
          <w:sz w:val="20"/>
          <w:szCs w:val="20"/>
        </w:rPr>
        <w:t>Nokia</w:t>
      </w:r>
    </w:p>
    <w:p w14:paraId="1CC2DD9C" w14:textId="77777777" w:rsidR="00904E87" w:rsidRPr="009954CE" w:rsidRDefault="00904E87" w:rsidP="009954CE">
      <w:pPr>
        <w:rPr>
          <w:rFonts w:ascii="Segoe UI" w:hAnsi="Segoe UI" w:cs="Segoe UI"/>
          <w:color w:val="666666"/>
          <w:sz w:val="20"/>
          <w:szCs w:val="20"/>
        </w:rPr>
      </w:pPr>
      <w:r>
        <w:rPr>
          <w:rFonts w:ascii="Segoe UI" w:hAnsi="Segoe UI" w:cs="Segoe UI"/>
          <w:color w:val="666666"/>
          <w:sz w:val="20"/>
          <w:szCs w:val="20"/>
        </w:rPr>
        <w:t>Microsoft</w:t>
      </w:r>
      <w:r w:rsidR="00515523">
        <w:rPr>
          <w:rFonts w:ascii="Segoe UI" w:hAnsi="Segoe UI" w:cs="Segoe UI"/>
          <w:color w:val="666666"/>
          <w:sz w:val="20"/>
          <w:szCs w:val="20"/>
        </w:rPr>
        <w:t xml:space="preserve"> expects to close the </w:t>
      </w:r>
      <w:r>
        <w:rPr>
          <w:rFonts w:ascii="Segoe UI" w:hAnsi="Segoe UI" w:cs="Segoe UI"/>
          <w:color w:val="666666"/>
          <w:sz w:val="20"/>
          <w:szCs w:val="20"/>
        </w:rPr>
        <w:t xml:space="preserve">acquisition of </w:t>
      </w:r>
      <w:r w:rsidR="00515523">
        <w:rPr>
          <w:rFonts w:ascii="Segoe UI" w:hAnsi="Segoe UI" w:cs="Segoe UI"/>
          <w:color w:val="666666"/>
          <w:sz w:val="20"/>
          <w:szCs w:val="20"/>
        </w:rPr>
        <w:t xml:space="preserve">the </w:t>
      </w:r>
      <w:r>
        <w:rPr>
          <w:rFonts w:ascii="Segoe UI" w:hAnsi="Segoe UI" w:cs="Segoe UI"/>
          <w:color w:val="666666"/>
          <w:sz w:val="20"/>
          <w:szCs w:val="20"/>
        </w:rPr>
        <w:t xml:space="preserve">Nokia Devices </w:t>
      </w:r>
      <w:r w:rsidR="00515523">
        <w:rPr>
          <w:rFonts w:ascii="Segoe UI" w:hAnsi="Segoe UI" w:cs="Segoe UI"/>
          <w:color w:val="666666"/>
          <w:sz w:val="20"/>
          <w:szCs w:val="20"/>
        </w:rPr>
        <w:t xml:space="preserve">and </w:t>
      </w:r>
      <w:r>
        <w:rPr>
          <w:rFonts w:ascii="Segoe UI" w:hAnsi="Segoe UI" w:cs="Segoe UI"/>
          <w:color w:val="666666"/>
          <w:sz w:val="20"/>
          <w:szCs w:val="20"/>
        </w:rPr>
        <w:t>Services business</w:t>
      </w:r>
      <w:r w:rsidR="00515523">
        <w:rPr>
          <w:rFonts w:ascii="Segoe UI" w:hAnsi="Segoe UI" w:cs="Segoe UI"/>
          <w:color w:val="666666"/>
          <w:sz w:val="20"/>
          <w:szCs w:val="20"/>
        </w:rPr>
        <w:t xml:space="preserve"> on</w:t>
      </w:r>
      <w:r>
        <w:rPr>
          <w:rFonts w:ascii="Segoe UI" w:hAnsi="Segoe UI" w:cs="Segoe UI"/>
          <w:color w:val="666666"/>
          <w:sz w:val="20"/>
          <w:szCs w:val="20"/>
        </w:rPr>
        <w:t xml:space="preserve"> April 25</w:t>
      </w:r>
      <w:r w:rsidR="00FD0A3F">
        <w:rPr>
          <w:rFonts w:ascii="Segoe UI" w:hAnsi="Segoe UI" w:cs="Segoe UI"/>
          <w:color w:val="666666"/>
          <w:sz w:val="20"/>
          <w:szCs w:val="20"/>
        </w:rPr>
        <w:t>, 2014.</w:t>
      </w:r>
    </w:p>
    <w:p w14:paraId="1CC2DD9D" w14:textId="77777777" w:rsidR="00983CBE" w:rsidRPr="00123413" w:rsidRDefault="00983CBE" w:rsidP="00983CBE">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Business Outlook</w:t>
      </w:r>
    </w:p>
    <w:p w14:paraId="1CC2DD9E" w14:textId="77777777" w:rsidR="00983CBE" w:rsidRPr="00123413" w:rsidRDefault="00983CBE" w:rsidP="00983CBE">
      <w:pPr>
        <w:spacing w:line="280" w:lineRule="exact"/>
        <w:rPr>
          <w:rFonts w:ascii="Segoe UI" w:hAnsi="Segoe UI" w:cs="Segoe UI"/>
          <w:color w:val="666666"/>
          <w:sz w:val="20"/>
          <w:szCs w:val="20"/>
        </w:rPr>
      </w:pPr>
      <w:r w:rsidRPr="00A035A3">
        <w:rPr>
          <w:rFonts w:ascii="Segoe UI" w:hAnsi="Segoe UI" w:cs="Segoe UI"/>
          <w:color w:val="666666"/>
          <w:sz w:val="20"/>
          <w:szCs w:val="20"/>
        </w:rPr>
        <w:t xml:space="preserve">Microsoft </w:t>
      </w:r>
      <w:r>
        <w:rPr>
          <w:rFonts w:ascii="Segoe UI" w:hAnsi="Segoe UI" w:cs="Segoe UI"/>
          <w:color w:val="666666"/>
          <w:sz w:val="20"/>
          <w:szCs w:val="20"/>
        </w:rPr>
        <w:t>will provide forward-looking guidance in connection with this quarterly earnings announcement on its earnings conference call and webcast</w:t>
      </w:r>
      <w:r w:rsidRPr="00123413">
        <w:rPr>
          <w:rFonts w:ascii="Segoe UI" w:hAnsi="Segoe UI" w:cs="Segoe UI"/>
          <w:color w:val="666666"/>
          <w:sz w:val="20"/>
          <w:szCs w:val="20"/>
        </w:rPr>
        <w:t>.</w:t>
      </w:r>
    </w:p>
    <w:p w14:paraId="1CC2DD9F" w14:textId="77777777" w:rsidR="00983CBE" w:rsidRPr="00123413" w:rsidRDefault="00983CBE" w:rsidP="00983CBE">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lastRenderedPageBreak/>
        <w:t>Webcast Details</w:t>
      </w:r>
    </w:p>
    <w:p w14:paraId="1CC2DDA0" w14:textId="77777777" w:rsidR="00983CBE" w:rsidRPr="00123413" w:rsidRDefault="00AA56B0" w:rsidP="00983CBE">
      <w:pPr>
        <w:spacing w:line="280" w:lineRule="exact"/>
        <w:rPr>
          <w:rFonts w:ascii="Segoe UI" w:hAnsi="Segoe UI" w:cs="Segoe UI"/>
          <w:color w:val="666666"/>
          <w:sz w:val="20"/>
          <w:szCs w:val="20"/>
        </w:rPr>
      </w:pPr>
      <w:r>
        <w:rPr>
          <w:rFonts w:ascii="Segoe UI" w:hAnsi="Segoe UI" w:cs="Segoe UI"/>
          <w:color w:val="666666"/>
          <w:sz w:val="20"/>
          <w:szCs w:val="20"/>
        </w:rPr>
        <w:t xml:space="preserve">Satya Nadella, chief executive officer, </w:t>
      </w:r>
      <w:r w:rsidR="00983CBE">
        <w:rPr>
          <w:rFonts w:ascii="Segoe UI" w:hAnsi="Segoe UI" w:cs="Segoe UI"/>
          <w:color w:val="666666"/>
          <w:sz w:val="20"/>
          <w:szCs w:val="20"/>
        </w:rPr>
        <w:t>Amy Hood</w:t>
      </w:r>
      <w:r w:rsidR="00983CBE" w:rsidRPr="00123413">
        <w:rPr>
          <w:rFonts w:ascii="Segoe UI" w:hAnsi="Segoe UI" w:cs="Segoe UI"/>
          <w:color w:val="666666"/>
          <w:sz w:val="20"/>
          <w:szCs w:val="20"/>
        </w:rPr>
        <w:t xml:space="preserve">, </w:t>
      </w:r>
      <w:r w:rsidR="00983CBE">
        <w:rPr>
          <w:rFonts w:ascii="Segoe UI" w:hAnsi="Segoe UI" w:cs="Segoe UI"/>
          <w:color w:val="666666"/>
          <w:sz w:val="20"/>
          <w:szCs w:val="20"/>
        </w:rPr>
        <w:t xml:space="preserve">executive vice president and </w:t>
      </w:r>
      <w:r w:rsidR="00983CBE" w:rsidRPr="00123413">
        <w:rPr>
          <w:rFonts w:ascii="Segoe UI" w:hAnsi="Segoe UI" w:cs="Segoe UI"/>
          <w:color w:val="666666"/>
          <w:sz w:val="20"/>
          <w:szCs w:val="20"/>
        </w:rPr>
        <w:t>chief financial officer, Frank Brod, chief accounting officer</w:t>
      </w:r>
      <w:r w:rsidR="00983CBE">
        <w:rPr>
          <w:rFonts w:ascii="Segoe UI" w:hAnsi="Segoe UI" w:cs="Segoe UI"/>
          <w:color w:val="666666"/>
          <w:sz w:val="20"/>
          <w:szCs w:val="20"/>
        </w:rPr>
        <w:t xml:space="preserve">, </w:t>
      </w:r>
      <w:r w:rsidR="00370E42">
        <w:rPr>
          <w:rFonts w:ascii="Segoe UI" w:hAnsi="Segoe UI" w:cs="Segoe UI"/>
          <w:color w:val="666666"/>
          <w:sz w:val="20"/>
          <w:szCs w:val="20"/>
        </w:rPr>
        <w:t xml:space="preserve">John Seethoff, deputy general counsel, </w:t>
      </w:r>
      <w:r w:rsidR="00983CBE" w:rsidRPr="00123413">
        <w:rPr>
          <w:rFonts w:ascii="Segoe UI" w:hAnsi="Segoe UI" w:cs="Segoe UI"/>
          <w:color w:val="666666"/>
          <w:sz w:val="20"/>
          <w:szCs w:val="20"/>
        </w:rPr>
        <w:t xml:space="preserve">and </w:t>
      </w:r>
      <w:r w:rsidR="00983CBE">
        <w:rPr>
          <w:rFonts w:ascii="Segoe UI" w:hAnsi="Segoe UI" w:cs="Segoe UI"/>
          <w:color w:val="666666"/>
          <w:sz w:val="20"/>
          <w:szCs w:val="20"/>
        </w:rPr>
        <w:t>Chris Suh</w:t>
      </w:r>
      <w:r w:rsidR="00983CBE" w:rsidRPr="00123413">
        <w:rPr>
          <w:rFonts w:ascii="Segoe UI" w:hAnsi="Segoe UI" w:cs="Segoe UI"/>
          <w:color w:val="666666"/>
          <w:sz w:val="20"/>
          <w:szCs w:val="20"/>
        </w:rPr>
        <w:t xml:space="preserve">, general manager of Investor Relations, will host a conference </w:t>
      </w:r>
      <w:r w:rsidR="00183FF5">
        <w:rPr>
          <w:rFonts w:ascii="Segoe UI" w:hAnsi="Segoe UI" w:cs="Segoe UI"/>
          <w:color w:val="666666"/>
          <w:sz w:val="20"/>
          <w:szCs w:val="20"/>
        </w:rPr>
        <w:t>call and webcast at 2:30 p.m. PDT (5:30 p.m. ED</w:t>
      </w:r>
      <w:r w:rsidR="00983CBE" w:rsidRPr="00123413">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11" w:tgtFrame="_blank" w:history="1">
        <w:r w:rsidR="00983CBE" w:rsidRPr="009D378A">
          <w:rPr>
            <w:rStyle w:val="Hyperlink"/>
            <w:rFonts w:cs="Segoe UI"/>
            <w:szCs w:val="20"/>
          </w:rPr>
          <w:t>http://www.microsoft.com/investor</w:t>
        </w:r>
      </w:hyperlink>
      <w:r w:rsidR="00983CBE" w:rsidRPr="00123413">
        <w:rPr>
          <w:rFonts w:ascii="Segoe UI" w:hAnsi="Segoe UI" w:cs="Segoe UI"/>
          <w:color w:val="666666"/>
          <w:sz w:val="20"/>
          <w:szCs w:val="20"/>
        </w:rPr>
        <w:t xml:space="preserve">. The webcast will be available for replay through the close of business on </w:t>
      </w:r>
      <w:r>
        <w:rPr>
          <w:rFonts w:ascii="Segoe UI" w:hAnsi="Segoe UI" w:cs="Segoe UI"/>
          <w:color w:val="666666"/>
          <w:sz w:val="20"/>
          <w:szCs w:val="20"/>
        </w:rPr>
        <w:t>April</w:t>
      </w:r>
      <w:r w:rsidR="00983CBE">
        <w:rPr>
          <w:rFonts w:ascii="Segoe UI" w:hAnsi="Segoe UI" w:cs="Segoe UI"/>
          <w:color w:val="666666"/>
          <w:sz w:val="20"/>
          <w:szCs w:val="20"/>
        </w:rPr>
        <w:t xml:space="preserve"> 2</w:t>
      </w:r>
      <w:r>
        <w:rPr>
          <w:rFonts w:ascii="Segoe UI" w:hAnsi="Segoe UI" w:cs="Segoe UI"/>
          <w:color w:val="666666"/>
          <w:sz w:val="20"/>
          <w:szCs w:val="20"/>
        </w:rPr>
        <w:t>4</w:t>
      </w:r>
      <w:r w:rsidR="00983CBE" w:rsidRPr="00123413">
        <w:rPr>
          <w:rFonts w:ascii="Segoe UI" w:hAnsi="Segoe UI" w:cs="Segoe UI"/>
          <w:color w:val="666666"/>
          <w:sz w:val="20"/>
          <w:szCs w:val="20"/>
        </w:rPr>
        <w:t>, 201</w:t>
      </w:r>
      <w:r w:rsidR="00983CBE">
        <w:rPr>
          <w:rFonts w:ascii="Segoe UI" w:hAnsi="Segoe UI" w:cs="Segoe UI"/>
          <w:color w:val="666666"/>
          <w:sz w:val="20"/>
          <w:szCs w:val="20"/>
        </w:rPr>
        <w:t>5</w:t>
      </w:r>
      <w:r w:rsidR="00983CBE" w:rsidRPr="00123413">
        <w:rPr>
          <w:rFonts w:ascii="Segoe UI" w:hAnsi="Segoe UI" w:cs="Segoe UI"/>
          <w:color w:val="666666"/>
          <w:sz w:val="20"/>
          <w:szCs w:val="20"/>
        </w:rPr>
        <w:t>.</w:t>
      </w:r>
    </w:p>
    <w:p w14:paraId="1CC2DDA1" w14:textId="77777777" w:rsidR="00983CBE" w:rsidRPr="00123413" w:rsidRDefault="00983CBE" w:rsidP="00983CBE">
      <w:pPr>
        <w:pStyle w:val="NormalWeb"/>
        <w:keepNext/>
        <w:spacing w:before="270" w:after="0"/>
        <w:rPr>
          <w:rFonts w:ascii="Segoe UI" w:hAnsi="Segoe UI" w:cs="Segoe UI"/>
          <w:b/>
          <w:bCs/>
          <w:color w:val="666666"/>
          <w:sz w:val="20"/>
          <w:szCs w:val="20"/>
        </w:rPr>
      </w:pPr>
      <w:r w:rsidRPr="00123413">
        <w:rPr>
          <w:rFonts w:ascii="Segoe UI" w:hAnsi="Segoe UI" w:cs="Segoe UI"/>
          <w:b/>
          <w:bCs/>
          <w:color w:val="666666"/>
          <w:sz w:val="20"/>
          <w:szCs w:val="20"/>
        </w:rPr>
        <w:lastRenderedPageBreak/>
        <w:t xml:space="preserve">Adjusted Financial Results and Non-GAAP Measures </w:t>
      </w:r>
    </w:p>
    <w:p w14:paraId="1CC2DDA2" w14:textId="44FD84B3" w:rsidR="00983CBE" w:rsidRDefault="00983CBE" w:rsidP="00983CBE">
      <w:pPr>
        <w:spacing w:line="280" w:lineRule="exact"/>
        <w:rPr>
          <w:rFonts w:ascii="Segoe UI" w:hAnsi="Segoe UI" w:cs="Segoe UI"/>
          <w:color w:val="666666"/>
          <w:sz w:val="20"/>
          <w:szCs w:val="20"/>
        </w:rPr>
      </w:pPr>
      <w:r>
        <w:rPr>
          <w:rFonts w:ascii="Segoe UI" w:hAnsi="Segoe UI" w:cs="Segoe UI"/>
          <w:color w:val="666666"/>
          <w:sz w:val="20"/>
          <w:szCs w:val="20"/>
        </w:rPr>
        <w:t xml:space="preserve">During the </w:t>
      </w:r>
      <w:r w:rsidR="00837EDA">
        <w:rPr>
          <w:rFonts w:ascii="Segoe UI" w:hAnsi="Segoe UI" w:cs="Segoe UI"/>
          <w:color w:val="666666"/>
          <w:sz w:val="20"/>
          <w:szCs w:val="20"/>
        </w:rPr>
        <w:t xml:space="preserve">third </w:t>
      </w:r>
      <w:r>
        <w:rPr>
          <w:rFonts w:ascii="Segoe UI" w:hAnsi="Segoe UI" w:cs="Segoe UI"/>
          <w:color w:val="666666"/>
          <w:sz w:val="20"/>
          <w:szCs w:val="20"/>
        </w:rPr>
        <w:t xml:space="preserve">quarter of fiscal year 2013, GAAP revenue, </w:t>
      </w:r>
      <w:r w:rsidR="005C5AD4">
        <w:rPr>
          <w:rFonts w:ascii="Segoe UI" w:hAnsi="Segoe UI" w:cs="Segoe UI"/>
          <w:color w:val="666666"/>
          <w:sz w:val="20"/>
          <w:szCs w:val="20"/>
        </w:rPr>
        <w:t xml:space="preserve">gross margin, </w:t>
      </w:r>
      <w:r>
        <w:rPr>
          <w:rFonts w:ascii="Segoe UI" w:hAnsi="Segoe UI" w:cs="Segoe UI"/>
          <w:color w:val="666666"/>
          <w:sz w:val="20"/>
          <w:szCs w:val="20"/>
        </w:rPr>
        <w:t xml:space="preserve">operating income, and diluted earnings per share included the </w:t>
      </w:r>
      <w:r w:rsidR="00837EDA">
        <w:rPr>
          <w:rFonts w:ascii="Segoe UI" w:hAnsi="Segoe UI" w:cs="Segoe UI"/>
          <w:color w:val="666666"/>
          <w:sz w:val="20"/>
          <w:szCs w:val="20"/>
        </w:rPr>
        <w:t>net revenue recognition</w:t>
      </w:r>
      <w:r>
        <w:rPr>
          <w:rFonts w:ascii="Segoe UI" w:hAnsi="Segoe UI" w:cs="Segoe UI"/>
          <w:color w:val="666666"/>
          <w:sz w:val="20"/>
          <w:szCs w:val="20"/>
        </w:rPr>
        <w:t xml:space="preserve"> for the Windows Upgrade </w:t>
      </w:r>
      <w:r w:rsidRPr="00935018">
        <w:rPr>
          <w:rFonts w:ascii="Segoe UI" w:hAnsi="Segoe UI" w:cs="Segoe UI"/>
          <w:color w:val="666666"/>
          <w:sz w:val="20"/>
          <w:szCs w:val="20"/>
        </w:rPr>
        <w:t xml:space="preserve">Offer, </w:t>
      </w:r>
      <w:r>
        <w:rPr>
          <w:rFonts w:ascii="Segoe UI" w:hAnsi="Segoe UI" w:cs="Segoe UI"/>
          <w:color w:val="666666"/>
          <w:sz w:val="20"/>
          <w:szCs w:val="20"/>
        </w:rPr>
        <w:t xml:space="preserve">the Office </w:t>
      </w:r>
      <w:r w:rsidR="00700ED3">
        <w:rPr>
          <w:rFonts w:ascii="Segoe UI" w:hAnsi="Segoe UI" w:cs="Segoe UI"/>
          <w:color w:val="666666"/>
          <w:sz w:val="20"/>
          <w:szCs w:val="20"/>
        </w:rPr>
        <w:t>Deferral</w:t>
      </w:r>
      <w:r w:rsidRPr="00935018">
        <w:rPr>
          <w:rFonts w:ascii="Segoe UI" w:hAnsi="Segoe UI" w:cs="Segoe UI"/>
          <w:color w:val="666666"/>
          <w:sz w:val="20"/>
          <w:szCs w:val="20"/>
        </w:rPr>
        <w:t xml:space="preserve">, </w:t>
      </w:r>
      <w:r>
        <w:rPr>
          <w:rFonts w:ascii="Segoe UI" w:hAnsi="Segoe UI" w:cs="Segoe UI"/>
          <w:color w:val="666666"/>
          <w:sz w:val="20"/>
          <w:szCs w:val="20"/>
        </w:rPr>
        <w:t xml:space="preserve">the Video Game Deferral, </w:t>
      </w:r>
      <w:r w:rsidR="00211318">
        <w:rPr>
          <w:rFonts w:ascii="Segoe UI" w:hAnsi="Segoe UI" w:cs="Segoe UI"/>
          <w:color w:val="666666"/>
          <w:sz w:val="20"/>
          <w:szCs w:val="20"/>
        </w:rPr>
        <w:t>and the</w:t>
      </w:r>
      <w:r w:rsidR="00945F59">
        <w:rPr>
          <w:rFonts w:ascii="Segoe UI" w:hAnsi="Segoe UI" w:cs="Segoe UI"/>
          <w:color w:val="666666"/>
          <w:sz w:val="20"/>
          <w:szCs w:val="20"/>
        </w:rPr>
        <w:t xml:space="preserve"> European Commission F</w:t>
      </w:r>
      <w:r w:rsidR="00837EDA">
        <w:rPr>
          <w:rFonts w:ascii="Segoe UI" w:hAnsi="Segoe UI" w:cs="Segoe UI"/>
          <w:color w:val="666666"/>
          <w:sz w:val="20"/>
          <w:szCs w:val="20"/>
        </w:rPr>
        <w:t>ine</w:t>
      </w:r>
      <w:r>
        <w:rPr>
          <w:rFonts w:ascii="Segoe UI" w:hAnsi="Segoe UI" w:cs="Segoe UI"/>
          <w:color w:val="666666"/>
          <w:sz w:val="20"/>
          <w:szCs w:val="20"/>
        </w:rPr>
        <w:t>. These</w:t>
      </w:r>
      <w:r w:rsidR="00837EDA">
        <w:rPr>
          <w:rFonts w:ascii="Segoe UI" w:hAnsi="Segoe UI" w:cs="Segoe UI"/>
          <w:color w:val="666666"/>
          <w:sz w:val="20"/>
          <w:szCs w:val="20"/>
        </w:rPr>
        <w:t xml:space="preserve"> </w:t>
      </w:r>
      <w:r>
        <w:rPr>
          <w:rFonts w:ascii="Segoe UI" w:hAnsi="Segoe UI" w:cs="Segoe UI"/>
          <w:color w:val="666666"/>
          <w:sz w:val="20"/>
          <w:szCs w:val="20"/>
        </w:rPr>
        <w:t xml:space="preserve">items are defined below. </w:t>
      </w:r>
      <w:r w:rsidRPr="00123413">
        <w:rPr>
          <w:rFonts w:ascii="Segoe UI" w:hAnsi="Segoe UI" w:cs="Segoe UI"/>
          <w:color w:val="666666"/>
          <w:sz w:val="20"/>
          <w:szCs w:val="20"/>
        </w:rPr>
        <w:t xml:space="preserve">In addition to </w:t>
      </w:r>
      <w:r>
        <w:rPr>
          <w:rFonts w:ascii="Segoe UI" w:hAnsi="Segoe UI" w:cs="Segoe UI"/>
          <w:color w:val="666666"/>
          <w:sz w:val="20"/>
          <w:szCs w:val="20"/>
        </w:rPr>
        <w:t xml:space="preserve">these </w:t>
      </w:r>
      <w:r w:rsidRPr="00123413">
        <w:rPr>
          <w:rFonts w:ascii="Segoe UI" w:hAnsi="Segoe UI" w:cs="Segoe UI"/>
          <w:color w:val="666666"/>
          <w:sz w:val="20"/>
          <w:szCs w:val="20"/>
        </w:rPr>
        <w:t>financial results reported in accord</w:t>
      </w:r>
      <w:r>
        <w:rPr>
          <w:rFonts w:ascii="Segoe UI" w:hAnsi="Segoe UI" w:cs="Segoe UI"/>
          <w:color w:val="666666"/>
          <w:sz w:val="20"/>
          <w:szCs w:val="20"/>
        </w:rPr>
        <w:t xml:space="preserve">ance with </w:t>
      </w:r>
      <w:r w:rsidRPr="00123413">
        <w:rPr>
          <w:rFonts w:ascii="Segoe UI" w:hAnsi="Segoe UI" w:cs="Segoe UI"/>
          <w:color w:val="666666"/>
          <w:sz w:val="20"/>
          <w:szCs w:val="20"/>
        </w:rPr>
        <w:t xml:space="preserve">GAAP, we have provided certain non-GAAP financial information to aid investors in better understanding </w:t>
      </w:r>
      <w:r>
        <w:rPr>
          <w:rFonts w:ascii="Segoe UI" w:hAnsi="Segoe UI" w:cs="Segoe UI"/>
          <w:color w:val="666666"/>
          <w:sz w:val="20"/>
          <w:szCs w:val="20"/>
        </w:rPr>
        <w:t xml:space="preserve">the company’s performance. </w:t>
      </w:r>
      <w:r w:rsidRPr="00123413">
        <w:rPr>
          <w:rFonts w:ascii="Segoe UI" w:hAnsi="Segoe UI" w:cs="Segoe UI"/>
          <w:color w:val="666666"/>
          <w:sz w:val="20"/>
          <w:szCs w:val="20"/>
        </w:rPr>
        <w:t xml:space="preserve">Presenting these measures </w:t>
      </w:r>
      <w:r w:rsidRPr="00123413">
        <w:rPr>
          <w:rFonts w:ascii="Segoe UI" w:hAnsi="Segoe UI" w:cs="Segoe UI"/>
          <w:color w:val="666666"/>
          <w:sz w:val="20"/>
          <w:szCs w:val="20"/>
        </w:rPr>
        <w:lastRenderedPageBreak/>
        <w:t>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1CC2DDA3" w14:textId="77777777" w:rsidR="00983CBE" w:rsidRDefault="00983CBE" w:rsidP="00983CBE">
      <w:pPr>
        <w:pStyle w:val="NormalWeb"/>
        <w:keepNext/>
        <w:spacing w:before="270" w:beforeAutospacing="0" w:after="270" w:afterAutospacing="0"/>
        <w:jc w:val="left"/>
        <w:rPr>
          <w:rFonts w:ascii="Segoe UI" w:hAnsi="Segoe UI" w:cs="Segoe UI"/>
          <w:b/>
          <w:bCs/>
          <w:color w:val="666666"/>
          <w:sz w:val="20"/>
          <w:szCs w:val="20"/>
        </w:rPr>
      </w:pPr>
      <w:r w:rsidRPr="00123413">
        <w:rPr>
          <w:rFonts w:ascii="Segoe UI" w:hAnsi="Segoe UI" w:cs="Segoe UI"/>
          <w:b/>
          <w:bCs/>
          <w:color w:val="666666"/>
          <w:sz w:val="20"/>
          <w:szCs w:val="20"/>
        </w:rPr>
        <w:lastRenderedPageBreak/>
        <w:t xml:space="preserve">Non-GAAP </w:t>
      </w:r>
      <w:r>
        <w:rPr>
          <w:rFonts w:ascii="Segoe UI" w:hAnsi="Segoe UI" w:cs="Segoe UI"/>
          <w:b/>
          <w:bCs/>
          <w:color w:val="666666"/>
          <w:sz w:val="20"/>
          <w:szCs w:val="20"/>
        </w:rPr>
        <w:t>Definitions</w:t>
      </w:r>
    </w:p>
    <w:p w14:paraId="1CC2DDA4" w14:textId="77777777" w:rsidR="00983CBE" w:rsidRDefault="00983CBE" w:rsidP="00983CBE">
      <w:pPr>
        <w:pStyle w:val="NormalWeb"/>
        <w:spacing w:before="0" w:beforeAutospacing="0" w:after="0" w:afterAutospacing="0" w:line="280" w:lineRule="exact"/>
        <w:jc w:val="left"/>
        <w:rPr>
          <w:rFonts w:ascii="Segoe UI" w:eastAsia="Calibri" w:hAnsi="Segoe UI" w:cs="Segoe UI"/>
          <w:color w:val="666666"/>
          <w:sz w:val="20"/>
          <w:szCs w:val="20"/>
        </w:rPr>
      </w:pPr>
      <w:r>
        <w:rPr>
          <w:rFonts w:ascii="Segoe UI" w:eastAsia="Calibri" w:hAnsi="Segoe UI" w:cs="Segoe UI"/>
          <w:color w:val="666666"/>
          <w:sz w:val="20"/>
          <w:szCs w:val="20"/>
        </w:rPr>
        <w:t>R</w:t>
      </w:r>
      <w:r w:rsidRPr="00935018">
        <w:rPr>
          <w:rFonts w:ascii="Segoe UI" w:eastAsia="Calibri" w:hAnsi="Segoe UI" w:cs="Segoe UI"/>
          <w:color w:val="666666"/>
          <w:sz w:val="20"/>
          <w:szCs w:val="20"/>
        </w:rPr>
        <w:t>evenue deferred</w:t>
      </w:r>
      <w:r>
        <w:rPr>
          <w:rFonts w:ascii="Segoe UI" w:eastAsia="Calibri" w:hAnsi="Segoe UI" w:cs="Segoe UI"/>
          <w:color w:val="666666"/>
          <w:sz w:val="20"/>
          <w:szCs w:val="20"/>
        </w:rPr>
        <w:t xml:space="preserve"> on</w:t>
      </w:r>
      <w:r w:rsidRPr="00935018">
        <w:rPr>
          <w:rFonts w:ascii="Segoe UI" w:eastAsia="Calibri" w:hAnsi="Segoe UI" w:cs="Segoe UI"/>
          <w:color w:val="666666"/>
          <w:sz w:val="20"/>
          <w:szCs w:val="20"/>
        </w:rPr>
        <w:t xml:space="preserve"> </w:t>
      </w:r>
      <w:r>
        <w:rPr>
          <w:rFonts w:ascii="Segoe UI" w:eastAsia="Calibri" w:hAnsi="Segoe UI" w:cs="Segoe UI"/>
          <w:color w:val="666666"/>
          <w:sz w:val="20"/>
          <w:szCs w:val="20"/>
        </w:rPr>
        <w:t>sales of Windows 7 with an option to upgrade to Windows 8 Pro at a discounted price</w:t>
      </w:r>
      <w:r w:rsidRPr="00935018">
        <w:rPr>
          <w:rFonts w:ascii="Segoe UI" w:eastAsia="Calibri" w:hAnsi="Segoe UI" w:cs="Segoe UI"/>
          <w:color w:val="666666"/>
          <w:sz w:val="20"/>
          <w:szCs w:val="20"/>
        </w:rPr>
        <w:t xml:space="preserve"> (“Windows </w:t>
      </w:r>
      <w:r>
        <w:rPr>
          <w:rFonts w:ascii="Segoe UI" w:eastAsia="Calibri" w:hAnsi="Segoe UI" w:cs="Segoe UI"/>
          <w:color w:val="666666"/>
          <w:sz w:val="20"/>
          <w:szCs w:val="20"/>
        </w:rPr>
        <w:t>Upgrade Offer</w:t>
      </w:r>
      <w:r w:rsidRPr="00935018">
        <w:rPr>
          <w:rFonts w:ascii="Segoe UI" w:eastAsia="Calibri" w:hAnsi="Segoe UI" w:cs="Segoe UI"/>
          <w:color w:val="666666"/>
          <w:sz w:val="20"/>
          <w:szCs w:val="20"/>
        </w:rPr>
        <w:t>”)</w:t>
      </w:r>
      <w:r>
        <w:rPr>
          <w:rFonts w:ascii="Segoe UI" w:eastAsia="Calibri" w:hAnsi="Segoe UI" w:cs="Segoe UI"/>
          <w:color w:val="666666"/>
          <w:sz w:val="20"/>
          <w:szCs w:val="20"/>
        </w:rPr>
        <w:t>.</w:t>
      </w:r>
    </w:p>
    <w:p w14:paraId="1CC2DDA5" w14:textId="77777777" w:rsidR="00983CBE" w:rsidRDefault="00983CBE" w:rsidP="00983CBE">
      <w:pPr>
        <w:pStyle w:val="NormalWeb"/>
        <w:spacing w:before="0" w:beforeAutospacing="0" w:after="0" w:afterAutospacing="0" w:line="280" w:lineRule="exact"/>
        <w:jc w:val="left"/>
        <w:rPr>
          <w:rFonts w:ascii="Segoe UI" w:eastAsia="Calibri" w:hAnsi="Segoe UI" w:cs="Segoe UI"/>
          <w:color w:val="666666"/>
          <w:sz w:val="20"/>
          <w:szCs w:val="20"/>
        </w:rPr>
      </w:pPr>
    </w:p>
    <w:p w14:paraId="1CC2DDA6" w14:textId="77777777" w:rsidR="00983CBE" w:rsidRDefault="00983CBE" w:rsidP="00983CBE">
      <w:pPr>
        <w:pStyle w:val="NormalWeb"/>
        <w:spacing w:before="0" w:beforeAutospacing="0" w:after="0" w:afterAutospacing="0" w:line="280" w:lineRule="exact"/>
        <w:jc w:val="left"/>
        <w:rPr>
          <w:rFonts w:ascii="Segoe UI" w:eastAsia="Calibri" w:hAnsi="Segoe UI" w:cs="Segoe UI"/>
          <w:color w:val="666666"/>
          <w:sz w:val="20"/>
          <w:szCs w:val="20"/>
        </w:rPr>
      </w:pPr>
      <w:r>
        <w:rPr>
          <w:rFonts w:ascii="Segoe UI" w:eastAsia="Calibri" w:hAnsi="Segoe UI" w:cs="Segoe UI"/>
          <w:color w:val="666666"/>
          <w:sz w:val="20"/>
          <w:szCs w:val="20"/>
        </w:rPr>
        <w:t>Revenue deferred on sales of the previous version of the Microsoft Office system with a guarantee to be upgraded to the new Office at minimal or no cost and pre-sales of the new Office to OEMs and retailers before general availability (collectively, the “Office Deferral”).</w:t>
      </w:r>
    </w:p>
    <w:p w14:paraId="1CC2DDA7" w14:textId="77777777" w:rsidR="00983CBE" w:rsidRPr="00935018" w:rsidRDefault="00983CBE" w:rsidP="00983CBE">
      <w:pPr>
        <w:pStyle w:val="NormalWeb"/>
        <w:spacing w:before="0" w:beforeAutospacing="0" w:after="0" w:afterAutospacing="0" w:line="280" w:lineRule="exact"/>
        <w:jc w:val="left"/>
        <w:rPr>
          <w:rFonts w:ascii="Segoe UI" w:eastAsia="Calibri" w:hAnsi="Segoe UI" w:cs="Segoe UI"/>
          <w:color w:val="666666"/>
          <w:sz w:val="20"/>
          <w:szCs w:val="20"/>
        </w:rPr>
      </w:pPr>
    </w:p>
    <w:p w14:paraId="1CC2DDA8" w14:textId="77777777" w:rsidR="00983CBE" w:rsidRDefault="00983CBE" w:rsidP="00983CBE">
      <w:pPr>
        <w:pStyle w:val="NormalWeb"/>
        <w:spacing w:before="0" w:beforeAutospacing="0" w:after="0" w:afterAutospacing="0" w:line="280" w:lineRule="exact"/>
        <w:jc w:val="left"/>
        <w:rPr>
          <w:rFonts w:ascii="Segoe UI" w:eastAsia="Calibri" w:hAnsi="Segoe UI" w:cs="Segoe UI"/>
          <w:color w:val="666666"/>
          <w:sz w:val="20"/>
          <w:szCs w:val="20"/>
        </w:rPr>
      </w:pPr>
      <w:r>
        <w:rPr>
          <w:rFonts w:ascii="Segoe UI" w:eastAsia="Calibri" w:hAnsi="Segoe UI" w:cs="Segoe UI"/>
          <w:color w:val="666666"/>
          <w:sz w:val="20"/>
          <w:szCs w:val="20"/>
        </w:rPr>
        <w:lastRenderedPageBreak/>
        <w:t>Revenue deferred on sales of video games with the right to receive specified software upgrades/enhancements</w:t>
      </w:r>
      <w:r w:rsidRPr="00935018">
        <w:rPr>
          <w:rFonts w:ascii="Segoe UI" w:eastAsia="Calibri" w:hAnsi="Segoe UI" w:cs="Segoe UI"/>
          <w:color w:val="666666"/>
          <w:sz w:val="20"/>
          <w:szCs w:val="20"/>
        </w:rPr>
        <w:t xml:space="preserve"> (</w:t>
      </w:r>
      <w:r>
        <w:rPr>
          <w:rFonts w:ascii="Segoe UI" w:eastAsia="Calibri" w:hAnsi="Segoe UI" w:cs="Segoe UI"/>
          <w:color w:val="666666"/>
          <w:sz w:val="20"/>
          <w:szCs w:val="20"/>
        </w:rPr>
        <w:t>“Video Game Deferral</w:t>
      </w:r>
      <w:r w:rsidRPr="00935018">
        <w:rPr>
          <w:rFonts w:ascii="Segoe UI" w:eastAsia="Calibri" w:hAnsi="Segoe UI" w:cs="Segoe UI"/>
          <w:color w:val="666666"/>
          <w:sz w:val="20"/>
          <w:szCs w:val="20"/>
        </w:rPr>
        <w:t>”).</w:t>
      </w:r>
    </w:p>
    <w:p w14:paraId="1CC2DDA9" w14:textId="77777777" w:rsidR="00945F59" w:rsidRDefault="00945F59" w:rsidP="00983CBE">
      <w:pPr>
        <w:pStyle w:val="NormalWeb"/>
        <w:spacing w:before="0" w:beforeAutospacing="0" w:after="0" w:afterAutospacing="0" w:line="280" w:lineRule="exact"/>
        <w:jc w:val="left"/>
        <w:rPr>
          <w:rFonts w:ascii="Segoe UI" w:eastAsia="Calibri" w:hAnsi="Segoe UI" w:cs="Segoe UI"/>
          <w:color w:val="666666"/>
          <w:sz w:val="20"/>
          <w:szCs w:val="20"/>
        </w:rPr>
      </w:pPr>
    </w:p>
    <w:p w14:paraId="1CC2DDAA" w14:textId="77777777" w:rsidR="00945F59" w:rsidRDefault="00945F59" w:rsidP="00945F59">
      <w:pPr>
        <w:pStyle w:val="NormalWeb"/>
        <w:spacing w:before="0" w:beforeAutospacing="0" w:after="0" w:afterAutospacing="0" w:line="280" w:lineRule="exact"/>
        <w:jc w:val="left"/>
        <w:rPr>
          <w:rFonts w:ascii="Segoe UI" w:eastAsia="Calibri" w:hAnsi="Segoe UI" w:cs="Segoe UI"/>
          <w:color w:val="666666"/>
          <w:sz w:val="20"/>
          <w:szCs w:val="20"/>
        </w:rPr>
      </w:pPr>
      <w:r>
        <w:rPr>
          <w:rFonts w:ascii="Segoe UI" w:eastAsia="Calibri" w:hAnsi="Segoe UI" w:cs="Segoe UI"/>
          <w:color w:val="666666"/>
          <w:sz w:val="20"/>
          <w:szCs w:val="20"/>
        </w:rPr>
        <w:t>Fine of €561 million ($733 million) assessed by the European Commission in 2013 for violation of an order to provide a browser choice screen with Internet Explorer on PCs sold in Europe (“European Commission Fine”).</w:t>
      </w:r>
    </w:p>
    <w:p w14:paraId="1CC2DDAC" w14:textId="77777777" w:rsidR="00983CBE" w:rsidRPr="00BA3529" w:rsidRDefault="00983CBE" w:rsidP="00BA3529">
      <w:pPr>
        <w:pStyle w:val="NormalWeb"/>
        <w:keepNext/>
        <w:spacing w:before="270" w:beforeAutospacing="0" w:after="270" w:afterAutospacing="0"/>
        <w:jc w:val="left"/>
        <w:rPr>
          <w:rFonts w:ascii="Segoe UI" w:hAnsi="Segoe UI" w:cs="Segoe UI"/>
          <w:b/>
          <w:bCs/>
          <w:color w:val="666666"/>
          <w:sz w:val="20"/>
          <w:szCs w:val="20"/>
        </w:rPr>
      </w:pPr>
      <w:r w:rsidRPr="00BA3529">
        <w:rPr>
          <w:rFonts w:ascii="Segoe UI" w:hAnsi="Segoe UI" w:cs="Segoe UI"/>
          <w:b/>
          <w:bCs/>
          <w:color w:val="666666"/>
          <w:sz w:val="20"/>
          <w:szCs w:val="20"/>
        </w:rPr>
        <w:t>About Microsoft</w:t>
      </w:r>
    </w:p>
    <w:p w14:paraId="1CC2DDAD" w14:textId="77777777" w:rsidR="00983CBE" w:rsidRPr="00123413" w:rsidRDefault="00983CBE" w:rsidP="00983CBE">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Founded in 1975, Microsoft (Nasdaq “MSFT”) is the worldwide leader in software, services</w:t>
      </w:r>
      <w:r w:rsidR="00B41818">
        <w:rPr>
          <w:rFonts w:ascii="Segoe UI" w:hAnsi="Segoe UI" w:cs="Segoe UI"/>
          <w:color w:val="666666"/>
          <w:sz w:val="20"/>
          <w:szCs w:val="20"/>
        </w:rPr>
        <w:t>,</w:t>
      </w:r>
      <w:r w:rsidRPr="00123413">
        <w:rPr>
          <w:rFonts w:ascii="Segoe UI" w:hAnsi="Segoe UI" w:cs="Segoe UI"/>
          <w:color w:val="666666"/>
          <w:sz w:val="20"/>
          <w:szCs w:val="20"/>
        </w:rPr>
        <w:t xml:space="preserve"> and </w:t>
      </w:r>
      <w:r w:rsidRPr="00123413">
        <w:rPr>
          <w:rFonts w:ascii="Segoe UI" w:hAnsi="Segoe UI" w:cs="Segoe UI"/>
          <w:color w:val="666666"/>
          <w:sz w:val="20"/>
          <w:szCs w:val="20"/>
        </w:rPr>
        <w:lastRenderedPageBreak/>
        <w:t>solutions that help people and businesses realize their full potential.</w:t>
      </w:r>
    </w:p>
    <w:p w14:paraId="1CC2DDAE" w14:textId="77777777" w:rsidR="00983CBE" w:rsidRPr="00123413" w:rsidRDefault="00983CBE" w:rsidP="00983CBE">
      <w:pPr>
        <w:pStyle w:val="NoSpacing"/>
        <w:spacing w:before="24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Forward-Looking Statements </w:t>
      </w:r>
    </w:p>
    <w:p w14:paraId="1CC2DDAF" w14:textId="77777777" w:rsidR="00983CBE" w:rsidRPr="00123413" w:rsidRDefault="00983CBE" w:rsidP="00983CBE">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1CC2DDB0"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intense competition in all of Microsoft’s markets;</w:t>
      </w:r>
    </w:p>
    <w:p w14:paraId="1CC2DDB1"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increasing focus on services presents execution and competitive risks</w:t>
      </w:r>
      <w:r w:rsidRPr="00123413">
        <w:rPr>
          <w:rFonts w:ascii="Segoe UI" w:hAnsi="Segoe UI" w:cs="Segoe UI"/>
          <w:color w:val="666666"/>
          <w:sz w:val="20"/>
          <w:szCs w:val="20"/>
        </w:rPr>
        <w:t>;</w:t>
      </w:r>
    </w:p>
    <w:p w14:paraId="1CC2DDB2" w14:textId="77777777" w:rsidR="00983CBE"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 xml:space="preserve">significant </w:t>
      </w:r>
      <w:r>
        <w:rPr>
          <w:rFonts w:ascii="Segoe UI" w:hAnsi="Segoe UI" w:cs="Segoe UI"/>
          <w:color w:val="666666"/>
          <w:sz w:val="20"/>
          <w:szCs w:val="20"/>
        </w:rPr>
        <w:t>investments in new products and services that may not be profitable</w:t>
      </w:r>
      <w:r w:rsidRPr="00123413">
        <w:rPr>
          <w:rFonts w:ascii="Segoe UI" w:hAnsi="Segoe UI" w:cs="Segoe UI"/>
          <w:color w:val="666666"/>
          <w:sz w:val="20"/>
          <w:szCs w:val="20"/>
        </w:rPr>
        <w:t>;</w:t>
      </w:r>
    </w:p>
    <w:p w14:paraId="1CC2DDB3"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 xml:space="preserve">acquisitions, joint ventures, and strategic alliances, including our acquisition </w:t>
      </w:r>
      <w:r w:rsidR="00517957">
        <w:rPr>
          <w:rFonts w:ascii="Segoe UI" w:hAnsi="Segoe UI" w:cs="Segoe UI"/>
          <w:color w:val="666666"/>
          <w:sz w:val="20"/>
          <w:szCs w:val="20"/>
        </w:rPr>
        <w:t>of the Nokia</w:t>
      </w:r>
      <w:r>
        <w:rPr>
          <w:rFonts w:ascii="Segoe UI" w:hAnsi="Segoe UI" w:cs="Segoe UI"/>
          <w:color w:val="666666"/>
          <w:sz w:val="20"/>
          <w:szCs w:val="20"/>
        </w:rPr>
        <w:t xml:space="preserve"> Devices and Services business, may have an adverse effect on our business;</w:t>
      </w:r>
    </w:p>
    <w:p w14:paraId="1CC2DDB4"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continued ability to protect its intellectual property rights;</w:t>
      </w:r>
    </w:p>
    <w:p w14:paraId="1CC2DDB5"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claims that Microsoft has infringed the intellectual property rights of others;</w:t>
      </w:r>
    </w:p>
    <w:p w14:paraId="1CC2DDB6"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the possibility of unauthorized disclosure of significant portions of Microsoft’s source code;</w:t>
      </w:r>
    </w:p>
    <w:p w14:paraId="1CC2DDB7"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cyber-attacks and security vulnerabilities in Microsoft products that could reduce revenue or lead to liability;</w:t>
      </w:r>
    </w:p>
    <w:p w14:paraId="1CC2DDB8"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disclosure of personal data that could result in liability and harm to Microsoft’s reputation; </w:t>
      </w:r>
    </w:p>
    <w:p w14:paraId="1CC2DDB9"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outages</w:t>
      </w:r>
      <w:r>
        <w:rPr>
          <w:rFonts w:ascii="Segoe UI" w:hAnsi="Segoe UI" w:cs="Segoe UI"/>
          <w:color w:val="666666"/>
          <w:sz w:val="20"/>
          <w:szCs w:val="20"/>
        </w:rPr>
        <w:t>, data losses, and disruptions of our online services if we fail to maintain an adequate operations infrastructure</w:t>
      </w:r>
      <w:r w:rsidRPr="00123413">
        <w:rPr>
          <w:rFonts w:ascii="Segoe UI" w:hAnsi="Segoe UI" w:cs="Segoe UI"/>
          <w:color w:val="666666"/>
          <w:sz w:val="20"/>
          <w:szCs w:val="20"/>
        </w:rPr>
        <w:t>;</w:t>
      </w:r>
    </w:p>
    <w:p w14:paraId="1CC2DDBA"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government litigation and regulation </w:t>
      </w:r>
      <w:r>
        <w:rPr>
          <w:rFonts w:ascii="Segoe UI" w:hAnsi="Segoe UI" w:cs="Segoe UI"/>
          <w:color w:val="666666"/>
          <w:sz w:val="20"/>
          <w:szCs w:val="20"/>
        </w:rPr>
        <w:t>that may limit</w:t>
      </w:r>
      <w:r w:rsidRPr="00123413">
        <w:rPr>
          <w:rFonts w:ascii="Segoe UI" w:hAnsi="Segoe UI" w:cs="Segoe UI"/>
          <w:color w:val="666666"/>
          <w:sz w:val="20"/>
          <w:szCs w:val="20"/>
        </w:rPr>
        <w:t xml:space="preserve"> how Microsoft designs and markets its products;</w:t>
      </w:r>
    </w:p>
    <w:p w14:paraId="1CC2DDBB"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ability to attract and retain talented employees;</w:t>
      </w:r>
    </w:p>
    <w:p w14:paraId="1CC2DDBC"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delays in product development and related product release schedules;</w:t>
      </w:r>
    </w:p>
    <w:p w14:paraId="1CC2DDBD"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adverse economic or market conditions m</w:t>
      </w:r>
      <w:r w:rsidR="00CC0168">
        <w:rPr>
          <w:rFonts w:ascii="Segoe UI" w:hAnsi="Segoe UI" w:cs="Segoe UI"/>
          <w:color w:val="666666"/>
          <w:sz w:val="20"/>
          <w:szCs w:val="20"/>
        </w:rPr>
        <w:t>a</w:t>
      </w:r>
      <w:r>
        <w:rPr>
          <w:rFonts w:ascii="Segoe UI" w:hAnsi="Segoe UI" w:cs="Segoe UI"/>
          <w:color w:val="666666"/>
          <w:sz w:val="20"/>
          <w:szCs w:val="20"/>
        </w:rPr>
        <w:t>y harm our business</w:t>
      </w:r>
      <w:r w:rsidRPr="00123413">
        <w:rPr>
          <w:rFonts w:ascii="Segoe UI" w:hAnsi="Segoe UI" w:cs="Segoe UI"/>
          <w:color w:val="666666"/>
          <w:sz w:val="20"/>
          <w:szCs w:val="20"/>
        </w:rPr>
        <w:t>;</w:t>
      </w:r>
    </w:p>
    <w:p w14:paraId="1CC2DDBE"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adverse results in legal disputes;</w:t>
      </w:r>
    </w:p>
    <w:p w14:paraId="1CC2DDBF"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unanticipated tax liabilities;</w:t>
      </w:r>
    </w:p>
    <w:p w14:paraId="1CC2DDC0"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t>our hardware and software products may experience quality or supply problems</w:t>
      </w:r>
      <w:r w:rsidRPr="00123413">
        <w:rPr>
          <w:rFonts w:ascii="Segoe UI" w:hAnsi="Segoe UI" w:cs="Segoe UI"/>
          <w:color w:val="666666"/>
          <w:sz w:val="20"/>
          <w:szCs w:val="20"/>
        </w:rPr>
        <w:t>;</w:t>
      </w:r>
    </w:p>
    <w:p w14:paraId="1CC2DDC1"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impairment of goodwill</w:t>
      </w:r>
      <w:r>
        <w:rPr>
          <w:rFonts w:ascii="Segoe UI" w:hAnsi="Segoe UI" w:cs="Segoe UI"/>
          <w:color w:val="666666"/>
          <w:sz w:val="20"/>
          <w:szCs w:val="20"/>
        </w:rPr>
        <w:t xml:space="preserve"> or</w:t>
      </w:r>
      <w:r w:rsidRPr="00123413">
        <w:rPr>
          <w:rFonts w:ascii="Segoe UI" w:hAnsi="Segoe UI" w:cs="Segoe UI"/>
          <w:color w:val="666666"/>
          <w:sz w:val="20"/>
          <w:szCs w:val="20"/>
        </w:rPr>
        <w:t xml:space="preserve"> amortizable intangible assets causing a charge to earnings;</w:t>
      </w:r>
    </w:p>
    <w:p w14:paraId="1CC2DDC2"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exposure to increased economic and regulatory uncertainties from operating a global business;</w:t>
      </w:r>
      <w:r>
        <w:rPr>
          <w:rFonts w:ascii="Segoe UI" w:hAnsi="Segoe UI" w:cs="Segoe UI"/>
          <w:color w:val="666666"/>
          <w:sz w:val="20"/>
          <w:szCs w:val="20"/>
        </w:rPr>
        <w:t xml:space="preserve"> and</w:t>
      </w:r>
    </w:p>
    <w:p w14:paraId="1CC2DDC3" w14:textId="77777777" w:rsidR="00983CBE" w:rsidRPr="00123413" w:rsidRDefault="00983CBE" w:rsidP="00983CBE">
      <w:pPr>
        <w:pStyle w:val="NoSpacing"/>
        <w:numPr>
          <w:ilvl w:val="0"/>
          <w:numId w:val="2"/>
        </w:numPr>
        <w:spacing w:before="120" w:after="120" w:line="280" w:lineRule="exact"/>
        <w:rPr>
          <w:rFonts w:ascii="Segoe UI" w:hAnsi="Segoe UI" w:cs="Segoe UI"/>
          <w:color w:val="666666"/>
          <w:sz w:val="20"/>
          <w:szCs w:val="20"/>
        </w:rPr>
      </w:pPr>
      <w:r>
        <w:rPr>
          <w:rFonts w:ascii="Segoe UI" w:hAnsi="Segoe UI" w:cs="Segoe UI"/>
          <w:color w:val="666666"/>
          <w:sz w:val="20"/>
          <w:szCs w:val="20"/>
        </w:rPr>
        <w:lastRenderedPageBreak/>
        <w:t>catastrophic events or geo-political conditions may disrupt our business</w:t>
      </w:r>
      <w:r w:rsidRPr="00123413">
        <w:rPr>
          <w:rFonts w:ascii="Segoe UI" w:hAnsi="Segoe UI" w:cs="Segoe UI"/>
          <w:color w:val="666666"/>
          <w:sz w:val="20"/>
          <w:szCs w:val="20"/>
        </w:rPr>
        <w:t>.</w:t>
      </w:r>
    </w:p>
    <w:p w14:paraId="1CC2DDC4" w14:textId="77777777" w:rsidR="00983CBE" w:rsidRPr="00123413" w:rsidRDefault="00983CBE" w:rsidP="00983CBE">
      <w:pPr>
        <w:pStyle w:val="NoSpacing"/>
        <w:spacing w:before="240" w:after="200" w:line="280" w:lineRule="exact"/>
        <w:rPr>
          <w:rFonts w:ascii="Segoe UI" w:hAnsi="Segoe UI" w:cs="Segoe UI"/>
          <w:sz w:val="20"/>
          <w:szCs w:val="20"/>
        </w:rPr>
      </w:pPr>
      <w:r>
        <w:rPr>
          <w:rFonts w:ascii="Segoe UI" w:hAnsi="Segoe UI" w:cs="Segoe UI"/>
          <w:color w:val="666666"/>
          <w:sz w:val="20"/>
          <w:szCs w:val="20"/>
        </w:rPr>
        <w:t>For more</w:t>
      </w:r>
      <w:r w:rsidRPr="00123413">
        <w:rPr>
          <w:rFonts w:ascii="Segoe UI" w:hAnsi="Segoe UI" w:cs="Segoe UI"/>
          <w:color w:val="666666"/>
          <w:sz w:val="20"/>
          <w:szCs w:val="20"/>
        </w:rPr>
        <w:t xml:space="preserve"> information </w:t>
      </w:r>
      <w:r>
        <w:rPr>
          <w:rFonts w:ascii="Segoe UI" w:hAnsi="Segoe UI" w:cs="Segoe UI"/>
          <w:color w:val="666666"/>
          <w:sz w:val="20"/>
          <w:szCs w:val="20"/>
        </w:rPr>
        <w:t>about</w:t>
      </w:r>
      <w:r w:rsidRPr="00123413">
        <w:rPr>
          <w:rFonts w:ascii="Segoe UI" w:hAnsi="Segoe UI" w:cs="Segoe UI"/>
          <w:color w:val="666666"/>
          <w:sz w:val="20"/>
          <w:szCs w:val="20"/>
        </w:rPr>
        <w:t xml:space="preserve">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2" w:tgtFrame="_blank" w:history="1">
        <w:r w:rsidRPr="00123413">
          <w:rPr>
            <w:rStyle w:val="Hyperlink"/>
            <w:rFonts w:cs="Segoe UI"/>
            <w:szCs w:val="20"/>
          </w:rPr>
          <w:t>http://www.microsoft.</w:t>
        </w:r>
        <w:r w:rsidRPr="00123413">
          <w:rPr>
            <w:rStyle w:val="FollowedHyperlink"/>
            <w:rFonts w:cs="Segoe UI"/>
            <w:szCs w:val="20"/>
          </w:rPr>
          <w:t>com</w:t>
        </w:r>
        <w:r w:rsidRPr="00123413">
          <w:rPr>
            <w:rStyle w:val="Hyperlink"/>
            <w:rFonts w:cs="Segoe UI"/>
            <w:szCs w:val="20"/>
          </w:rPr>
          <w:t>/investor</w:t>
        </w:r>
      </w:hyperlink>
      <w:r w:rsidRPr="00123413">
        <w:rPr>
          <w:rFonts w:ascii="Segoe UI" w:hAnsi="Segoe UI" w:cs="Segoe UI"/>
          <w:sz w:val="20"/>
          <w:szCs w:val="20"/>
        </w:rPr>
        <w:t>.</w:t>
      </w:r>
    </w:p>
    <w:p w14:paraId="1CC2DDC5" w14:textId="77777777" w:rsidR="00983CBE" w:rsidRPr="00123413" w:rsidRDefault="00983CBE" w:rsidP="00983CBE">
      <w:pPr>
        <w:pStyle w:val="NoSpacing"/>
        <w:spacing w:before="240" w:after="20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 xml:space="preserve">All information in this release is as of </w:t>
      </w:r>
      <w:r w:rsidR="00B41818">
        <w:rPr>
          <w:rFonts w:ascii="Segoe UI" w:hAnsi="Segoe UI" w:cs="Segoe UI"/>
          <w:color w:val="666666"/>
          <w:sz w:val="20"/>
          <w:szCs w:val="20"/>
        </w:rPr>
        <w:t>April 24</w:t>
      </w:r>
      <w:r w:rsidRPr="00123413">
        <w:rPr>
          <w:rFonts w:ascii="Segoe UI" w:hAnsi="Segoe UI" w:cs="Segoe UI"/>
          <w:color w:val="666666"/>
          <w:sz w:val="20"/>
          <w:szCs w:val="20"/>
        </w:rPr>
        <w:t>, 201</w:t>
      </w:r>
      <w:r>
        <w:rPr>
          <w:rFonts w:ascii="Segoe UI" w:hAnsi="Segoe UI" w:cs="Segoe UI"/>
          <w:color w:val="666666"/>
          <w:sz w:val="20"/>
          <w:szCs w:val="20"/>
        </w:rPr>
        <w:t>4</w:t>
      </w:r>
      <w:r w:rsidRPr="00123413">
        <w:rPr>
          <w:rFonts w:ascii="Segoe UI" w:hAnsi="Segoe UI" w:cs="Segoe UI"/>
          <w:color w:val="666666"/>
          <w:sz w:val="20"/>
          <w:szCs w:val="20"/>
        </w:rPr>
        <w:t>. The company undertakes no duty to update any forward-looking statement to conform the statement to actual results or changes in the company’s expectations.</w:t>
      </w:r>
    </w:p>
    <w:p w14:paraId="1CC2DDC6" w14:textId="77777777" w:rsidR="00983CBE" w:rsidRPr="00D22131" w:rsidRDefault="00983CBE" w:rsidP="00983CBE">
      <w:pPr>
        <w:pStyle w:val="NoSpacing"/>
        <w:spacing w:line="280" w:lineRule="exact"/>
        <w:rPr>
          <w:rFonts w:ascii="Segoe UI" w:hAnsi="Segoe UI" w:cs="Segoe UI"/>
          <w:b/>
          <w:color w:val="666666"/>
          <w:sz w:val="20"/>
          <w:szCs w:val="20"/>
        </w:rPr>
      </w:pPr>
      <w:r w:rsidRPr="00D22131">
        <w:rPr>
          <w:rFonts w:ascii="Segoe UI" w:hAnsi="Segoe UI" w:cs="Segoe UI"/>
          <w:b/>
          <w:color w:val="666666"/>
          <w:sz w:val="20"/>
          <w:szCs w:val="20"/>
        </w:rPr>
        <w:t xml:space="preserve">For more information, press only: </w:t>
      </w:r>
    </w:p>
    <w:p w14:paraId="1CC2DDC7" w14:textId="77777777" w:rsidR="00983CBE" w:rsidRPr="00123413" w:rsidRDefault="00983CBE" w:rsidP="00983CBE">
      <w:pPr>
        <w:pStyle w:val="NoSpacing"/>
        <w:spacing w:line="280" w:lineRule="exact"/>
        <w:rPr>
          <w:rFonts w:ascii="Segoe UI" w:hAnsi="Segoe UI" w:cs="Segoe UI"/>
          <w:sz w:val="20"/>
          <w:szCs w:val="20"/>
        </w:rPr>
      </w:pPr>
      <w:r w:rsidRPr="00123413">
        <w:rPr>
          <w:rFonts w:ascii="Segoe UI" w:hAnsi="Segoe UI" w:cs="Segoe UI"/>
          <w:color w:val="666666"/>
          <w:sz w:val="20"/>
          <w:szCs w:val="20"/>
        </w:rPr>
        <w:t xml:space="preserve">Rapid Response Team, Waggener Edstrom Worldwide, (503) 443-7070, </w:t>
      </w:r>
      <w:hyperlink r:id="rId13" w:history="1">
        <w:r w:rsidRPr="00123413">
          <w:rPr>
            <w:rStyle w:val="Hyperlink"/>
            <w:rFonts w:cs="Segoe UI"/>
            <w:szCs w:val="20"/>
          </w:rPr>
          <w:t>rrt@waggeneredstrom.com</w:t>
        </w:r>
      </w:hyperlink>
    </w:p>
    <w:p w14:paraId="1CC2DDC8" w14:textId="77777777" w:rsidR="00983CBE" w:rsidRPr="00123413" w:rsidRDefault="00983CBE" w:rsidP="00983CBE">
      <w:pPr>
        <w:pStyle w:val="NoSpacing"/>
        <w:spacing w:line="280" w:lineRule="exact"/>
        <w:rPr>
          <w:rFonts w:ascii="Segoe UI" w:hAnsi="Segoe UI" w:cs="Segoe UI"/>
          <w:b/>
          <w:sz w:val="20"/>
          <w:szCs w:val="20"/>
        </w:rPr>
      </w:pPr>
    </w:p>
    <w:p w14:paraId="1CC2DDC9" w14:textId="77777777" w:rsidR="00983CBE" w:rsidRPr="00D22131" w:rsidRDefault="00983CBE" w:rsidP="00983CBE">
      <w:pPr>
        <w:pStyle w:val="NoSpacing"/>
        <w:spacing w:line="280" w:lineRule="exact"/>
        <w:rPr>
          <w:rFonts w:ascii="Segoe UI" w:hAnsi="Segoe UI" w:cs="Segoe UI"/>
          <w:b/>
          <w:color w:val="666666"/>
          <w:sz w:val="20"/>
          <w:szCs w:val="20"/>
        </w:rPr>
      </w:pPr>
      <w:r w:rsidRPr="00D22131">
        <w:rPr>
          <w:rFonts w:ascii="Segoe UI" w:hAnsi="Segoe UI" w:cs="Segoe UI"/>
          <w:b/>
          <w:color w:val="666666"/>
          <w:sz w:val="20"/>
          <w:szCs w:val="20"/>
        </w:rPr>
        <w:t xml:space="preserve">For more information, financial analysts and investors only: </w:t>
      </w:r>
    </w:p>
    <w:p w14:paraId="1CC2DDCA" w14:textId="77777777" w:rsidR="00983CBE" w:rsidRPr="00123413" w:rsidRDefault="00983CBE" w:rsidP="00983CBE">
      <w:pPr>
        <w:pStyle w:val="NoSpacing"/>
        <w:spacing w:line="280" w:lineRule="exact"/>
        <w:rPr>
          <w:rFonts w:ascii="Segoe UI" w:hAnsi="Segoe UI" w:cs="Segoe UI"/>
          <w:color w:val="666666"/>
          <w:sz w:val="20"/>
          <w:szCs w:val="20"/>
        </w:rPr>
      </w:pPr>
      <w:r>
        <w:rPr>
          <w:rFonts w:ascii="Segoe UI" w:hAnsi="Segoe UI" w:cs="Segoe UI"/>
          <w:color w:val="666666"/>
          <w:sz w:val="20"/>
          <w:szCs w:val="20"/>
        </w:rPr>
        <w:t>Chris Suh</w:t>
      </w:r>
      <w:r w:rsidRPr="00123413">
        <w:rPr>
          <w:rFonts w:ascii="Segoe UI" w:hAnsi="Segoe UI" w:cs="Segoe UI"/>
          <w:color w:val="666666"/>
          <w:sz w:val="20"/>
          <w:szCs w:val="20"/>
        </w:rPr>
        <w:t>, general manager, Investor Relations, (425) 706-4400</w:t>
      </w:r>
    </w:p>
    <w:p w14:paraId="1CC2DDCB" w14:textId="77777777" w:rsidR="00983CBE" w:rsidRPr="00123413" w:rsidRDefault="00983CBE" w:rsidP="00983CBE">
      <w:pPr>
        <w:pStyle w:val="NoSpacing"/>
        <w:spacing w:line="280" w:lineRule="exact"/>
        <w:rPr>
          <w:rFonts w:ascii="Segoe UI" w:hAnsi="Segoe UI" w:cs="Segoe UI"/>
          <w:color w:val="666666"/>
          <w:sz w:val="20"/>
          <w:szCs w:val="20"/>
        </w:rPr>
      </w:pPr>
    </w:p>
    <w:p w14:paraId="1CC2DDCC" w14:textId="77777777" w:rsidR="00E62AA0" w:rsidRDefault="00983CBE" w:rsidP="008C011F">
      <w:pPr>
        <w:spacing w:line="280" w:lineRule="exact"/>
        <w:rPr>
          <w:rFonts w:ascii="Segoe UI" w:hAnsi="Segoe UI" w:cs="Segoe UI"/>
          <w:sz w:val="20"/>
          <w:szCs w:val="20"/>
        </w:rPr>
      </w:pPr>
      <w:r w:rsidRPr="00123413">
        <w:rPr>
          <w:rFonts w:ascii="Segoe UI" w:hAnsi="Segoe UI" w:cs="Segoe UI"/>
          <w:i/>
          <w:color w:val="666666"/>
          <w:sz w:val="20"/>
          <w:szCs w:val="20"/>
        </w:rPr>
        <w:t xml:space="preserve">Note to editors: </w:t>
      </w:r>
      <w:r w:rsidRPr="00123413">
        <w:rPr>
          <w:rFonts w:ascii="Segoe UI" w:hAnsi="Segoe UI" w:cs="Segoe UI"/>
          <w:color w:val="666666"/>
          <w:sz w:val="20"/>
          <w:szCs w:val="20"/>
        </w:rPr>
        <w:t xml:space="preserve">For more information, news and perspectives from Microsoft, please visit the Microsoft News Center at </w:t>
      </w:r>
      <w:hyperlink r:id="rId14" w:tgtFrame="_blank" w:history="1">
        <w:r w:rsidRPr="00123413">
          <w:rPr>
            <w:rStyle w:val="Hyperlink"/>
            <w:rFonts w:cs="Segoe UI"/>
            <w:szCs w:val="20"/>
          </w:rPr>
          <w:t>http://www.microsoft.com/news</w:t>
        </w:r>
      </w:hyperlink>
      <w:r w:rsidRPr="00123413">
        <w:rPr>
          <w:rStyle w:val="Hyperlink"/>
          <w:rFonts w:cs="Segoe UI"/>
          <w:szCs w:val="20"/>
        </w:rPr>
        <w:t>/</w:t>
      </w:r>
      <w:r w:rsidRPr="00123413">
        <w:rPr>
          <w:rFonts w:ascii="Segoe UI" w:hAnsi="Segoe UI" w:cs="Segoe UI"/>
          <w:sz w:val="20"/>
          <w:szCs w:val="20"/>
        </w:rPr>
        <w:t xml:space="preserve">. </w:t>
      </w:r>
      <w:r w:rsidRPr="00123413">
        <w:rPr>
          <w:rFonts w:ascii="Segoe UI" w:hAnsi="Segoe UI" w:cs="Segoe UI"/>
          <w:color w:val="666666"/>
          <w:sz w:val="20"/>
          <w:szCs w:val="20"/>
        </w:rPr>
        <w:t>Web links, telephone numbers</w:t>
      </w:r>
      <w:r>
        <w:rPr>
          <w:rFonts w:ascii="Segoe UI" w:hAnsi="Segoe UI" w:cs="Segoe UI"/>
          <w:color w:val="666666"/>
          <w:sz w:val="20"/>
          <w:szCs w:val="20"/>
        </w:rPr>
        <w:t>,</w:t>
      </w:r>
      <w:r w:rsidRPr="00123413">
        <w:rPr>
          <w:rFonts w:ascii="Segoe UI" w:hAnsi="Segoe UI" w:cs="Segoe UI"/>
          <w:color w:val="666666"/>
          <w:sz w:val="20"/>
          <w:szCs w:val="20"/>
        </w:rPr>
        <w:t xml:space="preserve"> and titles were correct at time of publication, but may since have changed. Shareholder and financial information,</w:t>
      </w:r>
      <w:r>
        <w:rPr>
          <w:rFonts w:ascii="Segoe UI" w:hAnsi="Segoe UI" w:cs="Segoe UI"/>
          <w:color w:val="666666"/>
          <w:sz w:val="20"/>
          <w:szCs w:val="20"/>
        </w:rPr>
        <w:t xml:space="preserve"> as well as today’s 2:30 p.m. P</w:t>
      </w:r>
      <w:r w:rsidR="00FD0A3F">
        <w:rPr>
          <w:rFonts w:ascii="Segoe UI" w:hAnsi="Segoe UI" w:cs="Segoe UI"/>
          <w:color w:val="666666"/>
          <w:sz w:val="20"/>
          <w:szCs w:val="20"/>
        </w:rPr>
        <w:t>D</w:t>
      </w:r>
      <w:r w:rsidRPr="00123413">
        <w:rPr>
          <w:rFonts w:ascii="Segoe UI" w:hAnsi="Segoe UI" w:cs="Segoe UI"/>
          <w:color w:val="666666"/>
          <w:sz w:val="20"/>
          <w:szCs w:val="20"/>
        </w:rPr>
        <w:t xml:space="preserve">T conference call with investors and analysts, is available at </w:t>
      </w:r>
      <w:hyperlink r:id="rId15" w:tgtFrame="_blank" w:history="1">
        <w:r w:rsidRPr="00123413">
          <w:rPr>
            <w:rStyle w:val="Hyperlink"/>
            <w:rFonts w:cs="Segoe UI"/>
          </w:rPr>
          <w:t>http://www.microsoft.com/investor</w:t>
        </w:r>
      </w:hyperlink>
      <w:r w:rsidRPr="00123413">
        <w:rPr>
          <w:rFonts w:ascii="Segoe UI" w:hAnsi="Segoe UI" w:cs="Segoe UI"/>
          <w:sz w:val="20"/>
          <w:szCs w:val="20"/>
        </w:rPr>
        <w:t>.</w:t>
      </w:r>
      <w:bookmarkStart w:id="1" w:name="RANGE!A1:D14"/>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p>
    <w:p w14:paraId="038D72C0" w14:textId="646FAC2B" w:rsidR="0065680A" w:rsidRDefault="0065680A">
      <w:pPr>
        <w:rPr>
          <w:rFonts w:ascii="Segoe UI" w:hAnsi="Segoe UI" w:cs="Segoe UI"/>
          <w:sz w:val="20"/>
          <w:szCs w:val="20"/>
        </w:rPr>
      </w:pPr>
      <w:r>
        <w:rPr>
          <w:rFonts w:ascii="Segoe UI" w:hAnsi="Segoe UI" w:cs="Segoe UI"/>
          <w:sz w:val="20"/>
          <w:szCs w:val="20"/>
        </w:rPr>
        <w:br w:type="page"/>
      </w:r>
    </w:p>
    <w:tbl>
      <w:tblPr>
        <w:tblW w:w="8020" w:type="dxa"/>
        <w:tblCellMar>
          <w:left w:w="0" w:type="dxa"/>
          <w:right w:w="0" w:type="dxa"/>
        </w:tblCellMar>
        <w:tblLook w:val="04A0" w:firstRow="1" w:lastRow="0" w:firstColumn="1" w:lastColumn="0" w:noHBand="0" w:noVBand="1"/>
      </w:tblPr>
      <w:tblGrid>
        <w:gridCol w:w="3244"/>
        <w:gridCol w:w="1144"/>
        <w:gridCol w:w="164"/>
        <w:gridCol w:w="984"/>
        <w:gridCol w:w="220"/>
        <w:gridCol w:w="1244"/>
        <w:gridCol w:w="164"/>
        <w:gridCol w:w="984"/>
      </w:tblGrid>
      <w:tr w:rsidR="00A32E9B" w:rsidRPr="00F01024" w14:paraId="28BA4DE9" w14:textId="77777777" w:rsidTr="0065680A">
        <w:trPr>
          <w:trHeight w:val="285"/>
        </w:trPr>
        <w:tc>
          <w:tcPr>
            <w:tcW w:w="3228" w:type="dxa"/>
            <w:tcBorders>
              <w:top w:val="nil"/>
              <w:left w:val="nil"/>
              <w:bottom w:val="nil"/>
              <w:right w:val="nil"/>
            </w:tcBorders>
            <w:shd w:val="clear" w:color="auto" w:fill="auto"/>
            <w:noWrap/>
            <w:vAlign w:val="bottom"/>
            <w:hideMark/>
          </w:tcPr>
          <w:p w14:paraId="01C22B77" w14:textId="77777777" w:rsidR="00A32E9B" w:rsidRPr="00F01024" w:rsidRDefault="00A32E9B" w:rsidP="001F78EF">
            <w:pPr>
              <w:spacing w:after="0" w:line="240" w:lineRule="auto"/>
              <w:rPr>
                <w:rFonts w:ascii="Segoe UI" w:eastAsia="Times New Roman" w:hAnsi="Segoe UI" w:cs="Segoe UI"/>
                <w:b/>
                <w:bCs/>
                <w:color w:val="666666"/>
                <w:sz w:val="20"/>
                <w:szCs w:val="20"/>
              </w:rPr>
            </w:pPr>
            <w:bookmarkStart w:id="11" w:name="RANGE!A1"/>
            <w:r w:rsidRPr="00F01024">
              <w:rPr>
                <w:rFonts w:ascii="Segoe UI" w:eastAsia="Times New Roman" w:hAnsi="Segoe UI" w:cs="Segoe UI"/>
                <w:b/>
                <w:bCs/>
                <w:color w:val="666666"/>
                <w:sz w:val="20"/>
                <w:szCs w:val="20"/>
              </w:rPr>
              <w:lastRenderedPageBreak/>
              <w:t>MICROSOFT CORPORATION</w:t>
            </w:r>
            <w:bookmarkEnd w:id="11"/>
          </w:p>
        </w:tc>
        <w:tc>
          <w:tcPr>
            <w:tcW w:w="1128" w:type="dxa"/>
            <w:tcBorders>
              <w:top w:val="nil"/>
              <w:left w:val="nil"/>
              <w:bottom w:val="nil"/>
              <w:right w:val="nil"/>
            </w:tcBorders>
            <w:shd w:val="clear" w:color="auto" w:fill="auto"/>
            <w:noWrap/>
            <w:vAlign w:val="bottom"/>
            <w:hideMark/>
          </w:tcPr>
          <w:p w14:paraId="110A14D4"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48" w:type="dxa"/>
            <w:tcBorders>
              <w:top w:val="nil"/>
              <w:left w:val="nil"/>
              <w:bottom w:val="nil"/>
              <w:right w:val="nil"/>
            </w:tcBorders>
            <w:shd w:val="clear" w:color="auto" w:fill="auto"/>
            <w:noWrap/>
            <w:vAlign w:val="bottom"/>
            <w:hideMark/>
          </w:tcPr>
          <w:p w14:paraId="4ACDBD05"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51D9358B"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14E7EF5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20D587EB"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3ACBF566"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3D921848"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1C877ED0" w14:textId="77777777" w:rsidTr="0065680A">
        <w:trPr>
          <w:trHeight w:val="285"/>
        </w:trPr>
        <w:tc>
          <w:tcPr>
            <w:tcW w:w="3228" w:type="dxa"/>
            <w:tcBorders>
              <w:top w:val="nil"/>
              <w:left w:val="nil"/>
              <w:bottom w:val="nil"/>
              <w:right w:val="nil"/>
            </w:tcBorders>
            <w:shd w:val="clear" w:color="auto" w:fill="auto"/>
            <w:noWrap/>
            <w:vAlign w:val="bottom"/>
            <w:hideMark/>
          </w:tcPr>
          <w:p w14:paraId="0E4BAFA0"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14:paraId="089D47A6"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14D2597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64BED982"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08AB41AC"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2D03171D"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6A9A6CC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414C05CE"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7015648F" w14:textId="77777777" w:rsidTr="0065680A">
        <w:trPr>
          <w:trHeight w:val="285"/>
        </w:trPr>
        <w:tc>
          <w:tcPr>
            <w:tcW w:w="8020" w:type="dxa"/>
            <w:gridSpan w:val="8"/>
            <w:tcBorders>
              <w:top w:val="nil"/>
              <w:left w:val="nil"/>
              <w:bottom w:val="nil"/>
              <w:right w:val="nil"/>
            </w:tcBorders>
            <w:shd w:val="clear" w:color="auto" w:fill="auto"/>
            <w:noWrap/>
            <w:vAlign w:val="bottom"/>
            <w:hideMark/>
          </w:tcPr>
          <w:p w14:paraId="1518B646"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INCOME STATEMENTS</w:t>
            </w:r>
          </w:p>
        </w:tc>
      </w:tr>
      <w:tr w:rsidR="00A32E9B" w:rsidRPr="00F01024" w14:paraId="76665381" w14:textId="77777777" w:rsidTr="0065680A">
        <w:trPr>
          <w:trHeight w:val="285"/>
        </w:trPr>
        <w:tc>
          <w:tcPr>
            <w:tcW w:w="8020" w:type="dxa"/>
            <w:gridSpan w:val="8"/>
            <w:tcBorders>
              <w:top w:val="nil"/>
              <w:left w:val="nil"/>
              <w:bottom w:val="nil"/>
              <w:right w:val="nil"/>
            </w:tcBorders>
            <w:shd w:val="clear" w:color="auto" w:fill="auto"/>
            <w:noWrap/>
            <w:vAlign w:val="bottom"/>
            <w:hideMark/>
          </w:tcPr>
          <w:p w14:paraId="7FBFA693"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 millions, except per share amounts)(Unaudited)</w:t>
            </w:r>
          </w:p>
        </w:tc>
      </w:tr>
      <w:tr w:rsidR="00A32E9B" w:rsidRPr="00F01024" w14:paraId="23D63624" w14:textId="77777777" w:rsidTr="0065680A">
        <w:trPr>
          <w:trHeight w:val="285"/>
        </w:trPr>
        <w:tc>
          <w:tcPr>
            <w:tcW w:w="3228" w:type="dxa"/>
            <w:tcBorders>
              <w:top w:val="nil"/>
              <w:left w:val="nil"/>
              <w:bottom w:val="nil"/>
              <w:right w:val="nil"/>
            </w:tcBorders>
            <w:shd w:val="clear" w:color="auto" w:fill="auto"/>
            <w:noWrap/>
            <w:vAlign w:val="bottom"/>
            <w:hideMark/>
          </w:tcPr>
          <w:p w14:paraId="4E9E70AD"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p>
        </w:tc>
        <w:tc>
          <w:tcPr>
            <w:tcW w:w="1128" w:type="dxa"/>
            <w:tcBorders>
              <w:top w:val="nil"/>
              <w:left w:val="nil"/>
              <w:bottom w:val="nil"/>
              <w:right w:val="nil"/>
            </w:tcBorders>
            <w:shd w:val="clear" w:color="auto" w:fill="auto"/>
            <w:noWrap/>
            <w:vAlign w:val="bottom"/>
            <w:hideMark/>
          </w:tcPr>
          <w:p w14:paraId="2F557D95"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7DBF83B5"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372CBB01"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4A0EDFC4"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37AB4A34"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414A8B3A"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63CBFDD8"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r>
      <w:tr w:rsidR="00A32E9B" w:rsidRPr="00F01024" w14:paraId="0B13E107" w14:textId="77777777" w:rsidTr="0065680A">
        <w:trPr>
          <w:trHeight w:val="285"/>
        </w:trPr>
        <w:tc>
          <w:tcPr>
            <w:tcW w:w="3228" w:type="dxa"/>
            <w:tcBorders>
              <w:top w:val="nil"/>
              <w:left w:val="nil"/>
              <w:bottom w:val="nil"/>
              <w:right w:val="nil"/>
            </w:tcBorders>
            <w:shd w:val="clear" w:color="auto" w:fill="auto"/>
            <w:noWrap/>
            <w:vAlign w:val="bottom"/>
            <w:hideMark/>
          </w:tcPr>
          <w:p w14:paraId="6BE7C16B"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2244" w:type="dxa"/>
            <w:gridSpan w:val="3"/>
            <w:vMerge w:val="restart"/>
            <w:tcBorders>
              <w:top w:val="nil"/>
              <w:left w:val="nil"/>
              <w:bottom w:val="nil"/>
              <w:right w:val="nil"/>
            </w:tcBorders>
            <w:shd w:val="clear" w:color="auto" w:fill="auto"/>
            <w:vAlign w:val="bottom"/>
            <w:hideMark/>
          </w:tcPr>
          <w:p w14:paraId="34F4048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Three Months Ended March 31,</w:t>
            </w:r>
          </w:p>
        </w:tc>
        <w:tc>
          <w:tcPr>
            <w:tcW w:w="204" w:type="dxa"/>
            <w:tcBorders>
              <w:top w:val="nil"/>
              <w:left w:val="nil"/>
              <w:bottom w:val="nil"/>
              <w:right w:val="nil"/>
            </w:tcBorders>
            <w:shd w:val="clear" w:color="auto" w:fill="auto"/>
            <w:vAlign w:val="bottom"/>
            <w:hideMark/>
          </w:tcPr>
          <w:p w14:paraId="105DB29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2344" w:type="dxa"/>
            <w:gridSpan w:val="3"/>
            <w:vMerge w:val="restart"/>
            <w:tcBorders>
              <w:top w:val="nil"/>
              <w:left w:val="nil"/>
              <w:bottom w:val="nil"/>
              <w:right w:val="nil"/>
            </w:tcBorders>
            <w:shd w:val="clear" w:color="auto" w:fill="auto"/>
            <w:vAlign w:val="bottom"/>
            <w:hideMark/>
          </w:tcPr>
          <w:p w14:paraId="759909A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Nine Months Ended March 31,</w:t>
            </w:r>
          </w:p>
        </w:tc>
      </w:tr>
      <w:tr w:rsidR="00A32E9B" w:rsidRPr="00F01024" w14:paraId="74701D63" w14:textId="77777777" w:rsidTr="0065680A">
        <w:trPr>
          <w:trHeight w:val="285"/>
        </w:trPr>
        <w:tc>
          <w:tcPr>
            <w:tcW w:w="3228" w:type="dxa"/>
            <w:tcBorders>
              <w:top w:val="nil"/>
              <w:left w:val="nil"/>
              <w:bottom w:val="nil"/>
              <w:right w:val="nil"/>
            </w:tcBorders>
            <w:shd w:val="clear" w:color="auto" w:fill="auto"/>
            <w:noWrap/>
            <w:vAlign w:val="bottom"/>
            <w:hideMark/>
          </w:tcPr>
          <w:p w14:paraId="14AC742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2244" w:type="dxa"/>
            <w:gridSpan w:val="3"/>
            <w:vMerge/>
            <w:tcBorders>
              <w:top w:val="nil"/>
              <w:left w:val="nil"/>
              <w:bottom w:val="nil"/>
              <w:right w:val="nil"/>
            </w:tcBorders>
            <w:vAlign w:val="center"/>
            <w:hideMark/>
          </w:tcPr>
          <w:p w14:paraId="36F1C9C0"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204" w:type="dxa"/>
            <w:tcBorders>
              <w:top w:val="nil"/>
              <w:left w:val="nil"/>
              <w:bottom w:val="nil"/>
              <w:right w:val="nil"/>
            </w:tcBorders>
            <w:shd w:val="clear" w:color="auto" w:fill="auto"/>
            <w:vAlign w:val="bottom"/>
            <w:hideMark/>
          </w:tcPr>
          <w:p w14:paraId="74D597B3"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2344" w:type="dxa"/>
            <w:gridSpan w:val="3"/>
            <w:vMerge/>
            <w:tcBorders>
              <w:top w:val="nil"/>
              <w:left w:val="nil"/>
              <w:bottom w:val="nil"/>
              <w:right w:val="nil"/>
            </w:tcBorders>
            <w:vAlign w:val="center"/>
            <w:hideMark/>
          </w:tcPr>
          <w:p w14:paraId="41299CC6"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r>
      <w:tr w:rsidR="00A32E9B" w:rsidRPr="00F01024" w14:paraId="78F87E9D" w14:textId="77777777" w:rsidTr="0065680A">
        <w:trPr>
          <w:trHeight w:val="285"/>
        </w:trPr>
        <w:tc>
          <w:tcPr>
            <w:tcW w:w="3228" w:type="dxa"/>
            <w:tcBorders>
              <w:top w:val="nil"/>
              <w:left w:val="nil"/>
              <w:bottom w:val="single" w:sz="4" w:space="0" w:color="auto"/>
              <w:right w:val="nil"/>
            </w:tcBorders>
            <w:shd w:val="clear" w:color="auto" w:fill="auto"/>
            <w:noWrap/>
            <w:vAlign w:val="bottom"/>
            <w:hideMark/>
          </w:tcPr>
          <w:p w14:paraId="0C24476B"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128" w:type="dxa"/>
            <w:tcBorders>
              <w:top w:val="nil"/>
              <w:left w:val="nil"/>
              <w:bottom w:val="single" w:sz="4" w:space="0" w:color="auto"/>
              <w:right w:val="nil"/>
            </w:tcBorders>
            <w:shd w:val="clear" w:color="auto" w:fill="auto"/>
            <w:noWrap/>
            <w:vAlign w:val="bottom"/>
            <w:hideMark/>
          </w:tcPr>
          <w:p w14:paraId="66D48F7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48" w:type="dxa"/>
            <w:tcBorders>
              <w:top w:val="nil"/>
              <w:left w:val="nil"/>
              <w:bottom w:val="single" w:sz="4" w:space="0" w:color="auto"/>
              <w:right w:val="nil"/>
            </w:tcBorders>
            <w:shd w:val="clear" w:color="auto" w:fill="auto"/>
            <w:noWrap/>
            <w:vAlign w:val="bottom"/>
            <w:hideMark/>
          </w:tcPr>
          <w:p w14:paraId="038FA50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38BB32F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c>
          <w:tcPr>
            <w:tcW w:w="204" w:type="dxa"/>
            <w:tcBorders>
              <w:top w:val="nil"/>
              <w:left w:val="nil"/>
              <w:bottom w:val="single" w:sz="4" w:space="0" w:color="auto"/>
              <w:right w:val="nil"/>
            </w:tcBorders>
            <w:shd w:val="clear" w:color="auto" w:fill="auto"/>
            <w:noWrap/>
            <w:vAlign w:val="bottom"/>
            <w:hideMark/>
          </w:tcPr>
          <w:p w14:paraId="009E3E3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228" w:type="dxa"/>
            <w:tcBorders>
              <w:top w:val="nil"/>
              <w:left w:val="nil"/>
              <w:bottom w:val="single" w:sz="4" w:space="0" w:color="auto"/>
              <w:right w:val="nil"/>
            </w:tcBorders>
            <w:shd w:val="clear" w:color="auto" w:fill="auto"/>
            <w:noWrap/>
            <w:vAlign w:val="bottom"/>
            <w:hideMark/>
          </w:tcPr>
          <w:p w14:paraId="51C6793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48" w:type="dxa"/>
            <w:tcBorders>
              <w:top w:val="nil"/>
              <w:left w:val="nil"/>
              <w:bottom w:val="single" w:sz="4" w:space="0" w:color="auto"/>
              <w:right w:val="nil"/>
            </w:tcBorders>
            <w:shd w:val="clear" w:color="auto" w:fill="auto"/>
            <w:noWrap/>
            <w:vAlign w:val="bottom"/>
            <w:hideMark/>
          </w:tcPr>
          <w:p w14:paraId="4624D84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0E8AAC1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r>
      <w:tr w:rsidR="00A32E9B" w:rsidRPr="00F01024" w14:paraId="460E2A64" w14:textId="77777777" w:rsidTr="0065680A">
        <w:trPr>
          <w:trHeight w:val="285"/>
        </w:trPr>
        <w:tc>
          <w:tcPr>
            <w:tcW w:w="3228" w:type="dxa"/>
            <w:tcBorders>
              <w:top w:val="nil"/>
              <w:left w:val="nil"/>
              <w:bottom w:val="nil"/>
              <w:right w:val="nil"/>
            </w:tcBorders>
            <w:shd w:val="clear" w:color="auto" w:fill="auto"/>
            <w:noWrap/>
            <w:vAlign w:val="bottom"/>
            <w:hideMark/>
          </w:tcPr>
          <w:p w14:paraId="701E36D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Revenue</w:t>
            </w:r>
          </w:p>
        </w:tc>
        <w:tc>
          <w:tcPr>
            <w:tcW w:w="1128" w:type="dxa"/>
            <w:tcBorders>
              <w:top w:val="nil"/>
              <w:left w:val="nil"/>
              <w:bottom w:val="nil"/>
              <w:right w:val="nil"/>
            </w:tcBorders>
            <w:shd w:val="clear" w:color="auto" w:fill="auto"/>
            <w:noWrap/>
            <w:vAlign w:val="bottom"/>
            <w:hideMark/>
          </w:tcPr>
          <w:p w14:paraId="522A758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20,403 </w:t>
            </w:r>
          </w:p>
        </w:tc>
        <w:tc>
          <w:tcPr>
            <w:tcW w:w="148" w:type="dxa"/>
            <w:tcBorders>
              <w:top w:val="nil"/>
              <w:left w:val="nil"/>
              <w:bottom w:val="nil"/>
              <w:right w:val="nil"/>
            </w:tcBorders>
            <w:shd w:val="clear" w:color="auto" w:fill="auto"/>
            <w:noWrap/>
            <w:vAlign w:val="bottom"/>
            <w:hideMark/>
          </w:tcPr>
          <w:p w14:paraId="41EA8D8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E44990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$20,489 </w:t>
            </w:r>
          </w:p>
        </w:tc>
        <w:tc>
          <w:tcPr>
            <w:tcW w:w="204" w:type="dxa"/>
            <w:tcBorders>
              <w:top w:val="nil"/>
              <w:left w:val="nil"/>
              <w:bottom w:val="nil"/>
              <w:right w:val="nil"/>
            </w:tcBorders>
            <w:shd w:val="clear" w:color="auto" w:fill="auto"/>
            <w:noWrap/>
            <w:vAlign w:val="bottom"/>
            <w:hideMark/>
          </w:tcPr>
          <w:p w14:paraId="08AFC71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5A746DA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63,451 </w:t>
            </w:r>
          </w:p>
        </w:tc>
        <w:tc>
          <w:tcPr>
            <w:tcW w:w="148" w:type="dxa"/>
            <w:tcBorders>
              <w:top w:val="nil"/>
              <w:left w:val="nil"/>
              <w:bottom w:val="nil"/>
              <w:right w:val="nil"/>
            </w:tcBorders>
            <w:shd w:val="clear" w:color="auto" w:fill="auto"/>
            <w:noWrap/>
            <w:vAlign w:val="bottom"/>
            <w:hideMark/>
          </w:tcPr>
          <w:p w14:paraId="3F9F8C6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66D9A14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$57,953 </w:t>
            </w:r>
          </w:p>
        </w:tc>
      </w:tr>
      <w:tr w:rsidR="00A32E9B" w:rsidRPr="00F01024" w14:paraId="4278B4D5" w14:textId="77777777" w:rsidTr="0065680A">
        <w:trPr>
          <w:trHeight w:val="285"/>
        </w:trPr>
        <w:tc>
          <w:tcPr>
            <w:tcW w:w="3228" w:type="dxa"/>
            <w:tcBorders>
              <w:top w:val="nil"/>
              <w:left w:val="nil"/>
              <w:bottom w:val="single" w:sz="4" w:space="0" w:color="auto"/>
              <w:right w:val="nil"/>
            </w:tcBorders>
            <w:shd w:val="clear" w:color="auto" w:fill="auto"/>
            <w:noWrap/>
            <w:vAlign w:val="bottom"/>
            <w:hideMark/>
          </w:tcPr>
          <w:p w14:paraId="287D1E3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Cost of revenue</w:t>
            </w:r>
          </w:p>
        </w:tc>
        <w:tc>
          <w:tcPr>
            <w:tcW w:w="1128" w:type="dxa"/>
            <w:tcBorders>
              <w:top w:val="nil"/>
              <w:left w:val="nil"/>
              <w:bottom w:val="single" w:sz="4" w:space="0" w:color="auto"/>
              <w:right w:val="nil"/>
            </w:tcBorders>
            <w:shd w:val="clear" w:color="auto" w:fill="auto"/>
            <w:noWrap/>
            <w:vAlign w:val="bottom"/>
            <w:hideMark/>
          </w:tcPr>
          <w:p w14:paraId="62FDD0D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5,941 </w:t>
            </w:r>
          </w:p>
        </w:tc>
        <w:tc>
          <w:tcPr>
            <w:tcW w:w="148" w:type="dxa"/>
            <w:tcBorders>
              <w:top w:val="nil"/>
              <w:left w:val="nil"/>
              <w:bottom w:val="nil"/>
              <w:right w:val="nil"/>
            </w:tcBorders>
            <w:shd w:val="clear" w:color="auto" w:fill="auto"/>
            <w:noWrap/>
            <w:vAlign w:val="bottom"/>
            <w:hideMark/>
          </w:tcPr>
          <w:p w14:paraId="3E40C6C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4" w:space="0" w:color="auto"/>
              <w:right w:val="nil"/>
            </w:tcBorders>
            <w:shd w:val="clear" w:color="auto" w:fill="auto"/>
            <w:noWrap/>
            <w:vAlign w:val="bottom"/>
            <w:hideMark/>
          </w:tcPr>
          <w:p w14:paraId="5616ACD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4,787 </w:t>
            </w:r>
          </w:p>
        </w:tc>
        <w:tc>
          <w:tcPr>
            <w:tcW w:w="204" w:type="dxa"/>
            <w:tcBorders>
              <w:top w:val="nil"/>
              <w:left w:val="nil"/>
              <w:bottom w:val="nil"/>
              <w:right w:val="nil"/>
            </w:tcBorders>
            <w:shd w:val="clear" w:color="auto" w:fill="auto"/>
            <w:noWrap/>
            <w:vAlign w:val="bottom"/>
            <w:hideMark/>
          </w:tcPr>
          <w:p w14:paraId="3EF27BB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single" w:sz="4" w:space="0" w:color="auto"/>
              <w:right w:val="nil"/>
            </w:tcBorders>
            <w:shd w:val="clear" w:color="auto" w:fill="auto"/>
            <w:noWrap/>
            <w:vAlign w:val="bottom"/>
            <w:hideMark/>
          </w:tcPr>
          <w:p w14:paraId="7780143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19,339 </w:t>
            </w:r>
          </w:p>
        </w:tc>
        <w:tc>
          <w:tcPr>
            <w:tcW w:w="148" w:type="dxa"/>
            <w:tcBorders>
              <w:top w:val="nil"/>
              <w:left w:val="nil"/>
              <w:bottom w:val="nil"/>
              <w:right w:val="nil"/>
            </w:tcBorders>
            <w:shd w:val="clear" w:color="auto" w:fill="auto"/>
            <w:noWrap/>
            <w:vAlign w:val="bottom"/>
            <w:hideMark/>
          </w:tcPr>
          <w:p w14:paraId="079520F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4" w:space="0" w:color="auto"/>
              <w:right w:val="nil"/>
            </w:tcBorders>
            <w:shd w:val="clear" w:color="auto" w:fill="auto"/>
            <w:noWrap/>
            <w:vAlign w:val="bottom"/>
            <w:hideMark/>
          </w:tcPr>
          <w:p w14:paraId="7F1E24D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14,647 </w:t>
            </w:r>
          </w:p>
        </w:tc>
      </w:tr>
      <w:tr w:rsidR="00A32E9B" w:rsidRPr="00F01024" w14:paraId="4144860B" w14:textId="77777777" w:rsidTr="0065680A">
        <w:trPr>
          <w:trHeight w:val="285"/>
        </w:trPr>
        <w:tc>
          <w:tcPr>
            <w:tcW w:w="3228" w:type="dxa"/>
            <w:tcBorders>
              <w:top w:val="nil"/>
              <w:left w:val="nil"/>
              <w:bottom w:val="nil"/>
              <w:right w:val="nil"/>
            </w:tcBorders>
            <w:shd w:val="clear" w:color="auto" w:fill="auto"/>
            <w:noWrap/>
            <w:vAlign w:val="bottom"/>
            <w:hideMark/>
          </w:tcPr>
          <w:p w14:paraId="2BBE301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Gross margin</w:t>
            </w:r>
          </w:p>
        </w:tc>
        <w:tc>
          <w:tcPr>
            <w:tcW w:w="1128" w:type="dxa"/>
            <w:tcBorders>
              <w:top w:val="nil"/>
              <w:left w:val="nil"/>
              <w:bottom w:val="nil"/>
              <w:right w:val="nil"/>
            </w:tcBorders>
            <w:shd w:val="clear" w:color="auto" w:fill="auto"/>
            <w:noWrap/>
            <w:vAlign w:val="bottom"/>
            <w:hideMark/>
          </w:tcPr>
          <w:p w14:paraId="3A488F1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14,462 </w:t>
            </w:r>
          </w:p>
        </w:tc>
        <w:tc>
          <w:tcPr>
            <w:tcW w:w="148" w:type="dxa"/>
            <w:tcBorders>
              <w:top w:val="nil"/>
              <w:left w:val="nil"/>
              <w:bottom w:val="nil"/>
              <w:right w:val="nil"/>
            </w:tcBorders>
            <w:shd w:val="clear" w:color="auto" w:fill="auto"/>
            <w:noWrap/>
            <w:vAlign w:val="bottom"/>
            <w:hideMark/>
          </w:tcPr>
          <w:p w14:paraId="0CA74FC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09AC9C5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15,702 </w:t>
            </w:r>
          </w:p>
        </w:tc>
        <w:tc>
          <w:tcPr>
            <w:tcW w:w="204" w:type="dxa"/>
            <w:tcBorders>
              <w:top w:val="nil"/>
              <w:left w:val="nil"/>
              <w:bottom w:val="nil"/>
              <w:right w:val="nil"/>
            </w:tcBorders>
            <w:shd w:val="clear" w:color="auto" w:fill="auto"/>
            <w:noWrap/>
            <w:vAlign w:val="bottom"/>
            <w:hideMark/>
          </w:tcPr>
          <w:p w14:paraId="3DF6E35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437D493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44,112 </w:t>
            </w:r>
          </w:p>
        </w:tc>
        <w:tc>
          <w:tcPr>
            <w:tcW w:w="148" w:type="dxa"/>
            <w:tcBorders>
              <w:top w:val="nil"/>
              <w:left w:val="nil"/>
              <w:bottom w:val="nil"/>
              <w:right w:val="nil"/>
            </w:tcBorders>
            <w:shd w:val="clear" w:color="auto" w:fill="auto"/>
            <w:noWrap/>
            <w:vAlign w:val="bottom"/>
            <w:hideMark/>
          </w:tcPr>
          <w:p w14:paraId="386F9CE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CE3FBE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43,306 </w:t>
            </w:r>
          </w:p>
        </w:tc>
      </w:tr>
      <w:tr w:rsidR="00A32E9B" w:rsidRPr="00F01024" w14:paraId="0AAFCA27" w14:textId="77777777" w:rsidTr="0065680A">
        <w:trPr>
          <w:trHeight w:val="285"/>
        </w:trPr>
        <w:tc>
          <w:tcPr>
            <w:tcW w:w="3228" w:type="dxa"/>
            <w:tcBorders>
              <w:top w:val="nil"/>
              <w:left w:val="nil"/>
              <w:bottom w:val="nil"/>
              <w:right w:val="nil"/>
            </w:tcBorders>
            <w:shd w:val="clear" w:color="auto" w:fill="auto"/>
            <w:noWrap/>
            <w:vAlign w:val="bottom"/>
            <w:hideMark/>
          </w:tcPr>
          <w:p w14:paraId="7CD730C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Operating expenses:</w:t>
            </w:r>
          </w:p>
        </w:tc>
        <w:tc>
          <w:tcPr>
            <w:tcW w:w="1128" w:type="dxa"/>
            <w:tcBorders>
              <w:top w:val="nil"/>
              <w:left w:val="nil"/>
              <w:bottom w:val="nil"/>
              <w:right w:val="nil"/>
            </w:tcBorders>
            <w:shd w:val="clear" w:color="auto" w:fill="auto"/>
            <w:noWrap/>
            <w:vAlign w:val="bottom"/>
            <w:hideMark/>
          </w:tcPr>
          <w:p w14:paraId="6676575E"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48" w:type="dxa"/>
            <w:tcBorders>
              <w:top w:val="nil"/>
              <w:left w:val="nil"/>
              <w:bottom w:val="nil"/>
              <w:right w:val="nil"/>
            </w:tcBorders>
            <w:shd w:val="clear" w:color="auto" w:fill="auto"/>
            <w:noWrap/>
            <w:vAlign w:val="bottom"/>
            <w:hideMark/>
          </w:tcPr>
          <w:p w14:paraId="6502A9B5"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3235688F"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45F90DB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7E8F0DAC"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510C7F89"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678594F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r>
      <w:tr w:rsidR="00A32E9B" w:rsidRPr="00F01024" w14:paraId="2624BC7C" w14:textId="77777777" w:rsidTr="0065680A">
        <w:trPr>
          <w:trHeight w:val="285"/>
        </w:trPr>
        <w:tc>
          <w:tcPr>
            <w:tcW w:w="3228" w:type="dxa"/>
            <w:tcBorders>
              <w:top w:val="nil"/>
              <w:left w:val="nil"/>
              <w:bottom w:val="nil"/>
              <w:right w:val="nil"/>
            </w:tcBorders>
            <w:shd w:val="clear" w:color="auto" w:fill="auto"/>
            <w:noWrap/>
            <w:vAlign w:val="bottom"/>
            <w:hideMark/>
          </w:tcPr>
          <w:p w14:paraId="14EB038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Research and development</w:t>
            </w:r>
          </w:p>
        </w:tc>
        <w:tc>
          <w:tcPr>
            <w:tcW w:w="1128" w:type="dxa"/>
            <w:tcBorders>
              <w:top w:val="nil"/>
              <w:left w:val="nil"/>
              <w:bottom w:val="nil"/>
              <w:right w:val="nil"/>
            </w:tcBorders>
            <w:shd w:val="clear" w:color="auto" w:fill="auto"/>
            <w:noWrap/>
            <w:vAlign w:val="bottom"/>
            <w:hideMark/>
          </w:tcPr>
          <w:p w14:paraId="16F2FED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2,743 </w:t>
            </w:r>
          </w:p>
        </w:tc>
        <w:tc>
          <w:tcPr>
            <w:tcW w:w="148" w:type="dxa"/>
            <w:tcBorders>
              <w:top w:val="nil"/>
              <w:left w:val="nil"/>
              <w:bottom w:val="nil"/>
              <w:right w:val="nil"/>
            </w:tcBorders>
            <w:shd w:val="clear" w:color="auto" w:fill="auto"/>
            <w:noWrap/>
            <w:vAlign w:val="bottom"/>
            <w:hideMark/>
          </w:tcPr>
          <w:p w14:paraId="0327BC8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677430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2,640 </w:t>
            </w:r>
          </w:p>
        </w:tc>
        <w:tc>
          <w:tcPr>
            <w:tcW w:w="204" w:type="dxa"/>
            <w:tcBorders>
              <w:top w:val="nil"/>
              <w:left w:val="nil"/>
              <w:bottom w:val="nil"/>
              <w:right w:val="nil"/>
            </w:tcBorders>
            <w:shd w:val="clear" w:color="auto" w:fill="auto"/>
            <w:noWrap/>
            <w:vAlign w:val="bottom"/>
            <w:hideMark/>
          </w:tcPr>
          <w:p w14:paraId="48535D2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41298A7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8,258 </w:t>
            </w:r>
          </w:p>
        </w:tc>
        <w:tc>
          <w:tcPr>
            <w:tcW w:w="148" w:type="dxa"/>
            <w:tcBorders>
              <w:top w:val="nil"/>
              <w:left w:val="nil"/>
              <w:bottom w:val="nil"/>
              <w:right w:val="nil"/>
            </w:tcBorders>
            <w:shd w:val="clear" w:color="auto" w:fill="auto"/>
            <w:noWrap/>
            <w:vAlign w:val="bottom"/>
            <w:hideMark/>
          </w:tcPr>
          <w:p w14:paraId="71B0F2C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C5DD0E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7,628 </w:t>
            </w:r>
          </w:p>
        </w:tc>
      </w:tr>
      <w:tr w:rsidR="00A32E9B" w:rsidRPr="00F01024" w14:paraId="6611D917" w14:textId="77777777" w:rsidTr="0065680A">
        <w:trPr>
          <w:trHeight w:val="285"/>
        </w:trPr>
        <w:tc>
          <w:tcPr>
            <w:tcW w:w="3228" w:type="dxa"/>
            <w:tcBorders>
              <w:top w:val="nil"/>
              <w:left w:val="nil"/>
              <w:bottom w:val="nil"/>
              <w:right w:val="nil"/>
            </w:tcBorders>
            <w:shd w:val="clear" w:color="auto" w:fill="auto"/>
            <w:noWrap/>
            <w:vAlign w:val="bottom"/>
            <w:hideMark/>
          </w:tcPr>
          <w:p w14:paraId="6A5FB73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Sales and marketing</w:t>
            </w:r>
          </w:p>
        </w:tc>
        <w:tc>
          <w:tcPr>
            <w:tcW w:w="1128" w:type="dxa"/>
            <w:tcBorders>
              <w:top w:val="nil"/>
              <w:left w:val="nil"/>
              <w:bottom w:val="nil"/>
              <w:right w:val="nil"/>
            </w:tcBorders>
            <w:shd w:val="clear" w:color="auto" w:fill="auto"/>
            <w:noWrap/>
            <w:vAlign w:val="bottom"/>
            <w:hideMark/>
          </w:tcPr>
          <w:p w14:paraId="75048E7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3,542 </w:t>
            </w:r>
          </w:p>
        </w:tc>
        <w:tc>
          <w:tcPr>
            <w:tcW w:w="148" w:type="dxa"/>
            <w:tcBorders>
              <w:top w:val="nil"/>
              <w:left w:val="nil"/>
              <w:bottom w:val="nil"/>
              <w:right w:val="nil"/>
            </w:tcBorders>
            <w:shd w:val="clear" w:color="auto" w:fill="auto"/>
            <w:noWrap/>
            <w:vAlign w:val="bottom"/>
            <w:hideMark/>
          </w:tcPr>
          <w:p w14:paraId="4ADA9B7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3F8AE01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3,794 </w:t>
            </w:r>
          </w:p>
        </w:tc>
        <w:tc>
          <w:tcPr>
            <w:tcW w:w="204" w:type="dxa"/>
            <w:tcBorders>
              <w:top w:val="nil"/>
              <w:left w:val="nil"/>
              <w:bottom w:val="nil"/>
              <w:right w:val="nil"/>
            </w:tcBorders>
            <w:shd w:val="clear" w:color="auto" w:fill="auto"/>
            <w:noWrap/>
            <w:vAlign w:val="bottom"/>
            <w:hideMark/>
          </w:tcPr>
          <w:p w14:paraId="4DC3FDF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72F1DEB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11,129 </w:t>
            </w:r>
          </w:p>
        </w:tc>
        <w:tc>
          <w:tcPr>
            <w:tcW w:w="148" w:type="dxa"/>
            <w:tcBorders>
              <w:top w:val="nil"/>
              <w:left w:val="nil"/>
              <w:bottom w:val="nil"/>
              <w:right w:val="nil"/>
            </w:tcBorders>
            <w:shd w:val="clear" w:color="auto" w:fill="auto"/>
            <w:noWrap/>
            <w:vAlign w:val="bottom"/>
            <w:hideMark/>
          </w:tcPr>
          <w:p w14:paraId="43FAF0D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0CF675C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11,048 </w:t>
            </w:r>
          </w:p>
        </w:tc>
      </w:tr>
      <w:tr w:rsidR="00A32E9B" w:rsidRPr="00F01024" w14:paraId="0AB9A57F" w14:textId="77777777" w:rsidTr="0065680A">
        <w:trPr>
          <w:trHeight w:val="285"/>
        </w:trPr>
        <w:tc>
          <w:tcPr>
            <w:tcW w:w="3228" w:type="dxa"/>
            <w:tcBorders>
              <w:top w:val="nil"/>
              <w:left w:val="nil"/>
              <w:bottom w:val="nil"/>
              <w:right w:val="nil"/>
            </w:tcBorders>
            <w:shd w:val="clear" w:color="auto" w:fill="auto"/>
            <w:noWrap/>
            <w:vAlign w:val="bottom"/>
            <w:hideMark/>
          </w:tcPr>
          <w:p w14:paraId="55C23A3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General and administrative</w:t>
            </w:r>
          </w:p>
        </w:tc>
        <w:tc>
          <w:tcPr>
            <w:tcW w:w="1128" w:type="dxa"/>
            <w:tcBorders>
              <w:top w:val="nil"/>
              <w:left w:val="nil"/>
              <w:bottom w:val="nil"/>
              <w:right w:val="nil"/>
            </w:tcBorders>
            <w:shd w:val="clear" w:color="auto" w:fill="auto"/>
            <w:noWrap/>
            <w:vAlign w:val="bottom"/>
            <w:hideMark/>
          </w:tcPr>
          <w:p w14:paraId="174061A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1,203 </w:t>
            </w:r>
          </w:p>
        </w:tc>
        <w:tc>
          <w:tcPr>
            <w:tcW w:w="148" w:type="dxa"/>
            <w:tcBorders>
              <w:top w:val="nil"/>
              <w:left w:val="nil"/>
              <w:bottom w:val="nil"/>
              <w:right w:val="nil"/>
            </w:tcBorders>
            <w:shd w:val="clear" w:color="auto" w:fill="auto"/>
            <w:noWrap/>
            <w:vAlign w:val="bottom"/>
            <w:hideMark/>
          </w:tcPr>
          <w:p w14:paraId="1BEEAE9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EAD954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1,656 </w:t>
            </w:r>
          </w:p>
        </w:tc>
        <w:tc>
          <w:tcPr>
            <w:tcW w:w="204" w:type="dxa"/>
            <w:tcBorders>
              <w:top w:val="nil"/>
              <w:left w:val="nil"/>
              <w:bottom w:val="nil"/>
              <w:right w:val="nil"/>
            </w:tcBorders>
            <w:shd w:val="clear" w:color="auto" w:fill="auto"/>
            <w:noWrap/>
            <w:vAlign w:val="bottom"/>
            <w:hideMark/>
          </w:tcPr>
          <w:p w14:paraId="544583C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09DCB30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3,448 </w:t>
            </w:r>
          </w:p>
        </w:tc>
        <w:tc>
          <w:tcPr>
            <w:tcW w:w="148" w:type="dxa"/>
            <w:tcBorders>
              <w:top w:val="nil"/>
              <w:left w:val="nil"/>
              <w:bottom w:val="nil"/>
              <w:right w:val="nil"/>
            </w:tcBorders>
            <w:shd w:val="clear" w:color="auto" w:fill="auto"/>
            <w:noWrap/>
            <w:vAlign w:val="bottom"/>
            <w:hideMark/>
          </w:tcPr>
          <w:p w14:paraId="72CD99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48EF0D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3,939 </w:t>
            </w:r>
          </w:p>
        </w:tc>
      </w:tr>
      <w:tr w:rsidR="00A32E9B" w:rsidRPr="00F01024" w14:paraId="3662772F" w14:textId="77777777" w:rsidTr="0065680A">
        <w:trPr>
          <w:trHeight w:val="285"/>
        </w:trPr>
        <w:tc>
          <w:tcPr>
            <w:tcW w:w="3228" w:type="dxa"/>
            <w:tcBorders>
              <w:top w:val="single" w:sz="4" w:space="0" w:color="auto"/>
              <w:left w:val="nil"/>
              <w:bottom w:val="single" w:sz="4" w:space="0" w:color="auto"/>
              <w:right w:val="nil"/>
            </w:tcBorders>
            <w:shd w:val="clear" w:color="auto" w:fill="auto"/>
            <w:noWrap/>
            <w:vAlign w:val="bottom"/>
            <w:hideMark/>
          </w:tcPr>
          <w:p w14:paraId="0F0EC09F" w14:textId="77777777" w:rsidR="00A32E9B" w:rsidRPr="00F01024" w:rsidRDefault="00A32E9B" w:rsidP="001F78EF">
            <w:pPr>
              <w:spacing w:after="0" w:line="240" w:lineRule="auto"/>
              <w:ind w:firstLineChars="100" w:firstLine="200"/>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operating expenses</w:t>
            </w:r>
          </w:p>
        </w:tc>
        <w:tc>
          <w:tcPr>
            <w:tcW w:w="1128" w:type="dxa"/>
            <w:tcBorders>
              <w:top w:val="single" w:sz="4" w:space="0" w:color="auto"/>
              <w:left w:val="nil"/>
              <w:bottom w:val="single" w:sz="4" w:space="0" w:color="auto"/>
              <w:right w:val="nil"/>
            </w:tcBorders>
            <w:shd w:val="clear" w:color="auto" w:fill="auto"/>
            <w:noWrap/>
            <w:vAlign w:val="bottom"/>
            <w:hideMark/>
          </w:tcPr>
          <w:p w14:paraId="4400522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7,488 </w:t>
            </w:r>
          </w:p>
        </w:tc>
        <w:tc>
          <w:tcPr>
            <w:tcW w:w="148" w:type="dxa"/>
            <w:tcBorders>
              <w:top w:val="nil"/>
              <w:left w:val="nil"/>
              <w:bottom w:val="nil"/>
              <w:right w:val="nil"/>
            </w:tcBorders>
            <w:shd w:val="clear" w:color="auto" w:fill="auto"/>
            <w:noWrap/>
            <w:vAlign w:val="bottom"/>
            <w:hideMark/>
          </w:tcPr>
          <w:p w14:paraId="5B5D6DF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single" w:sz="4" w:space="0" w:color="auto"/>
              <w:left w:val="nil"/>
              <w:bottom w:val="single" w:sz="4" w:space="0" w:color="auto"/>
              <w:right w:val="nil"/>
            </w:tcBorders>
            <w:shd w:val="clear" w:color="auto" w:fill="auto"/>
            <w:noWrap/>
            <w:vAlign w:val="bottom"/>
            <w:hideMark/>
          </w:tcPr>
          <w:p w14:paraId="2A4FE8C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8,090 </w:t>
            </w:r>
          </w:p>
        </w:tc>
        <w:tc>
          <w:tcPr>
            <w:tcW w:w="204" w:type="dxa"/>
            <w:tcBorders>
              <w:top w:val="nil"/>
              <w:left w:val="nil"/>
              <w:bottom w:val="nil"/>
              <w:right w:val="nil"/>
            </w:tcBorders>
            <w:shd w:val="clear" w:color="auto" w:fill="auto"/>
            <w:noWrap/>
            <w:vAlign w:val="bottom"/>
            <w:hideMark/>
          </w:tcPr>
          <w:p w14:paraId="56A3056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single" w:sz="4" w:space="0" w:color="auto"/>
              <w:left w:val="nil"/>
              <w:bottom w:val="single" w:sz="4" w:space="0" w:color="auto"/>
              <w:right w:val="nil"/>
            </w:tcBorders>
            <w:shd w:val="clear" w:color="auto" w:fill="auto"/>
            <w:noWrap/>
            <w:vAlign w:val="bottom"/>
            <w:hideMark/>
          </w:tcPr>
          <w:p w14:paraId="4712D65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22,835 </w:t>
            </w:r>
          </w:p>
        </w:tc>
        <w:tc>
          <w:tcPr>
            <w:tcW w:w="148" w:type="dxa"/>
            <w:tcBorders>
              <w:top w:val="nil"/>
              <w:left w:val="nil"/>
              <w:bottom w:val="nil"/>
              <w:right w:val="nil"/>
            </w:tcBorders>
            <w:shd w:val="clear" w:color="auto" w:fill="auto"/>
            <w:noWrap/>
            <w:vAlign w:val="bottom"/>
            <w:hideMark/>
          </w:tcPr>
          <w:p w14:paraId="38B6DCD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single" w:sz="4" w:space="0" w:color="auto"/>
              <w:left w:val="nil"/>
              <w:bottom w:val="single" w:sz="4" w:space="0" w:color="auto"/>
              <w:right w:val="nil"/>
            </w:tcBorders>
            <w:shd w:val="clear" w:color="auto" w:fill="auto"/>
            <w:noWrap/>
            <w:vAlign w:val="bottom"/>
            <w:hideMark/>
          </w:tcPr>
          <w:p w14:paraId="5A4223C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22,615 </w:t>
            </w:r>
          </w:p>
        </w:tc>
      </w:tr>
      <w:tr w:rsidR="00A32E9B" w:rsidRPr="00F01024" w14:paraId="56C5B735" w14:textId="77777777" w:rsidTr="0065680A">
        <w:trPr>
          <w:trHeight w:val="285"/>
        </w:trPr>
        <w:tc>
          <w:tcPr>
            <w:tcW w:w="3228" w:type="dxa"/>
            <w:tcBorders>
              <w:top w:val="nil"/>
              <w:left w:val="nil"/>
              <w:bottom w:val="nil"/>
              <w:right w:val="nil"/>
            </w:tcBorders>
            <w:shd w:val="clear" w:color="auto" w:fill="auto"/>
            <w:noWrap/>
            <w:vAlign w:val="bottom"/>
            <w:hideMark/>
          </w:tcPr>
          <w:p w14:paraId="7A83184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Operating income</w:t>
            </w:r>
          </w:p>
        </w:tc>
        <w:tc>
          <w:tcPr>
            <w:tcW w:w="1128" w:type="dxa"/>
            <w:tcBorders>
              <w:top w:val="nil"/>
              <w:left w:val="nil"/>
              <w:bottom w:val="nil"/>
              <w:right w:val="nil"/>
            </w:tcBorders>
            <w:shd w:val="clear" w:color="auto" w:fill="auto"/>
            <w:noWrap/>
            <w:vAlign w:val="bottom"/>
            <w:hideMark/>
          </w:tcPr>
          <w:p w14:paraId="1246F2E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6,974 </w:t>
            </w:r>
          </w:p>
        </w:tc>
        <w:tc>
          <w:tcPr>
            <w:tcW w:w="148" w:type="dxa"/>
            <w:tcBorders>
              <w:top w:val="nil"/>
              <w:left w:val="nil"/>
              <w:bottom w:val="nil"/>
              <w:right w:val="nil"/>
            </w:tcBorders>
            <w:shd w:val="clear" w:color="auto" w:fill="auto"/>
            <w:noWrap/>
            <w:vAlign w:val="bottom"/>
            <w:hideMark/>
          </w:tcPr>
          <w:p w14:paraId="46E02CC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121B67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7,612 </w:t>
            </w:r>
          </w:p>
        </w:tc>
        <w:tc>
          <w:tcPr>
            <w:tcW w:w="204" w:type="dxa"/>
            <w:tcBorders>
              <w:top w:val="nil"/>
              <w:left w:val="nil"/>
              <w:bottom w:val="nil"/>
              <w:right w:val="nil"/>
            </w:tcBorders>
            <w:shd w:val="clear" w:color="auto" w:fill="auto"/>
            <w:noWrap/>
            <w:vAlign w:val="bottom"/>
            <w:hideMark/>
          </w:tcPr>
          <w:p w14:paraId="2562B31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567DB02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21,277 </w:t>
            </w:r>
          </w:p>
        </w:tc>
        <w:tc>
          <w:tcPr>
            <w:tcW w:w="148" w:type="dxa"/>
            <w:tcBorders>
              <w:top w:val="nil"/>
              <w:left w:val="nil"/>
              <w:bottom w:val="nil"/>
              <w:right w:val="nil"/>
            </w:tcBorders>
            <w:shd w:val="clear" w:color="auto" w:fill="auto"/>
            <w:noWrap/>
            <w:vAlign w:val="bottom"/>
            <w:hideMark/>
          </w:tcPr>
          <w:p w14:paraId="2EDCB65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644C1B7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20,691 </w:t>
            </w:r>
          </w:p>
        </w:tc>
      </w:tr>
      <w:tr w:rsidR="00A32E9B" w:rsidRPr="00F01024" w14:paraId="1C8D7E08" w14:textId="77777777" w:rsidTr="0065680A">
        <w:trPr>
          <w:trHeight w:val="285"/>
        </w:trPr>
        <w:tc>
          <w:tcPr>
            <w:tcW w:w="3228" w:type="dxa"/>
            <w:tcBorders>
              <w:top w:val="nil"/>
              <w:left w:val="nil"/>
              <w:bottom w:val="single" w:sz="4" w:space="0" w:color="auto"/>
              <w:right w:val="nil"/>
            </w:tcBorders>
            <w:shd w:val="clear" w:color="auto" w:fill="auto"/>
            <w:noWrap/>
            <w:vAlign w:val="bottom"/>
            <w:hideMark/>
          </w:tcPr>
          <w:p w14:paraId="7A12617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Other income (expense)</w:t>
            </w:r>
          </w:p>
        </w:tc>
        <w:tc>
          <w:tcPr>
            <w:tcW w:w="1128" w:type="dxa"/>
            <w:tcBorders>
              <w:top w:val="nil"/>
              <w:left w:val="nil"/>
              <w:bottom w:val="single" w:sz="4" w:space="0" w:color="auto"/>
              <w:right w:val="nil"/>
            </w:tcBorders>
            <w:shd w:val="clear" w:color="auto" w:fill="auto"/>
            <w:noWrap/>
            <w:vAlign w:val="bottom"/>
            <w:hideMark/>
          </w:tcPr>
          <w:p w14:paraId="2E31093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(17)</w:t>
            </w:r>
          </w:p>
        </w:tc>
        <w:tc>
          <w:tcPr>
            <w:tcW w:w="148" w:type="dxa"/>
            <w:tcBorders>
              <w:top w:val="nil"/>
              <w:left w:val="nil"/>
              <w:bottom w:val="nil"/>
              <w:right w:val="nil"/>
            </w:tcBorders>
            <w:shd w:val="clear" w:color="auto" w:fill="auto"/>
            <w:noWrap/>
            <w:vAlign w:val="bottom"/>
            <w:hideMark/>
          </w:tcPr>
          <w:p w14:paraId="2A3A47E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4" w:space="0" w:color="auto"/>
              <w:right w:val="nil"/>
            </w:tcBorders>
            <w:shd w:val="clear" w:color="auto" w:fill="auto"/>
            <w:noWrap/>
            <w:vAlign w:val="bottom"/>
            <w:hideMark/>
          </w:tcPr>
          <w:p w14:paraId="18E493F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(9)</w:t>
            </w:r>
          </w:p>
        </w:tc>
        <w:tc>
          <w:tcPr>
            <w:tcW w:w="204" w:type="dxa"/>
            <w:tcBorders>
              <w:top w:val="nil"/>
              <w:left w:val="nil"/>
              <w:bottom w:val="nil"/>
              <w:right w:val="nil"/>
            </w:tcBorders>
            <w:shd w:val="clear" w:color="auto" w:fill="auto"/>
            <w:noWrap/>
            <w:vAlign w:val="bottom"/>
            <w:hideMark/>
          </w:tcPr>
          <w:p w14:paraId="140CABD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single" w:sz="4" w:space="0" w:color="auto"/>
              <w:right w:val="nil"/>
            </w:tcBorders>
            <w:shd w:val="clear" w:color="auto" w:fill="auto"/>
            <w:noWrap/>
            <w:vAlign w:val="bottom"/>
            <w:hideMark/>
          </w:tcPr>
          <w:p w14:paraId="452A2E4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(34)</w:t>
            </w:r>
          </w:p>
        </w:tc>
        <w:tc>
          <w:tcPr>
            <w:tcW w:w="148" w:type="dxa"/>
            <w:tcBorders>
              <w:top w:val="nil"/>
              <w:left w:val="nil"/>
              <w:bottom w:val="nil"/>
              <w:right w:val="nil"/>
            </w:tcBorders>
            <w:shd w:val="clear" w:color="auto" w:fill="auto"/>
            <w:noWrap/>
            <w:vAlign w:val="bottom"/>
            <w:hideMark/>
          </w:tcPr>
          <w:p w14:paraId="7E3E305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4" w:space="0" w:color="auto"/>
              <w:right w:val="nil"/>
            </w:tcBorders>
            <w:shd w:val="clear" w:color="auto" w:fill="auto"/>
            <w:noWrap/>
            <w:vAlign w:val="bottom"/>
            <w:hideMark/>
          </w:tcPr>
          <w:p w14:paraId="32D1253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216 </w:t>
            </w:r>
          </w:p>
        </w:tc>
      </w:tr>
      <w:tr w:rsidR="00A32E9B" w:rsidRPr="00F01024" w14:paraId="386E8EE9" w14:textId="77777777" w:rsidTr="0065680A">
        <w:trPr>
          <w:trHeight w:val="285"/>
        </w:trPr>
        <w:tc>
          <w:tcPr>
            <w:tcW w:w="3228" w:type="dxa"/>
            <w:tcBorders>
              <w:top w:val="nil"/>
              <w:left w:val="nil"/>
              <w:bottom w:val="nil"/>
              <w:right w:val="nil"/>
            </w:tcBorders>
            <w:shd w:val="clear" w:color="auto" w:fill="auto"/>
            <w:noWrap/>
            <w:vAlign w:val="bottom"/>
            <w:hideMark/>
          </w:tcPr>
          <w:p w14:paraId="7B28C49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Income before income taxes</w:t>
            </w:r>
          </w:p>
        </w:tc>
        <w:tc>
          <w:tcPr>
            <w:tcW w:w="1128" w:type="dxa"/>
            <w:tcBorders>
              <w:top w:val="nil"/>
              <w:left w:val="nil"/>
              <w:bottom w:val="nil"/>
              <w:right w:val="nil"/>
            </w:tcBorders>
            <w:shd w:val="clear" w:color="auto" w:fill="auto"/>
            <w:noWrap/>
            <w:vAlign w:val="bottom"/>
            <w:hideMark/>
          </w:tcPr>
          <w:p w14:paraId="660A738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6,957 </w:t>
            </w:r>
          </w:p>
        </w:tc>
        <w:tc>
          <w:tcPr>
            <w:tcW w:w="148" w:type="dxa"/>
            <w:tcBorders>
              <w:top w:val="nil"/>
              <w:left w:val="nil"/>
              <w:bottom w:val="nil"/>
              <w:right w:val="nil"/>
            </w:tcBorders>
            <w:shd w:val="clear" w:color="auto" w:fill="auto"/>
            <w:noWrap/>
            <w:vAlign w:val="bottom"/>
            <w:hideMark/>
          </w:tcPr>
          <w:p w14:paraId="39FDDA9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AB73AE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7,603 </w:t>
            </w:r>
          </w:p>
        </w:tc>
        <w:tc>
          <w:tcPr>
            <w:tcW w:w="204" w:type="dxa"/>
            <w:tcBorders>
              <w:top w:val="nil"/>
              <w:left w:val="nil"/>
              <w:bottom w:val="nil"/>
              <w:right w:val="nil"/>
            </w:tcBorders>
            <w:shd w:val="clear" w:color="auto" w:fill="auto"/>
            <w:noWrap/>
            <w:vAlign w:val="bottom"/>
            <w:hideMark/>
          </w:tcPr>
          <w:p w14:paraId="425A9EC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298A3E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21,243 </w:t>
            </w:r>
          </w:p>
        </w:tc>
        <w:tc>
          <w:tcPr>
            <w:tcW w:w="148" w:type="dxa"/>
            <w:tcBorders>
              <w:top w:val="nil"/>
              <w:left w:val="nil"/>
              <w:bottom w:val="nil"/>
              <w:right w:val="nil"/>
            </w:tcBorders>
            <w:shd w:val="clear" w:color="auto" w:fill="auto"/>
            <w:noWrap/>
            <w:vAlign w:val="bottom"/>
            <w:hideMark/>
          </w:tcPr>
          <w:p w14:paraId="3794C71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61A6008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20,907 </w:t>
            </w:r>
          </w:p>
        </w:tc>
      </w:tr>
      <w:tr w:rsidR="00A32E9B" w:rsidRPr="00F01024" w14:paraId="25706C5D" w14:textId="77777777" w:rsidTr="0065680A">
        <w:trPr>
          <w:trHeight w:val="285"/>
        </w:trPr>
        <w:tc>
          <w:tcPr>
            <w:tcW w:w="3228" w:type="dxa"/>
            <w:tcBorders>
              <w:top w:val="nil"/>
              <w:left w:val="nil"/>
              <w:bottom w:val="single" w:sz="4" w:space="0" w:color="auto"/>
              <w:right w:val="nil"/>
            </w:tcBorders>
            <w:shd w:val="clear" w:color="auto" w:fill="auto"/>
            <w:noWrap/>
            <w:vAlign w:val="bottom"/>
            <w:hideMark/>
          </w:tcPr>
          <w:p w14:paraId="046D5B0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Provision for income taxes</w:t>
            </w:r>
          </w:p>
        </w:tc>
        <w:tc>
          <w:tcPr>
            <w:tcW w:w="1128" w:type="dxa"/>
            <w:tcBorders>
              <w:top w:val="nil"/>
              <w:left w:val="nil"/>
              <w:bottom w:val="single" w:sz="4" w:space="0" w:color="auto"/>
              <w:right w:val="nil"/>
            </w:tcBorders>
            <w:shd w:val="clear" w:color="auto" w:fill="auto"/>
            <w:noWrap/>
            <w:vAlign w:val="bottom"/>
            <w:hideMark/>
          </w:tcPr>
          <w:p w14:paraId="724937D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1,297 </w:t>
            </w:r>
          </w:p>
        </w:tc>
        <w:tc>
          <w:tcPr>
            <w:tcW w:w="148" w:type="dxa"/>
            <w:tcBorders>
              <w:top w:val="nil"/>
              <w:left w:val="nil"/>
              <w:bottom w:val="nil"/>
              <w:right w:val="nil"/>
            </w:tcBorders>
            <w:shd w:val="clear" w:color="auto" w:fill="auto"/>
            <w:noWrap/>
            <w:vAlign w:val="bottom"/>
            <w:hideMark/>
          </w:tcPr>
          <w:p w14:paraId="7DEF097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4" w:space="0" w:color="auto"/>
              <w:right w:val="nil"/>
            </w:tcBorders>
            <w:shd w:val="clear" w:color="auto" w:fill="auto"/>
            <w:noWrap/>
            <w:vAlign w:val="bottom"/>
            <w:hideMark/>
          </w:tcPr>
          <w:p w14:paraId="564B117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1,548 </w:t>
            </w:r>
          </w:p>
        </w:tc>
        <w:tc>
          <w:tcPr>
            <w:tcW w:w="204" w:type="dxa"/>
            <w:tcBorders>
              <w:top w:val="nil"/>
              <w:left w:val="nil"/>
              <w:bottom w:val="nil"/>
              <w:right w:val="nil"/>
            </w:tcBorders>
            <w:shd w:val="clear" w:color="auto" w:fill="auto"/>
            <w:noWrap/>
            <w:vAlign w:val="bottom"/>
            <w:hideMark/>
          </w:tcPr>
          <w:p w14:paraId="18E8F59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single" w:sz="4" w:space="0" w:color="auto"/>
              <w:right w:val="nil"/>
            </w:tcBorders>
            <w:shd w:val="clear" w:color="auto" w:fill="auto"/>
            <w:noWrap/>
            <w:vAlign w:val="bottom"/>
            <w:hideMark/>
          </w:tcPr>
          <w:p w14:paraId="3C227E0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3,781 </w:t>
            </w:r>
          </w:p>
        </w:tc>
        <w:tc>
          <w:tcPr>
            <w:tcW w:w="148" w:type="dxa"/>
            <w:tcBorders>
              <w:top w:val="nil"/>
              <w:left w:val="nil"/>
              <w:bottom w:val="nil"/>
              <w:right w:val="nil"/>
            </w:tcBorders>
            <w:shd w:val="clear" w:color="auto" w:fill="auto"/>
            <w:noWrap/>
            <w:vAlign w:val="bottom"/>
            <w:hideMark/>
          </w:tcPr>
          <w:p w14:paraId="1249495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4" w:space="0" w:color="auto"/>
              <w:right w:val="nil"/>
            </w:tcBorders>
            <w:shd w:val="clear" w:color="auto" w:fill="auto"/>
            <w:noWrap/>
            <w:vAlign w:val="bottom"/>
            <w:hideMark/>
          </w:tcPr>
          <w:p w14:paraId="208EE83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4,009 </w:t>
            </w:r>
          </w:p>
        </w:tc>
      </w:tr>
      <w:tr w:rsidR="00A32E9B" w:rsidRPr="00F01024" w14:paraId="59197616" w14:textId="77777777" w:rsidTr="0065680A">
        <w:trPr>
          <w:trHeight w:val="300"/>
        </w:trPr>
        <w:tc>
          <w:tcPr>
            <w:tcW w:w="3228" w:type="dxa"/>
            <w:tcBorders>
              <w:top w:val="nil"/>
              <w:left w:val="nil"/>
              <w:bottom w:val="nil"/>
              <w:right w:val="nil"/>
            </w:tcBorders>
            <w:shd w:val="clear" w:color="auto" w:fill="auto"/>
            <w:noWrap/>
            <w:vAlign w:val="bottom"/>
            <w:hideMark/>
          </w:tcPr>
          <w:p w14:paraId="64F9FD7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Net income</w:t>
            </w:r>
          </w:p>
        </w:tc>
        <w:tc>
          <w:tcPr>
            <w:tcW w:w="1128" w:type="dxa"/>
            <w:tcBorders>
              <w:top w:val="nil"/>
              <w:left w:val="nil"/>
              <w:bottom w:val="single" w:sz="8" w:space="0" w:color="auto"/>
              <w:right w:val="nil"/>
            </w:tcBorders>
            <w:shd w:val="clear" w:color="auto" w:fill="auto"/>
            <w:noWrap/>
            <w:vAlign w:val="bottom"/>
            <w:hideMark/>
          </w:tcPr>
          <w:p w14:paraId="657D4AE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5,660 </w:t>
            </w:r>
          </w:p>
        </w:tc>
        <w:tc>
          <w:tcPr>
            <w:tcW w:w="148" w:type="dxa"/>
            <w:tcBorders>
              <w:top w:val="nil"/>
              <w:left w:val="nil"/>
              <w:bottom w:val="nil"/>
              <w:right w:val="nil"/>
            </w:tcBorders>
            <w:shd w:val="clear" w:color="auto" w:fill="auto"/>
            <w:noWrap/>
            <w:vAlign w:val="bottom"/>
            <w:hideMark/>
          </w:tcPr>
          <w:p w14:paraId="12AF016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8" w:space="0" w:color="auto"/>
              <w:right w:val="nil"/>
            </w:tcBorders>
            <w:shd w:val="clear" w:color="auto" w:fill="auto"/>
            <w:noWrap/>
            <w:vAlign w:val="bottom"/>
            <w:hideMark/>
          </w:tcPr>
          <w:p w14:paraId="5ED6319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6,055 </w:t>
            </w:r>
          </w:p>
        </w:tc>
        <w:tc>
          <w:tcPr>
            <w:tcW w:w="204" w:type="dxa"/>
            <w:tcBorders>
              <w:top w:val="nil"/>
              <w:left w:val="nil"/>
              <w:bottom w:val="nil"/>
              <w:right w:val="nil"/>
            </w:tcBorders>
            <w:shd w:val="clear" w:color="auto" w:fill="auto"/>
            <w:noWrap/>
            <w:vAlign w:val="bottom"/>
            <w:hideMark/>
          </w:tcPr>
          <w:p w14:paraId="5A3A931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single" w:sz="8" w:space="0" w:color="auto"/>
              <w:right w:val="nil"/>
            </w:tcBorders>
            <w:shd w:val="clear" w:color="auto" w:fill="auto"/>
            <w:noWrap/>
            <w:vAlign w:val="bottom"/>
            <w:hideMark/>
          </w:tcPr>
          <w:p w14:paraId="142A2D5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17,462 </w:t>
            </w:r>
          </w:p>
        </w:tc>
        <w:tc>
          <w:tcPr>
            <w:tcW w:w="148" w:type="dxa"/>
            <w:tcBorders>
              <w:top w:val="nil"/>
              <w:left w:val="nil"/>
              <w:bottom w:val="nil"/>
              <w:right w:val="nil"/>
            </w:tcBorders>
            <w:shd w:val="clear" w:color="auto" w:fill="auto"/>
            <w:noWrap/>
            <w:vAlign w:val="bottom"/>
            <w:hideMark/>
          </w:tcPr>
          <w:p w14:paraId="3119C40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single" w:sz="8" w:space="0" w:color="auto"/>
              <w:right w:val="nil"/>
            </w:tcBorders>
            <w:shd w:val="clear" w:color="auto" w:fill="auto"/>
            <w:noWrap/>
            <w:vAlign w:val="bottom"/>
            <w:hideMark/>
          </w:tcPr>
          <w:p w14:paraId="448262E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$16,898 </w:t>
            </w:r>
          </w:p>
        </w:tc>
      </w:tr>
      <w:tr w:rsidR="00A32E9B" w:rsidRPr="00F01024" w14:paraId="6763B120" w14:textId="77777777" w:rsidTr="0065680A">
        <w:trPr>
          <w:trHeight w:val="285"/>
        </w:trPr>
        <w:tc>
          <w:tcPr>
            <w:tcW w:w="3228" w:type="dxa"/>
            <w:tcBorders>
              <w:top w:val="nil"/>
              <w:left w:val="nil"/>
              <w:bottom w:val="nil"/>
              <w:right w:val="nil"/>
            </w:tcBorders>
            <w:shd w:val="clear" w:color="auto" w:fill="auto"/>
            <w:noWrap/>
            <w:vAlign w:val="bottom"/>
            <w:hideMark/>
          </w:tcPr>
          <w:p w14:paraId="40D403F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28" w:type="dxa"/>
            <w:tcBorders>
              <w:top w:val="nil"/>
              <w:left w:val="nil"/>
              <w:bottom w:val="nil"/>
              <w:right w:val="nil"/>
            </w:tcBorders>
            <w:shd w:val="clear" w:color="auto" w:fill="auto"/>
            <w:noWrap/>
            <w:vAlign w:val="bottom"/>
            <w:hideMark/>
          </w:tcPr>
          <w:p w14:paraId="20A993CB"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2497A3E5"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6877572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4557D155"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5506730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7376F85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center"/>
            <w:hideMark/>
          </w:tcPr>
          <w:p w14:paraId="362292B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r>
      <w:tr w:rsidR="00A32E9B" w:rsidRPr="00F01024" w14:paraId="08B3F31A" w14:textId="77777777" w:rsidTr="0065680A">
        <w:trPr>
          <w:trHeight w:val="285"/>
        </w:trPr>
        <w:tc>
          <w:tcPr>
            <w:tcW w:w="3228" w:type="dxa"/>
            <w:tcBorders>
              <w:top w:val="nil"/>
              <w:left w:val="nil"/>
              <w:bottom w:val="nil"/>
              <w:right w:val="nil"/>
            </w:tcBorders>
            <w:shd w:val="clear" w:color="auto" w:fill="auto"/>
            <w:noWrap/>
            <w:vAlign w:val="bottom"/>
            <w:hideMark/>
          </w:tcPr>
          <w:p w14:paraId="768F045E"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Earnings per share:</w:t>
            </w:r>
          </w:p>
        </w:tc>
        <w:tc>
          <w:tcPr>
            <w:tcW w:w="1128" w:type="dxa"/>
            <w:tcBorders>
              <w:top w:val="nil"/>
              <w:left w:val="nil"/>
              <w:bottom w:val="nil"/>
              <w:right w:val="nil"/>
            </w:tcBorders>
            <w:shd w:val="clear" w:color="auto" w:fill="auto"/>
            <w:noWrap/>
            <w:vAlign w:val="bottom"/>
            <w:hideMark/>
          </w:tcPr>
          <w:p w14:paraId="67A791FE"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48" w:type="dxa"/>
            <w:tcBorders>
              <w:top w:val="nil"/>
              <w:left w:val="nil"/>
              <w:bottom w:val="nil"/>
              <w:right w:val="nil"/>
            </w:tcBorders>
            <w:shd w:val="clear" w:color="auto" w:fill="auto"/>
            <w:noWrap/>
            <w:vAlign w:val="bottom"/>
            <w:hideMark/>
          </w:tcPr>
          <w:p w14:paraId="2298A341"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14:paraId="54BBB04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3F659DEE"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38689804"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1F9CA22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center"/>
            <w:hideMark/>
          </w:tcPr>
          <w:p w14:paraId="57057DB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r>
      <w:tr w:rsidR="00A32E9B" w:rsidRPr="00F01024" w14:paraId="1CC4F5A4" w14:textId="77777777" w:rsidTr="0065680A">
        <w:trPr>
          <w:trHeight w:val="285"/>
        </w:trPr>
        <w:tc>
          <w:tcPr>
            <w:tcW w:w="3228" w:type="dxa"/>
            <w:tcBorders>
              <w:top w:val="nil"/>
              <w:left w:val="nil"/>
              <w:bottom w:val="nil"/>
              <w:right w:val="nil"/>
            </w:tcBorders>
            <w:shd w:val="clear" w:color="auto" w:fill="auto"/>
            <w:noWrap/>
            <w:vAlign w:val="bottom"/>
            <w:hideMark/>
          </w:tcPr>
          <w:p w14:paraId="7A81F35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Basic</w:t>
            </w:r>
          </w:p>
        </w:tc>
        <w:tc>
          <w:tcPr>
            <w:tcW w:w="1128" w:type="dxa"/>
            <w:tcBorders>
              <w:top w:val="nil"/>
              <w:left w:val="nil"/>
              <w:bottom w:val="nil"/>
              <w:right w:val="nil"/>
            </w:tcBorders>
            <w:shd w:val="clear" w:color="auto" w:fill="auto"/>
            <w:noWrap/>
            <w:vAlign w:val="bottom"/>
            <w:hideMark/>
          </w:tcPr>
          <w:p w14:paraId="6660B0E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0.68 </w:t>
            </w:r>
          </w:p>
        </w:tc>
        <w:tc>
          <w:tcPr>
            <w:tcW w:w="148" w:type="dxa"/>
            <w:tcBorders>
              <w:top w:val="nil"/>
              <w:left w:val="nil"/>
              <w:bottom w:val="nil"/>
              <w:right w:val="nil"/>
            </w:tcBorders>
            <w:shd w:val="clear" w:color="auto" w:fill="auto"/>
            <w:noWrap/>
            <w:vAlign w:val="bottom"/>
            <w:hideMark/>
          </w:tcPr>
          <w:p w14:paraId="266FBAE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762FF9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0.72 </w:t>
            </w:r>
          </w:p>
        </w:tc>
        <w:tc>
          <w:tcPr>
            <w:tcW w:w="204" w:type="dxa"/>
            <w:tcBorders>
              <w:top w:val="nil"/>
              <w:left w:val="nil"/>
              <w:bottom w:val="nil"/>
              <w:right w:val="nil"/>
            </w:tcBorders>
            <w:shd w:val="clear" w:color="auto" w:fill="auto"/>
            <w:noWrap/>
            <w:vAlign w:val="bottom"/>
            <w:hideMark/>
          </w:tcPr>
          <w:p w14:paraId="1BF460D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0933937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2.10 </w:t>
            </w:r>
          </w:p>
        </w:tc>
        <w:tc>
          <w:tcPr>
            <w:tcW w:w="148" w:type="dxa"/>
            <w:tcBorders>
              <w:top w:val="nil"/>
              <w:left w:val="nil"/>
              <w:bottom w:val="nil"/>
              <w:right w:val="nil"/>
            </w:tcBorders>
            <w:shd w:val="clear" w:color="auto" w:fill="auto"/>
            <w:noWrap/>
            <w:vAlign w:val="bottom"/>
            <w:hideMark/>
          </w:tcPr>
          <w:p w14:paraId="1AACE5A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center"/>
            <w:hideMark/>
          </w:tcPr>
          <w:p w14:paraId="75F395C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2.02 </w:t>
            </w:r>
          </w:p>
        </w:tc>
      </w:tr>
      <w:tr w:rsidR="00A32E9B" w:rsidRPr="00F01024" w14:paraId="041240BB" w14:textId="77777777" w:rsidTr="0065680A">
        <w:trPr>
          <w:trHeight w:val="285"/>
        </w:trPr>
        <w:tc>
          <w:tcPr>
            <w:tcW w:w="3228" w:type="dxa"/>
            <w:tcBorders>
              <w:top w:val="nil"/>
              <w:left w:val="nil"/>
              <w:bottom w:val="nil"/>
              <w:right w:val="nil"/>
            </w:tcBorders>
            <w:shd w:val="clear" w:color="auto" w:fill="auto"/>
            <w:noWrap/>
            <w:vAlign w:val="bottom"/>
            <w:hideMark/>
          </w:tcPr>
          <w:p w14:paraId="4B10570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Diluted</w:t>
            </w:r>
          </w:p>
        </w:tc>
        <w:tc>
          <w:tcPr>
            <w:tcW w:w="1128" w:type="dxa"/>
            <w:tcBorders>
              <w:top w:val="nil"/>
              <w:left w:val="nil"/>
              <w:bottom w:val="nil"/>
              <w:right w:val="nil"/>
            </w:tcBorders>
            <w:shd w:val="clear" w:color="auto" w:fill="auto"/>
            <w:noWrap/>
            <w:vAlign w:val="bottom"/>
            <w:hideMark/>
          </w:tcPr>
          <w:p w14:paraId="4CE7F8E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0.68 </w:t>
            </w:r>
          </w:p>
        </w:tc>
        <w:tc>
          <w:tcPr>
            <w:tcW w:w="148" w:type="dxa"/>
            <w:tcBorders>
              <w:top w:val="nil"/>
              <w:left w:val="nil"/>
              <w:bottom w:val="nil"/>
              <w:right w:val="nil"/>
            </w:tcBorders>
            <w:shd w:val="clear" w:color="auto" w:fill="auto"/>
            <w:noWrap/>
            <w:vAlign w:val="bottom"/>
            <w:hideMark/>
          </w:tcPr>
          <w:p w14:paraId="7A442FF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4F23C6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0.72 </w:t>
            </w:r>
          </w:p>
        </w:tc>
        <w:tc>
          <w:tcPr>
            <w:tcW w:w="204" w:type="dxa"/>
            <w:tcBorders>
              <w:top w:val="nil"/>
              <w:left w:val="nil"/>
              <w:bottom w:val="nil"/>
              <w:right w:val="nil"/>
            </w:tcBorders>
            <w:shd w:val="clear" w:color="auto" w:fill="auto"/>
            <w:noWrap/>
            <w:vAlign w:val="bottom"/>
            <w:hideMark/>
          </w:tcPr>
          <w:p w14:paraId="7C0505E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67C1374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2.08 </w:t>
            </w:r>
          </w:p>
        </w:tc>
        <w:tc>
          <w:tcPr>
            <w:tcW w:w="148" w:type="dxa"/>
            <w:tcBorders>
              <w:top w:val="nil"/>
              <w:left w:val="nil"/>
              <w:bottom w:val="nil"/>
              <w:right w:val="nil"/>
            </w:tcBorders>
            <w:shd w:val="clear" w:color="auto" w:fill="auto"/>
            <w:noWrap/>
            <w:vAlign w:val="bottom"/>
            <w:hideMark/>
          </w:tcPr>
          <w:p w14:paraId="7A7190A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center"/>
            <w:hideMark/>
          </w:tcPr>
          <w:p w14:paraId="71C740E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1.99 </w:t>
            </w:r>
          </w:p>
        </w:tc>
      </w:tr>
      <w:tr w:rsidR="00A32E9B" w:rsidRPr="00F01024" w14:paraId="19B67028" w14:textId="77777777" w:rsidTr="0065680A">
        <w:trPr>
          <w:trHeight w:val="285"/>
        </w:trPr>
        <w:tc>
          <w:tcPr>
            <w:tcW w:w="4356" w:type="dxa"/>
            <w:gridSpan w:val="2"/>
            <w:tcBorders>
              <w:top w:val="nil"/>
              <w:left w:val="nil"/>
              <w:bottom w:val="nil"/>
              <w:right w:val="nil"/>
            </w:tcBorders>
            <w:shd w:val="clear" w:color="auto" w:fill="auto"/>
            <w:noWrap/>
            <w:vAlign w:val="bottom"/>
            <w:hideMark/>
          </w:tcPr>
          <w:p w14:paraId="4B49F2D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Weighted average shares outstanding:</w:t>
            </w:r>
          </w:p>
        </w:tc>
        <w:tc>
          <w:tcPr>
            <w:tcW w:w="148" w:type="dxa"/>
            <w:tcBorders>
              <w:top w:val="nil"/>
              <w:left w:val="nil"/>
              <w:bottom w:val="nil"/>
              <w:right w:val="nil"/>
            </w:tcBorders>
            <w:shd w:val="clear" w:color="auto" w:fill="auto"/>
            <w:noWrap/>
            <w:vAlign w:val="bottom"/>
            <w:hideMark/>
          </w:tcPr>
          <w:p w14:paraId="6EF50E32"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968" w:type="dxa"/>
            <w:tcBorders>
              <w:top w:val="nil"/>
              <w:left w:val="nil"/>
              <w:bottom w:val="nil"/>
              <w:right w:val="nil"/>
            </w:tcBorders>
            <w:shd w:val="clear" w:color="auto" w:fill="auto"/>
            <w:noWrap/>
            <w:vAlign w:val="bottom"/>
            <w:hideMark/>
          </w:tcPr>
          <w:p w14:paraId="4A2E7EF0"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auto"/>
            <w:noWrap/>
            <w:vAlign w:val="bottom"/>
            <w:hideMark/>
          </w:tcPr>
          <w:p w14:paraId="74C890E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4D6B03D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48" w:type="dxa"/>
            <w:tcBorders>
              <w:top w:val="nil"/>
              <w:left w:val="nil"/>
              <w:bottom w:val="nil"/>
              <w:right w:val="nil"/>
            </w:tcBorders>
            <w:shd w:val="clear" w:color="auto" w:fill="auto"/>
            <w:noWrap/>
            <w:vAlign w:val="bottom"/>
            <w:hideMark/>
          </w:tcPr>
          <w:p w14:paraId="1D7E615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center"/>
            <w:hideMark/>
          </w:tcPr>
          <w:p w14:paraId="1468F61D"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r>
      <w:tr w:rsidR="00A32E9B" w:rsidRPr="00F01024" w14:paraId="498B367E" w14:textId="77777777" w:rsidTr="0065680A">
        <w:trPr>
          <w:trHeight w:val="285"/>
        </w:trPr>
        <w:tc>
          <w:tcPr>
            <w:tcW w:w="3228" w:type="dxa"/>
            <w:tcBorders>
              <w:top w:val="nil"/>
              <w:left w:val="nil"/>
              <w:bottom w:val="nil"/>
              <w:right w:val="nil"/>
            </w:tcBorders>
            <w:shd w:val="clear" w:color="auto" w:fill="auto"/>
            <w:noWrap/>
            <w:vAlign w:val="bottom"/>
            <w:hideMark/>
          </w:tcPr>
          <w:p w14:paraId="06F97C2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Basic</w:t>
            </w:r>
          </w:p>
        </w:tc>
        <w:tc>
          <w:tcPr>
            <w:tcW w:w="1128" w:type="dxa"/>
            <w:tcBorders>
              <w:top w:val="nil"/>
              <w:left w:val="nil"/>
              <w:bottom w:val="nil"/>
              <w:right w:val="nil"/>
            </w:tcBorders>
            <w:shd w:val="clear" w:color="auto" w:fill="auto"/>
            <w:noWrap/>
            <w:vAlign w:val="bottom"/>
            <w:hideMark/>
          </w:tcPr>
          <w:p w14:paraId="2C1CEB4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8,284 </w:t>
            </w:r>
          </w:p>
        </w:tc>
        <w:tc>
          <w:tcPr>
            <w:tcW w:w="148" w:type="dxa"/>
            <w:tcBorders>
              <w:top w:val="nil"/>
              <w:left w:val="nil"/>
              <w:bottom w:val="nil"/>
              <w:right w:val="nil"/>
            </w:tcBorders>
            <w:shd w:val="clear" w:color="auto" w:fill="auto"/>
            <w:noWrap/>
            <w:vAlign w:val="bottom"/>
            <w:hideMark/>
          </w:tcPr>
          <w:p w14:paraId="6C7A564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C4D0C6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8,364 </w:t>
            </w:r>
          </w:p>
        </w:tc>
        <w:tc>
          <w:tcPr>
            <w:tcW w:w="204" w:type="dxa"/>
            <w:tcBorders>
              <w:top w:val="nil"/>
              <w:left w:val="nil"/>
              <w:bottom w:val="nil"/>
              <w:right w:val="nil"/>
            </w:tcBorders>
            <w:shd w:val="clear" w:color="auto" w:fill="auto"/>
            <w:noWrap/>
            <w:vAlign w:val="bottom"/>
            <w:hideMark/>
          </w:tcPr>
          <w:p w14:paraId="22E1BC3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48FD3F1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8,317 </w:t>
            </w:r>
          </w:p>
        </w:tc>
        <w:tc>
          <w:tcPr>
            <w:tcW w:w="148" w:type="dxa"/>
            <w:tcBorders>
              <w:top w:val="nil"/>
              <w:left w:val="nil"/>
              <w:bottom w:val="nil"/>
              <w:right w:val="nil"/>
            </w:tcBorders>
            <w:shd w:val="clear" w:color="auto" w:fill="auto"/>
            <w:noWrap/>
            <w:vAlign w:val="bottom"/>
            <w:hideMark/>
          </w:tcPr>
          <w:p w14:paraId="36699A3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0C4EE3F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8,385 </w:t>
            </w:r>
          </w:p>
        </w:tc>
      </w:tr>
      <w:tr w:rsidR="00A32E9B" w:rsidRPr="00F01024" w14:paraId="7303C3FB" w14:textId="77777777" w:rsidTr="0065680A">
        <w:trPr>
          <w:trHeight w:val="285"/>
        </w:trPr>
        <w:tc>
          <w:tcPr>
            <w:tcW w:w="3228" w:type="dxa"/>
            <w:tcBorders>
              <w:top w:val="nil"/>
              <w:left w:val="nil"/>
              <w:bottom w:val="nil"/>
              <w:right w:val="nil"/>
            </w:tcBorders>
            <w:shd w:val="clear" w:color="auto" w:fill="auto"/>
            <w:noWrap/>
            <w:vAlign w:val="bottom"/>
            <w:hideMark/>
          </w:tcPr>
          <w:p w14:paraId="7CB6647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Diluted</w:t>
            </w:r>
          </w:p>
        </w:tc>
        <w:tc>
          <w:tcPr>
            <w:tcW w:w="1128" w:type="dxa"/>
            <w:tcBorders>
              <w:top w:val="nil"/>
              <w:left w:val="nil"/>
              <w:bottom w:val="nil"/>
              <w:right w:val="nil"/>
            </w:tcBorders>
            <w:shd w:val="clear" w:color="auto" w:fill="auto"/>
            <w:noWrap/>
            <w:vAlign w:val="bottom"/>
            <w:hideMark/>
          </w:tcPr>
          <w:p w14:paraId="7C397AF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8,367 </w:t>
            </w:r>
          </w:p>
        </w:tc>
        <w:tc>
          <w:tcPr>
            <w:tcW w:w="148" w:type="dxa"/>
            <w:tcBorders>
              <w:top w:val="nil"/>
              <w:left w:val="nil"/>
              <w:bottom w:val="nil"/>
              <w:right w:val="nil"/>
            </w:tcBorders>
            <w:shd w:val="clear" w:color="auto" w:fill="auto"/>
            <w:noWrap/>
            <w:vAlign w:val="bottom"/>
            <w:hideMark/>
          </w:tcPr>
          <w:p w14:paraId="442ECC5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5262F10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8,429 </w:t>
            </w:r>
          </w:p>
        </w:tc>
        <w:tc>
          <w:tcPr>
            <w:tcW w:w="204" w:type="dxa"/>
            <w:tcBorders>
              <w:top w:val="nil"/>
              <w:left w:val="nil"/>
              <w:bottom w:val="nil"/>
              <w:right w:val="nil"/>
            </w:tcBorders>
            <w:shd w:val="clear" w:color="auto" w:fill="auto"/>
            <w:noWrap/>
            <w:vAlign w:val="bottom"/>
            <w:hideMark/>
          </w:tcPr>
          <w:p w14:paraId="38C4E92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228" w:type="dxa"/>
            <w:tcBorders>
              <w:top w:val="nil"/>
              <w:left w:val="nil"/>
              <w:bottom w:val="nil"/>
              <w:right w:val="nil"/>
            </w:tcBorders>
            <w:shd w:val="clear" w:color="auto" w:fill="auto"/>
            <w:noWrap/>
            <w:vAlign w:val="bottom"/>
            <w:hideMark/>
          </w:tcPr>
          <w:p w14:paraId="7530D6E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8,411 </w:t>
            </w:r>
          </w:p>
        </w:tc>
        <w:tc>
          <w:tcPr>
            <w:tcW w:w="148" w:type="dxa"/>
            <w:tcBorders>
              <w:top w:val="nil"/>
              <w:left w:val="nil"/>
              <w:bottom w:val="nil"/>
              <w:right w:val="nil"/>
            </w:tcBorders>
            <w:shd w:val="clear" w:color="auto" w:fill="auto"/>
            <w:noWrap/>
            <w:vAlign w:val="bottom"/>
            <w:hideMark/>
          </w:tcPr>
          <w:p w14:paraId="6DB0568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68" w:type="dxa"/>
            <w:tcBorders>
              <w:top w:val="nil"/>
              <w:left w:val="nil"/>
              <w:bottom w:val="nil"/>
              <w:right w:val="nil"/>
            </w:tcBorders>
            <w:shd w:val="clear" w:color="auto" w:fill="auto"/>
            <w:noWrap/>
            <w:vAlign w:val="bottom"/>
            <w:hideMark/>
          </w:tcPr>
          <w:p w14:paraId="20F5066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8,472 </w:t>
            </w:r>
          </w:p>
        </w:tc>
      </w:tr>
      <w:tr w:rsidR="00A32E9B" w:rsidRPr="00F01024" w14:paraId="295AC0BA" w14:textId="77777777" w:rsidTr="0065680A">
        <w:trPr>
          <w:trHeight w:val="570"/>
        </w:trPr>
        <w:tc>
          <w:tcPr>
            <w:tcW w:w="3228" w:type="dxa"/>
            <w:tcBorders>
              <w:top w:val="nil"/>
              <w:left w:val="nil"/>
              <w:bottom w:val="single" w:sz="4" w:space="0" w:color="auto"/>
              <w:right w:val="nil"/>
            </w:tcBorders>
            <w:shd w:val="clear" w:color="auto" w:fill="auto"/>
            <w:vAlign w:val="bottom"/>
            <w:hideMark/>
          </w:tcPr>
          <w:p w14:paraId="72826C3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Cash dividends declared per</w:t>
            </w:r>
            <w:r w:rsidRPr="00F01024">
              <w:rPr>
                <w:rFonts w:ascii="Segoe UI" w:eastAsia="Times New Roman" w:hAnsi="Segoe UI" w:cs="Segoe UI"/>
                <w:color w:val="666666"/>
                <w:sz w:val="20"/>
                <w:szCs w:val="20"/>
              </w:rPr>
              <w:br/>
              <w:t xml:space="preserve">   common share</w:t>
            </w:r>
          </w:p>
        </w:tc>
        <w:tc>
          <w:tcPr>
            <w:tcW w:w="1128" w:type="dxa"/>
            <w:tcBorders>
              <w:top w:val="nil"/>
              <w:left w:val="nil"/>
              <w:bottom w:val="single" w:sz="4" w:space="0" w:color="auto"/>
              <w:right w:val="nil"/>
            </w:tcBorders>
            <w:shd w:val="clear" w:color="auto" w:fill="auto"/>
            <w:noWrap/>
            <w:vAlign w:val="bottom"/>
            <w:hideMark/>
          </w:tcPr>
          <w:p w14:paraId="107E79E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0.28 </w:t>
            </w:r>
          </w:p>
        </w:tc>
        <w:tc>
          <w:tcPr>
            <w:tcW w:w="148" w:type="dxa"/>
            <w:tcBorders>
              <w:top w:val="nil"/>
              <w:left w:val="nil"/>
              <w:bottom w:val="single" w:sz="4" w:space="0" w:color="auto"/>
              <w:right w:val="nil"/>
            </w:tcBorders>
            <w:shd w:val="clear" w:color="auto" w:fill="auto"/>
            <w:noWrap/>
            <w:vAlign w:val="bottom"/>
            <w:hideMark/>
          </w:tcPr>
          <w:p w14:paraId="5F16AF5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0451671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0.23 </w:t>
            </w:r>
          </w:p>
        </w:tc>
        <w:tc>
          <w:tcPr>
            <w:tcW w:w="204" w:type="dxa"/>
            <w:tcBorders>
              <w:top w:val="nil"/>
              <w:left w:val="nil"/>
              <w:bottom w:val="single" w:sz="4" w:space="0" w:color="auto"/>
              <w:right w:val="nil"/>
            </w:tcBorders>
            <w:shd w:val="clear" w:color="auto" w:fill="auto"/>
            <w:noWrap/>
            <w:vAlign w:val="bottom"/>
            <w:hideMark/>
          </w:tcPr>
          <w:p w14:paraId="41EC7F9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228" w:type="dxa"/>
            <w:tcBorders>
              <w:top w:val="nil"/>
              <w:left w:val="nil"/>
              <w:bottom w:val="single" w:sz="4" w:space="0" w:color="auto"/>
              <w:right w:val="nil"/>
            </w:tcBorders>
            <w:shd w:val="clear" w:color="auto" w:fill="auto"/>
            <w:noWrap/>
            <w:vAlign w:val="bottom"/>
            <w:hideMark/>
          </w:tcPr>
          <w:p w14:paraId="28E7EAC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0.84 </w:t>
            </w:r>
          </w:p>
        </w:tc>
        <w:tc>
          <w:tcPr>
            <w:tcW w:w="148" w:type="dxa"/>
            <w:tcBorders>
              <w:top w:val="nil"/>
              <w:left w:val="nil"/>
              <w:bottom w:val="single" w:sz="4" w:space="0" w:color="auto"/>
              <w:right w:val="nil"/>
            </w:tcBorders>
            <w:shd w:val="clear" w:color="auto" w:fill="auto"/>
            <w:noWrap/>
            <w:vAlign w:val="bottom"/>
            <w:hideMark/>
          </w:tcPr>
          <w:p w14:paraId="6427624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68" w:type="dxa"/>
            <w:tcBorders>
              <w:top w:val="nil"/>
              <w:left w:val="nil"/>
              <w:bottom w:val="single" w:sz="4" w:space="0" w:color="auto"/>
              <w:right w:val="nil"/>
            </w:tcBorders>
            <w:shd w:val="clear" w:color="auto" w:fill="auto"/>
            <w:noWrap/>
            <w:vAlign w:val="bottom"/>
            <w:hideMark/>
          </w:tcPr>
          <w:p w14:paraId="55F1691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0.69 </w:t>
            </w:r>
          </w:p>
        </w:tc>
      </w:tr>
    </w:tbl>
    <w:p w14:paraId="19A059B8" w14:textId="3A07C096" w:rsidR="0065680A" w:rsidRDefault="0065680A" w:rsidP="00A32E9B"/>
    <w:p w14:paraId="5673FC81" w14:textId="77777777" w:rsidR="0065680A" w:rsidRDefault="0065680A">
      <w:r>
        <w:br w:type="page"/>
      </w:r>
    </w:p>
    <w:tbl>
      <w:tblPr>
        <w:tblW w:w="7764" w:type="dxa"/>
        <w:tblCellMar>
          <w:left w:w="0" w:type="dxa"/>
          <w:right w:w="0" w:type="dxa"/>
        </w:tblCellMar>
        <w:tblLook w:val="04A0" w:firstRow="1" w:lastRow="0" w:firstColumn="1" w:lastColumn="0" w:noHBand="0" w:noVBand="1"/>
      </w:tblPr>
      <w:tblGrid>
        <w:gridCol w:w="3212"/>
        <w:gridCol w:w="1112"/>
        <w:gridCol w:w="132"/>
        <w:gridCol w:w="952"/>
        <w:gridCol w:w="188"/>
        <w:gridCol w:w="1212"/>
        <w:gridCol w:w="132"/>
        <w:gridCol w:w="952"/>
      </w:tblGrid>
      <w:tr w:rsidR="00A32E9B" w:rsidRPr="00F01024" w14:paraId="3D33CB93" w14:textId="77777777" w:rsidTr="0065680A">
        <w:trPr>
          <w:trHeight w:val="285"/>
        </w:trPr>
        <w:tc>
          <w:tcPr>
            <w:tcW w:w="3196" w:type="dxa"/>
            <w:tcBorders>
              <w:top w:val="nil"/>
              <w:left w:val="nil"/>
              <w:bottom w:val="nil"/>
              <w:right w:val="nil"/>
            </w:tcBorders>
            <w:shd w:val="clear" w:color="auto" w:fill="auto"/>
            <w:noWrap/>
            <w:vAlign w:val="bottom"/>
            <w:hideMark/>
          </w:tcPr>
          <w:p w14:paraId="379E9986"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auto" w:fill="auto"/>
            <w:noWrap/>
            <w:vAlign w:val="bottom"/>
            <w:hideMark/>
          </w:tcPr>
          <w:p w14:paraId="5A746D90"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3F9C1CE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630CCF55"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noWrap/>
            <w:vAlign w:val="bottom"/>
            <w:hideMark/>
          </w:tcPr>
          <w:p w14:paraId="7D7AE9C9"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6F67B229"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782ACFB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1D6EC2CC"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0C16945C" w14:textId="77777777" w:rsidTr="0065680A">
        <w:trPr>
          <w:trHeight w:val="285"/>
        </w:trPr>
        <w:tc>
          <w:tcPr>
            <w:tcW w:w="3196" w:type="dxa"/>
            <w:tcBorders>
              <w:top w:val="nil"/>
              <w:left w:val="nil"/>
              <w:bottom w:val="nil"/>
              <w:right w:val="nil"/>
            </w:tcBorders>
            <w:shd w:val="clear" w:color="auto" w:fill="auto"/>
            <w:noWrap/>
            <w:vAlign w:val="bottom"/>
            <w:hideMark/>
          </w:tcPr>
          <w:p w14:paraId="07159A7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62D3E627"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763149F8"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5BEFAD32"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noWrap/>
            <w:vAlign w:val="bottom"/>
            <w:hideMark/>
          </w:tcPr>
          <w:p w14:paraId="14D44BFB"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F73967B"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060AC4D"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17BEC19E"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75370826" w14:textId="77777777" w:rsidTr="0065680A">
        <w:trPr>
          <w:trHeight w:val="285"/>
        </w:trPr>
        <w:tc>
          <w:tcPr>
            <w:tcW w:w="7764" w:type="dxa"/>
            <w:gridSpan w:val="8"/>
            <w:tcBorders>
              <w:top w:val="nil"/>
              <w:left w:val="nil"/>
              <w:bottom w:val="nil"/>
              <w:right w:val="nil"/>
            </w:tcBorders>
            <w:shd w:val="clear" w:color="auto" w:fill="auto"/>
            <w:noWrap/>
            <w:vAlign w:val="bottom"/>
            <w:hideMark/>
          </w:tcPr>
          <w:p w14:paraId="5946339E"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COMPREHENSIVE INCOME STATEMENTS</w:t>
            </w:r>
          </w:p>
        </w:tc>
      </w:tr>
      <w:tr w:rsidR="00A32E9B" w:rsidRPr="00F01024" w14:paraId="543C6045" w14:textId="77777777" w:rsidTr="0065680A">
        <w:trPr>
          <w:trHeight w:val="285"/>
        </w:trPr>
        <w:tc>
          <w:tcPr>
            <w:tcW w:w="7764" w:type="dxa"/>
            <w:gridSpan w:val="8"/>
            <w:tcBorders>
              <w:top w:val="nil"/>
              <w:left w:val="nil"/>
              <w:bottom w:val="nil"/>
              <w:right w:val="nil"/>
            </w:tcBorders>
            <w:shd w:val="clear" w:color="auto" w:fill="auto"/>
            <w:noWrap/>
            <w:vAlign w:val="bottom"/>
            <w:hideMark/>
          </w:tcPr>
          <w:p w14:paraId="5B407E5B"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 millions)(Unaudited)</w:t>
            </w:r>
          </w:p>
        </w:tc>
      </w:tr>
      <w:tr w:rsidR="00A32E9B" w:rsidRPr="00F01024" w14:paraId="4236A957" w14:textId="77777777" w:rsidTr="0065680A">
        <w:trPr>
          <w:trHeight w:val="285"/>
        </w:trPr>
        <w:tc>
          <w:tcPr>
            <w:tcW w:w="3196" w:type="dxa"/>
            <w:tcBorders>
              <w:top w:val="nil"/>
              <w:left w:val="nil"/>
              <w:bottom w:val="nil"/>
              <w:right w:val="nil"/>
            </w:tcBorders>
            <w:shd w:val="clear" w:color="auto" w:fill="auto"/>
            <w:noWrap/>
            <w:vAlign w:val="bottom"/>
            <w:hideMark/>
          </w:tcPr>
          <w:p w14:paraId="2B461088"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39F5069A"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80B0995"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2A7B3F1F"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noWrap/>
            <w:vAlign w:val="bottom"/>
            <w:hideMark/>
          </w:tcPr>
          <w:p w14:paraId="55313F42"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5D54AD41"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4876E22"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2A98C7D3"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r>
      <w:tr w:rsidR="00A32E9B" w:rsidRPr="00F01024" w14:paraId="0BDA4275" w14:textId="77777777" w:rsidTr="0065680A">
        <w:trPr>
          <w:trHeight w:val="285"/>
        </w:trPr>
        <w:tc>
          <w:tcPr>
            <w:tcW w:w="3196" w:type="dxa"/>
            <w:tcBorders>
              <w:top w:val="nil"/>
              <w:left w:val="nil"/>
              <w:bottom w:val="nil"/>
              <w:right w:val="nil"/>
            </w:tcBorders>
            <w:shd w:val="clear" w:color="auto" w:fill="auto"/>
            <w:noWrap/>
            <w:vAlign w:val="bottom"/>
            <w:hideMark/>
          </w:tcPr>
          <w:p w14:paraId="460B5794"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2148" w:type="dxa"/>
            <w:gridSpan w:val="3"/>
            <w:vMerge w:val="restart"/>
            <w:tcBorders>
              <w:top w:val="nil"/>
              <w:left w:val="nil"/>
              <w:bottom w:val="nil"/>
              <w:right w:val="nil"/>
            </w:tcBorders>
            <w:shd w:val="clear" w:color="auto" w:fill="auto"/>
            <w:vAlign w:val="bottom"/>
            <w:hideMark/>
          </w:tcPr>
          <w:p w14:paraId="3C2BB4F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Three Months Ended March 31,</w:t>
            </w:r>
          </w:p>
        </w:tc>
        <w:tc>
          <w:tcPr>
            <w:tcW w:w="172" w:type="dxa"/>
            <w:tcBorders>
              <w:top w:val="nil"/>
              <w:left w:val="nil"/>
              <w:bottom w:val="nil"/>
              <w:right w:val="nil"/>
            </w:tcBorders>
            <w:shd w:val="clear" w:color="auto" w:fill="auto"/>
            <w:vAlign w:val="bottom"/>
            <w:hideMark/>
          </w:tcPr>
          <w:p w14:paraId="73CA264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2248" w:type="dxa"/>
            <w:gridSpan w:val="3"/>
            <w:vMerge w:val="restart"/>
            <w:tcBorders>
              <w:top w:val="nil"/>
              <w:left w:val="nil"/>
              <w:bottom w:val="nil"/>
              <w:right w:val="nil"/>
            </w:tcBorders>
            <w:shd w:val="clear" w:color="auto" w:fill="auto"/>
            <w:vAlign w:val="bottom"/>
            <w:hideMark/>
          </w:tcPr>
          <w:p w14:paraId="2D2BFEC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Nine Months Ended March 31,</w:t>
            </w:r>
          </w:p>
        </w:tc>
      </w:tr>
      <w:tr w:rsidR="00A32E9B" w:rsidRPr="00F01024" w14:paraId="45464230" w14:textId="77777777" w:rsidTr="0065680A">
        <w:trPr>
          <w:trHeight w:val="285"/>
        </w:trPr>
        <w:tc>
          <w:tcPr>
            <w:tcW w:w="3196" w:type="dxa"/>
            <w:tcBorders>
              <w:top w:val="nil"/>
              <w:left w:val="nil"/>
              <w:bottom w:val="nil"/>
              <w:right w:val="nil"/>
            </w:tcBorders>
            <w:shd w:val="clear" w:color="auto" w:fill="auto"/>
            <w:noWrap/>
            <w:vAlign w:val="bottom"/>
            <w:hideMark/>
          </w:tcPr>
          <w:p w14:paraId="4F34496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2148" w:type="dxa"/>
            <w:gridSpan w:val="3"/>
            <w:vMerge/>
            <w:tcBorders>
              <w:top w:val="nil"/>
              <w:left w:val="nil"/>
              <w:bottom w:val="nil"/>
              <w:right w:val="nil"/>
            </w:tcBorders>
            <w:vAlign w:val="center"/>
            <w:hideMark/>
          </w:tcPr>
          <w:p w14:paraId="23F02E5D"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vAlign w:val="bottom"/>
            <w:hideMark/>
          </w:tcPr>
          <w:p w14:paraId="502F5FA1"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2248" w:type="dxa"/>
            <w:gridSpan w:val="3"/>
            <w:vMerge/>
            <w:tcBorders>
              <w:top w:val="nil"/>
              <w:left w:val="nil"/>
              <w:bottom w:val="nil"/>
              <w:right w:val="nil"/>
            </w:tcBorders>
            <w:vAlign w:val="center"/>
            <w:hideMark/>
          </w:tcPr>
          <w:p w14:paraId="44748605"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r>
      <w:tr w:rsidR="00A32E9B" w:rsidRPr="00F01024" w14:paraId="3C85C301" w14:textId="77777777" w:rsidTr="0065680A">
        <w:trPr>
          <w:trHeight w:val="285"/>
        </w:trPr>
        <w:tc>
          <w:tcPr>
            <w:tcW w:w="3196" w:type="dxa"/>
            <w:tcBorders>
              <w:top w:val="nil"/>
              <w:left w:val="nil"/>
              <w:bottom w:val="single" w:sz="4" w:space="0" w:color="auto"/>
              <w:right w:val="nil"/>
            </w:tcBorders>
            <w:shd w:val="clear" w:color="auto" w:fill="auto"/>
            <w:noWrap/>
            <w:vAlign w:val="bottom"/>
            <w:hideMark/>
          </w:tcPr>
          <w:p w14:paraId="3365F325"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692DA5C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173D031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1AABFCE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c>
          <w:tcPr>
            <w:tcW w:w="172" w:type="dxa"/>
            <w:tcBorders>
              <w:top w:val="nil"/>
              <w:left w:val="nil"/>
              <w:bottom w:val="single" w:sz="4" w:space="0" w:color="auto"/>
              <w:right w:val="nil"/>
            </w:tcBorders>
            <w:shd w:val="clear" w:color="auto" w:fill="auto"/>
            <w:noWrap/>
            <w:vAlign w:val="bottom"/>
            <w:hideMark/>
          </w:tcPr>
          <w:p w14:paraId="5312975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0B45BC6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0D5896C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1A9E0DD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r>
      <w:tr w:rsidR="00A32E9B" w:rsidRPr="00F01024" w14:paraId="1DEA329A" w14:textId="77777777" w:rsidTr="0065680A">
        <w:trPr>
          <w:trHeight w:val="285"/>
        </w:trPr>
        <w:tc>
          <w:tcPr>
            <w:tcW w:w="3196" w:type="dxa"/>
            <w:tcBorders>
              <w:top w:val="nil"/>
              <w:left w:val="nil"/>
              <w:bottom w:val="nil"/>
              <w:right w:val="nil"/>
            </w:tcBorders>
            <w:shd w:val="clear" w:color="auto" w:fill="auto"/>
            <w:noWrap/>
            <w:vAlign w:val="bottom"/>
            <w:hideMark/>
          </w:tcPr>
          <w:p w14:paraId="7296C54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Net income</w:t>
            </w:r>
          </w:p>
        </w:tc>
        <w:tc>
          <w:tcPr>
            <w:tcW w:w="1096" w:type="dxa"/>
            <w:tcBorders>
              <w:top w:val="nil"/>
              <w:left w:val="nil"/>
              <w:bottom w:val="nil"/>
              <w:right w:val="nil"/>
            </w:tcBorders>
            <w:shd w:val="clear" w:color="auto" w:fill="auto"/>
            <w:noWrap/>
            <w:vAlign w:val="bottom"/>
            <w:hideMark/>
          </w:tcPr>
          <w:p w14:paraId="1D1BB67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5,660 </w:t>
            </w:r>
          </w:p>
        </w:tc>
        <w:tc>
          <w:tcPr>
            <w:tcW w:w="116" w:type="dxa"/>
            <w:tcBorders>
              <w:top w:val="nil"/>
              <w:left w:val="nil"/>
              <w:bottom w:val="nil"/>
              <w:right w:val="nil"/>
            </w:tcBorders>
            <w:shd w:val="clear" w:color="auto" w:fill="auto"/>
            <w:noWrap/>
            <w:vAlign w:val="bottom"/>
            <w:hideMark/>
          </w:tcPr>
          <w:p w14:paraId="4B340CE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6E00F0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6,055 </w:t>
            </w:r>
          </w:p>
        </w:tc>
        <w:tc>
          <w:tcPr>
            <w:tcW w:w="172" w:type="dxa"/>
            <w:tcBorders>
              <w:top w:val="nil"/>
              <w:left w:val="nil"/>
              <w:bottom w:val="nil"/>
              <w:right w:val="nil"/>
            </w:tcBorders>
            <w:shd w:val="clear" w:color="auto" w:fill="auto"/>
            <w:noWrap/>
            <w:vAlign w:val="bottom"/>
            <w:hideMark/>
          </w:tcPr>
          <w:p w14:paraId="7CAD44D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E3739B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17,462 </w:t>
            </w:r>
          </w:p>
        </w:tc>
        <w:tc>
          <w:tcPr>
            <w:tcW w:w="116" w:type="dxa"/>
            <w:tcBorders>
              <w:top w:val="nil"/>
              <w:left w:val="nil"/>
              <w:bottom w:val="nil"/>
              <w:right w:val="nil"/>
            </w:tcBorders>
            <w:shd w:val="clear" w:color="auto" w:fill="auto"/>
            <w:noWrap/>
            <w:vAlign w:val="bottom"/>
            <w:hideMark/>
          </w:tcPr>
          <w:p w14:paraId="47ADBEC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F7CB2F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$16,898 </w:t>
            </w:r>
          </w:p>
        </w:tc>
      </w:tr>
      <w:tr w:rsidR="00A32E9B" w:rsidRPr="00F01024" w14:paraId="336AA0BB" w14:textId="77777777" w:rsidTr="0065680A">
        <w:trPr>
          <w:trHeight w:val="285"/>
        </w:trPr>
        <w:tc>
          <w:tcPr>
            <w:tcW w:w="4292" w:type="dxa"/>
            <w:gridSpan w:val="2"/>
            <w:tcBorders>
              <w:top w:val="nil"/>
              <w:left w:val="nil"/>
              <w:bottom w:val="nil"/>
              <w:right w:val="nil"/>
            </w:tcBorders>
            <w:shd w:val="clear" w:color="auto" w:fill="auto"/>
            <w:noWrap/>
            <w:vAlign w:val="bottom"/>
            <w:hideMark/>
          </w:tcPr>
          <w:p w14:paraId="3CA4107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Other comprehensive income (loss):</w:t>
            </w:r>
          </w:p>
        </w:tc>
        <w:tc>
          <w:tcPr>
            <w:tcW w:w="116" w:type="dxa"/>
            <w:tcBorders>
              <w:top w:val="nil"/>
              <w:left w:val="nil"/>
              <w:bottom w:val="nil"/>
              <w:right w:val="nil"/>
            </w:tcBorders>
            <w:shd w:val="clear" w:color="auto" w:fill="auto"/>
            <w:noWrap/>
            <w:vAlign w:val="bottom"/>
            <w:hideMark/>
          </w:tcPr>
          <w:p w14:paraId="7D17985D"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0D3D1569"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noWrap/>
            <w:vAlign w:val="bottom"/>
            <w:hideMark/>
          </w:tcPr>
          <w:p w14:paraId="7B6B06B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53EE068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D7C634B"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57FA2BAE"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r>
      <w:tr w:rsidR="00A32E9B" w:rsidRPr="00F01024" w14:paraId="605EDD46" w14:textId="77777777" w:rsidTr="0065680A">
        <w:trPr>
          <w:trHeight w:val="1140"/>
        </w:trPr>
        <w:tc>
          <w:tcPr>
            <w:tcW w:w="3196" w:type="dxa"/>
            <w:tcBorders>
              <w:top w:val="nil"/>
              <w:left w:val="nil"/>
              <w:bottom w:val="nil"/>
              <w:right w:val="nil"/>
            </w:tcBorders>
            <w:shd w:val="clear" w:color="auto" w:fill="auto"/>
            <w:vAlign w:val="bottom"/>
            <w:hideMark/>
          </w:tcPr>
          <w:p w14:paraId="1CA4FCB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Net unrealized gains (losses) on </w:t>
            </w:r>
            <w:r w:rsidRPr="00F01024">
              <w:rPr>
                <w:rFonts w:ascii="Segoe UI" w:eastAsia="Times New Roman" w:hAnsi="Segoe UI" w:cs="Segoe UI"/>
                <w:color w:val="666666"/>
                <w:sz w:val="20"/>
                <w:szCs w:val="20"/>
              </w:rPr>
              <w:br/>
              <w:t xml:space="preserve">      derivatives (net of tax effects </w:t>
            </w:r>
            <w:r w:rsidRPr="00F01024">
              <w:rPr>
                <w:rFonts w:ascii="Segoe UI" w:eastAsia="Times New Roman" w:hAnsi="Segoe UI" w:cs="Segoe UI"/>
                <w:color w:val="666666"/>
                <w:sz w:val="20"/>
                <w:szCs w:val="20"/>
              </w:rPr>
              <w:br/>
              <w:t xml:space="preserve">      of </w:t>
            </w:r>
            <w:r w:rsidRPr="00F01024">
              <w:rPr>
                <w:rFonts w:ascii="Segoe UI" w:eastAsia="Times New Roman" w:hAnsi="Segoe UI" w:cs="Segoe UI"/>
                <w:b/>
                <w:bCs/>
                <w:color w:val="666666"/>
                <w:sz w:val="20"/>
                <w:szCs w:val="20"/>
              </w:rPr>
              <w:t>$1</w:t>
            </w:r>
            <w:r w:rsidRPr="00F01024">
              <w:rPr>
                <w:rFonts w:ascii="Segoe UI" w:eastAsia="Times New Roman" w:hAnsi="Segoe UI" w:cs="Segoe UI"/>
                <w:color w:val="666666"/>
                <w:sz w:val="20"/>
                <w:szCs w:val="20"/>
              </w:rPr>
              <w:t xml:space="preserve">, $19, </w:t>
            </w:r>
            <w:r w:rsidRPr="00F01024">
              <w:rPr>
                <w:rFonts w:ascii="Segoe UI" w:eastAsia="Times New Roman" w:hAnsi="Segoe UI" w:cs="Segoe UI"/>
                <w:b/>
                <w:bCs/>
                <w:color w:val="666666"/>
                <w:sz w:val="20"/>
                <w:szCs w:val="20"/>
              </w:rPr>
              <w:t>$(1)</w:t>
            </w:r>
            <w:r w:rsidRPr="00F01024">
              <w:rPr>
                <w:rFonts w:ascii="Segoe UI" w:eastAsia="Times New Roman" w:hAnsi="Segoe UI" w:cs="Segoe UI"/>
                <w:color w:val="666666"/>
                <w:sz w:val="20"/>
                <w:szCs w:val="20"/>
              </w:rPr>
              <w:t xml:space="preserve"> </w:t>
            </w:r>
            <w:r w:rsidRPr="00F01024">
              <w:rPr>
                <w:rFonts w:ascii="Segoe UI" w:eastAsia="Times New Roman" w:hAnsi="Segoe UI" w:cs="Segoe UI"/>
                <w:color w:val="666666"/>
                <w:sz w:val="20"/>
                <w:szCs w:val="20"/>
              </w:rPr>
              <w:br/>
              <w:t xml:space="preserve">      and $(10))</w:t>
            </w:r>
          </w:p>
        </w:tc>
        <w:tc>
          <w:tcPr>
            <w:tcW w:w="1096" w:type="dxa"/>
            <w:tcBorders>
              <w:top w:val="nil"/>
              <w:left w:val="nil"/>
              <w:bottom w:val="nil"/>
              <w:right w:val="nil"/>
            </w:tcBorders>
            <w:shd w:val="clear" w:color="auto" w:fill="auto"/>
            <w:noWrap/>
            <w:vAlign w:val="bottom"/>
            <w:hideMark/>
          </w:tcPr>
          <w:p w14:paraId="007F45E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(31)</w:t>
            </w:r>
          </w:p>
        </w:tc>
        <w:tc>
          <w:tcPr>
            <w:tcW w:w="116" w:type="dxa"/>
            <w:tcBorders>
              <w:top w:val="nil"/>
              <w:left w:val="nil"/>
              <w:bottom w:val="nil"/>
              <w:right w:val="nil"/>
            </w:tcBorders>
            <w:shd w:val="clear" w:color="auto" w:fill="auto"/>
            <w:noWrap/>
            <w:vAlign w:val="bottom"/>
            <w:hideMark/>
          </w:tcPr>
          <w:p w14:paraId="2DA997D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E32122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35 </w:t>
            </w:r>
          </w:p>
        </w:tc>
        <w:tc>
          <w:tcPr>
            <w:tcW w:w="172" w:type="dxa"/>
            <w:tcBorders>
              <w:top w:val="nil"/>
              <w:left w:val="nil"/>
              <w:bottom w:val="nil"/>
              <w:right w:val="nil"/>
            </w:tcBorders>
            <w:shd w:val="clear" w:color="auto" w:fill="auto"/>
            <w:noWrap/>
            <w:vAlign w:val="bottom"/>
            <w:hideMark/>
          </w:tcPr>
          <w:p w14:paraId="41EF56B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5DEAC4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(14)</w:t>
            </w:r>
          </w:p>
        </w:tc>
        <w:tc>
          <w:tcPr>
            <w:tcW w:w="116" w:type="dxa"/>
            <w:tcBorders>
              <w:top w:val="nil"/>
              <w:left w:val="nil"/>
              <w:bottom w:val="nil"/>
              <w:right w:val="nil"/>
            </w:tcBorders>
            <w:shd w:val="clear" w:color="auto" w:fill="auto"/>
            <w:noWrap/>
            <w:vAlign w:val="bottom"/>
            <w:hideMark/>
          </w:tcPr>
          <w:p w14:paraId="1A832A8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50372F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(19)</w:t>
            </w:r>
          </w:p>
        </w:tc>
      </w:tr>
      <w:tr w:rsidR="00A32E9B" w:rsidRPr="00F01024" w14:paraId="5D82AC34" w14:textId="77777777" w:rsidTr="0065680A">
        <w:trPr>
          <w:trHeight w:val="1140"/>
        </w:trPr>
        <w:tc>
          <w:tcPr>
            <w:tcW w:w="3196" w:type="dxa"/>
            <w:tcBorders>
              <w:top w:val="nil"/>
              <w:left w:val="nil"/>
              <w:bottom w:val="nil"/>
              <w:right w:val="nil"/>
            </w:tcBorders>
            <w:shd w:val="clear" w:color="auto" w:fill="auto"/>
            <w:vAlign w:val="bottom"/>
            <w:hideMark/>
          </w:tcPr>
          <w:p w14:paraId="325BBB52"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Net unrealized gains on </w:t>
            </w:r>
            <w:r w:rsidRPr="00F01024">
              <w:rPr>
                <w:rFonts w:ascii="Segoe UI" w:eastAsia="Times New Roman" w:hAnsi="Segoe UI" w:cs="Segoe UI"/>
                <w:color w:val="666666"/>
                <w:sz w:val="20"/>
                <w:szCs w:val="20"/>
              </w:rPr>
              <w:br/>
              <w:t xml:space="preserve">      investments (net of tax </w:t>
            </w:r>
            <w:r w:rsidRPr="00F01024">
              <w:rPr>
                <w:rFonts w:ascii="Segoe UI" w:eastAsia="Times New Roman" w:hAnsi="Segoe UI" w:cs="Segoe UI"/>
                <w:color w:val="666666"/>
                <w:sz w:val="20"/>
                <w:szCs w:val="20"/>
              </w:rPr>
              <w:br/>
              <w:t xml:space="preserve">      effects of </w:t>
            </w:r>
            <w:r w:rsidRPr="00F01024">
              <w:rPr>
                <w:rFonts w:ascii="Segoe UI" w:eastAsia="Times New Roman" w:hAnsi="Segoe UI" w:cs="Segoe UI"/>
                <w:b/>
                <w:bCs/>
                <w:color w:val="666666"/>
                <w:sz w:val="20"/>
                <w:szCs w:val="20"/>
              </w:rPr>
              <w:t>$37</w:t>
            </w:r>
            <w:r w:rsidRPr="00F01024">
              <w:rPr>
                <w:rFonts w:ascii="Segoe UI" w:eastAsia="Times New Roman" w:hAnsi="Segoe UI" w:cs="Segoe UI"/>
                <w:color w:val="666666"/>
                <w:sz w:val="20"/>
                <w:szCs w:val="20"/>
              </w:rPr>
              <w:t xml:space="preserve">, $150, </w:t>
            </w:r>
            <w:r w:rsidRPr="00F01024">
              <w:rPr>
                <w:rFonts w:ascii="Segoe UI" w:eastAsia="Times New Roman" w:hAnsi="Segoe UI" w:cs="Segoe UI"/>
                <w:color w:val="666666"/>
                <w:sz w:val="20"/>
                <w:szCs w:val="20"/>
              </w:rPr>
              <w:br/>
              <w:t xml:space="preserve">      </w:t>
            </w:r>
            <w:r w:rsidRPr="00F01024">
              <w:rPr>
                <w:rFonts w:ascii="Segoe UI" w:eastAsia="Times New Roman" w:hAnsi="Segoe UI" w:cs="Segoe UI"/>
                <w:b/>
                <w:bCs/>
                <w:color w:val="666666"/>
                <w:sz w:val="20"/>
                <w:szCs w:val="20"/>
              </w:rPr>
              <w:t>$774</w:t>
            </w:r>
            <w:r w:rsidRPr="00F01024">
              <w:rPr>
                <w:rFonts w:ascii="Segoe UI" w:eastAsia="Times New Roman" w:hAnsi="Segoe UI" w:cs="Segoe UI"/>
                <w:color w:val="666666"/>
                <w:sz w:val="20"/>
                <w:szCs w:val="20"/>
              </w:rPr>
              <w:t xml:space="preserve"> and $401)</w:t>
            </w:r>
          </w:p>
        </w:tc>
        <w:tc>
          <w:tcPr>
            <w:tcW w:w="1096" w:type="dxa"/>
            <w:tcBorders>
              <w:top w:val="nil"/>
              <w:left w:val="nil"/>
              <w:bottom w:val="nil"/>
              <w:right w:val="nil"/>
            </w:tcBorders>
            <w:shd w:val="clear" w:color="auto" w:fill="auto"/>
            <w:noWrap/>
            <w:vAlign w:val="bottom"/>
            <w:hideMark/>
          </w:tcPr>
          <w:p w14:paraId="042DFA0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68 </w:t>
            </w:r>
          </w:p>
        </w:tc>
        <w:tc>
          <w:tcPr>
            <w:tcW w:w="116" w:type="dxa"/>
            <w:tcBorders>
              <w:top w:val="nil"/>
              <w:left w:val="nil"/>
              <w:bottom w:val="nil"/>
              <w:right w:val="nil"/>
            </w:tcBorders>
            <w:shd w:val="clear" w:color="auto" w:fill="auto"/>
            <w:noWrap/>
            <w:vAlign w:val="bottom"/>
            <w:hideMark/>
          </w:tcPr>
          <w:p w14:paraId="72DEA69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2A95E2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278 </w:t>
            </w:r>
          </w:p>
        </w:tc>
        <w:tc>
          <w:tcPr>
            <w:tcW w:w="172" w:type="dxa"/>
            <w:tcBorders>
              <w:top w:val="nil"/>
              <w:left w:val="nil"/>
              <w:bottom w:val="nil"/>
              <w:right w:val="nil"/>
            </w:tcBorders>
            <w:shd w:val="clear" w:color="auto" w:fill="auto"/>
            <w:noWrap/>
            <w:vAlign w:val="bottom"/>
            <w:hideMark/>
          </w:tcPr>
          <w:p w14:paraId="168D9E5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51FF39F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1,502 </w:t>
            </w:r>
          </w:p>
        </w:tc>
        <w:tc>
          <w:tcPr>
            <w:tcW w:w="116" w:type="dxa"/>
            <w:tcBorders>
              <w:top w:val="nil"/>
              <w:left w:val="nil"/>
              <w:bottom w:val="nil"/>
              <w:right w:val="nil"/>
            </w:tcBorders>
            <w:shd w:val="clear" w:color="auto" w:fill="auto"/>
            <w:noWrap/>
            <w:vAlign w:val="bottom"/>
            <w:hideMark/>
          </w:tcPr>
          <w:p w14:paraId="476020A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DD0C78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744 </w:t>
            </w:r>
          </w:p>
        </w:tc>
      </w:tr>
      <w:tr w:rsidR="00A32E9B" w:rsidRPr="00F01024" w14:paraId="4897BA26" w14:textId="77777777" w:rsidTr="0065680A">
        <w:trPr>
          <w:trHeight w:val="1140"/>
        </w:trPr>
        <w:tc>
          <w:tcPr>
            <w:tcW w:w="3196" w:type="dxa"/>
            <w:tcBorders>
              <w:top w:val="nil"/>
              <w:left w:val="nil"/>
              <w:bottom w:val="single" w:sz="4" w:space="0" w:color="auto"/>
              <w:right w:val="nil"/>
            </w:tcBorders>
            <w:shd w:val="clear" w:color="auto" w:fill="auto"/>
            <w:vAlign w:val="bottom"/>
            <w:hideMark/>
          </w:tcPr>
          <w:p w14:paraId="791528E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Translation adjustments and </w:t>
            </w:r>
            <w:r w:rsidRPr="00F01024">
              <w:rPr>
                <w:rFonts w:ascii="Segoe UI" w:eastAsia="Times New Roman" w:hAnsi="Segoe UI" w:cs="Segoe UI"/>
                <w:color w:val="666666"/>
                <w:sz w:val="20"/>
                <w:szCs w:val="20"/>
              </w:rPr>
              <w:br/>
              <w:t xml:space="preserve">      other (net of tax effects </w:t>
            </w:r>
            <w:r w:rsidRPr="00F01024">
              <w:rPr>
                <w:rFonts w:ascii="Segoe UI" w:eastAsia="Times New Roman" w:hAnsi="Segoe UI" w:cs="Segoe UI"/>
                <w:color w:val="666666"/>
                <w:sz w:val="20"/>
                <w:szCs w:val="20"/>
              </w:rPr>
              <w:br/>
              <w:t xml:space="preserve">      of </w:t>
            </w:r>
            <w:r w:rsidRPr="00F01024">
              <w:rPr>
                <w:rFonts w:ascii="Segoe UI" w:eastAsia="Times New Roman" w:hAnsi="Segoe UI" w:cs="Segoe UI"/>
                <w:b/>
                <w:bCs/>
                <w:color w:val="666666"/>
                <w:sz w:val="20"/>
                <w:szCs w:val="20"/>
              </w:rPr>
              <w:t>$9</w:t>
            </w:r>
            <w:r w:rsidRPr="00F01024">
              <w:rPr>
                <w:rFonts w:ascii="Segoe UI" w:eastAsia="Times New Roman" w:hAnsi="Segoe UI" w:cs="Segoe UI"/>
                <w:color w:val="666666"/>
                <w:sz w:val="20"/>
                <w:szCs w:val="20"/>
              </w:rPr>
              <w:t xml:space="preserve">, $(61), </w:t>
            </w:r>
            <w:r w:rsidRPr="00F01024">
              <w:rPr>
                <w:rFonts w:ascii="Segoe UI" w:eastAsia="Times New Roman" w:hAnsi="Segoe UI" w:cs="Segoe UI"/>
                <w:b/>
                <w:bCs/>
                <w:color w:val="666666"/>
                <w:sz w:val="20"/>
                <w:szCs w:val="20"/>
              </w:rPr>
              <w:t>$53</w:t>
            </w:r>
            <w:r w:rsidRPr="00F01024">
              <w:rPr>
                <w:rFonts w:ascii="Segoe UI" w:eastAsia="Times New Roman" w:hAnsi="Segoe UI" w:cs="Segoe UI"/>
                <w:color w:val="666666"/>
                <w:sz w:val="20"/>
                <w:szCs w:val="20"/>
              </w:rPr>
              <w:t xml:space="preserve"> </w:t>
            </w:r>
            <w:r w:rsidRPr="00F01024">
              <w:rPr>
                <w:rFonts w:ascii="Segoe UI" w:eastAsia="Times New Roman" w:hAnsi="Segoe UI" w:cs="Segoe UI"/>
                <w:color w:val="666666"/>
                <w:sz w:val="20"/>
                <w:szCs w:val="20"/>
              </w:rPr>
              <w:br/>
              <w:t xml:space="preserve">      and $31)</w:t>
            </w:r>
          </w:p>
        </w:tc>
        <w:tc>
          <w:tcPr>
            <w:tcW w:w="1096" w:type="dxa"/>
            <w:tcBorders>
              <w:top w:val="nil"/>
              <w:left w:val="nil"/>
              <w:bottom w:val="single" w:sz="4" w:space="0" w:color="auto"/>
              <w:right w:val="nil"/>
            </w:tcBorders>
            <w:shd w:val="clear" w:color="auto" w:fill="auto"/>
            <w:noWrap/>
            <w:vAlign w:val="bottom"/>
            <w:hideMark/>
          </w:tcPr>
          <w:p w14:paraId="3BCEC98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18 </w:t>
            </w:r>
          </w:p>
        </w:tc>
        <w:tc>
          <w:tcPr>
            <w:tcW w:w="116" w:type="dxa"/>
            <w:tcBorders>
              <w:top w:val="nil"/>
              <w:left w:val="nil"/>
              <w:bottom w:val="nil"/>
              <w:right w:val="nil"/>
            </w:tcBorders>
            <w:shd w:val="clear" w:color="auto" w:fill="auto"/>
            <w:noWrap/>
            <w:vAlign w:val="bottom"/>
            <w:hideMark/>
          </w:tcPr>
          <w:p w14:paraId="071564D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ACAFD3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(114)</w:t>
            </w:r>
          </w:p>
        </w:tc>
        <w:tc>
          <w:tcPr>
            <w:tcW w:w="172" w:type="dxa"/>
            <w:tcBorders>
              <w:top w:val="nil"/>
              <w:left w:val="nil"/>
              <w:bottom w:val="nil"/>
              <w:right w:val="nil"/>
            </w:tcBorders>
            <w:shd w:val="clear" w:color="auto" w:fill="auto"/>
            <w:noWrap/>
            <w:vAlign w:val="bottom"/>
            <w:hideMark/>
          </w:tcPr>
          <w:p w14:paraId="3861617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0AE5632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101 </w:t>
            </w:r>
          </w:p>
        </w:tc>
        <w:tc>
          <w:tcPr>
            <w:tcW w:w="116" w:type="dxa"/>
            <w:tcBorders>
              <w:top w:val="nil"/>
              <w:left w:val="nil"/>
              <w:bottom w:val="nil"/>
              <w:right w:val="nil"/>
            </w:tcBorders>
            <w:shd w:val="clear" w:color="auto" w:fill="auto"/>
            <w:noWrap/>
            <w:vAlign w:val="bottom"/>
            <w:hideMark/>
          </w:tcPr>
          <w:p w14:paraId="1D18D2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C58754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58 </w:t>
            </w:r>
          </w:p>
        </w:tc>
      </w:tr>
      <w:tr w:rsidR="00A32E9B" w:rsidRPr="00F01024" w14:paraId="18B6D251" w14:textId="77777777" w:rsidTr="0065680A">
        <w:trPr>
          <w:trHeight w:val="285"/>
        </w:trPr>
        <w:tc>
          <w:tcPr>
            <w:tcW w:w="3196" w:type="dxa"/>
            <w:tcBorders>
              <w:top w:val="nil"/>
              <w:left w:val="nil"/>
              <w:bottom w:val="single" w:sz="4" w:space="0" w:color="auto"/>
              <w:right w:val="nil"/>
            </w:tcBorders>
            <w:shd w:val="clear" w:color="auto" w:fill="auto"/>
            <w:vAlign w:val="bottom"/>
            <w:hideMark/>
          </w:tcPr>
          <w:p w14:paraId="7FCD14B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 comprehensive income</w:t>
            </w:r>
          </w:p>
        </w:tc>
        <w:tc>
          <w:tcPr>
            <w:tcW w:w="1096" w:type="dxa"/>
            <w:tcBorders>
              <w:top w:val="nil"/>
              <w:left w:val="nil"/>
              <w:bottom w:val="single" w:sz="4" w:space="0" w:color="auto"/>
              <w:right w:val="nil"/>
            </w:tcBorders>
            <w:shd w:val="clear" w:color="auto" w:fill="auto"/>
            <w:noWrap/>
            <w:vAlign w:val="bottom"/>
            <w:hideMark/>
          </w:tcPr>
          <w:p w14:paraId="79A1040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55 </w:t>
            </w:r>
          </w:p>
        </w:tc>
        <w:tc>
          <w:tcPr>
            <w:tcW w:w="116" w:type="dxa"/>
            <w:tcBorders>
              <w:top w:val="nil"/>
              <w:left w:val="nil"/>
              <w:bottom w:val="nil"/>
              <w:right w:val="nil"/>
            </w:tcBorders>
            <w:shd w:val="clear" w:color="auto" w:fill="auto"/>
            <w:noWrap/>
            <w:vAlign w:val="bottom"/>
            <w:hideMark/>
          </w:tcPr>
          <w:p w14:paraId="31236B8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36E04FA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199 </w:t>
            </w:r>
          </w:p>
        </w:tc>
        <w:tc>
          <w:tcPr>
            <w:tcW w:w="172" w:type="dxa"/>
            <w:tcBorders>
              <w:top w:val="nil"/>
              <w:left w:val="nil"/>
              <w:bottom w:val="nil"/>
              <w:right w:val="nil"/>
            </w:tcBorders>
            <w:shd w:val="clear" w:color="auto" w:fill="auto"/>
            <w:noWrap/>
            <w:vAlign w:val="bottom"/>
            <w:hideMark/>
          </w:tcPr>
          <w:p w14:paraId="565C124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253532F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1,589 </w:t>
            </w:r>
          </w:p>
        </w:tc>
        <w:tc>
          <w:tcPr>
            <w:tcW w:w="116" w:type="dxa"/>
            <w:tcBorders>
              <w:top w:val="nil"/>
              <w:left w:val="nil"/>
              <w:bottom w:val="nil"/>
              <w:right w:val="nil"/>
            </w:tcBorders>
            <w:shd w:val="clear" w:color="auto" w:fill="auto"/>
            <w:noWrap/>
            <w:vAlign w:val="bottom"/>
            <w:hideMark/>
          </w:tcPr>
          <w:p w14:paraId="04F1D28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4C273F5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783 </w:t>
            </w:r>
          </w:p>
        </w:tc>
      </w:tr>
      <w:tr w:rsidR="00A32E9B" w:rsidRPr="00F01024" w14:paraId="2D8E61EF" w14:textId="77777777" w:rsidTr="0065680A">
        <w:trPr>
          <w:trHeight w:val="300"/>
        </w:trPr>
        <w:tc>
          <w:tcPr>
            <w:tcW w:w="3196" w:type="dxa"/>
            <w:tcBorders>
              <w:top w:val="nil"/>
              <w:left w:val="nil"/>
              <w:bottom w:val="nil"/>
              <w:right w:val="nil"/>
            </w:tcBorders>
            <w:shd w:val="clear" w:color="auto" w:fill="auto"/>
            <w:noWrap/>
            <w:vAlign w:val="bottom"/>
            <w:hideMark/>
          </w:tcPr>
          <w:p w14:paraId="38AF26B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Comprehensive income</w:t>
            </w:r>
          </w:p>
        </w:tc>
        <w:tc>
          <w:tcPr>
            <w:tcW w:w="1096" w:type="dxa"/>
            <w:tcBorders>
              <w:top w:val="nil"/>
              <w:left w:val="nil"/>
              <w:bottom w:val="single" w:sz="8" w:space="0" w:color="auto"/>
              <w:right w:val="nil"/>
            </w:tcBorders>
            <w:shd w:val="clear" w:color="auto" w:fill="auto"/>
            <w:noWrap/>
            <w:vAlign w:val="bottom"/>
            <w:hideMark/>
          </w:tcPr>
          <w:p w14:paraId="326E458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5,715 </w:t>
            </w:r>
          </w:p>
        </w:tc>
        <w:tc>
          <w:tcPr>
            <w:tcW w:w="116" w:type="dxa"/>
            <w:tcBorders>
              <w:top w:val="nil"/>
              <w:left w:val="nil"/>
              <w:bottom w:val="nil"/>
              <w:right w:val="nil"/>
            </w:tcBorders>
            <w:shd w:val="clear" w:color="auto" w:fill="auto"/>
            <w:noWrap/>
            <w:vAlign w:val="bottom"/>
            <w:hideMark/>
          </w:tcPr>
          <w:p w14:paraId="4B6D30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36F2C7E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6,254 </w:t>
            </w:r>
          </w:p>
        </w:tc>
        <w:tc>
          <w:tcPr>
            <w:tcW w:w="172" w:type="dxa"/>
            <w:tcBorders>
              <w:top w:val="nil"/>
              <w:left w:val="nil"/>
              <w:bottom w:val="nil"/>
              <w:right w:val="nil"/>
            </w:tcBorders>
            <w:shd w:val="clear" w:color="auto" w:fill="auto"/>
            <w:noWrap/>
            <w:vAlign w:val="bottom"/>
            <w:hideMark/>
          </w:tcPr>
          <w:p w14:paraId="1AECBB1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8" w:space="0" w:color="auto"/>
              <w:right w:val="nil"/>
            </w:tcBorders>
            <w:shd w:val="clear" w:color="auto" w:fill="auto"/>
            <w:noWrap/>
            <w:vAlign w:val="bottom"/>
            <w:hideMark/>
          </w:tcPr>
          <w:p w14:paraId="06D1719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19,051 </w:t>
            </w:r>
          </w:p>
        </w:tc>
        <w:tc>
          <w:tcPr>
            <w:tcW w:w="116" w:type="dxa"/>
            <w:tcBorders>
              <w:top w:val="nil"/>
              <w:left w:val="nil"/>
              <w:bottom w:val="nil"/>
              <w:right w:val="nil"/>
            </w:tcBorders>
            <w:shd w:val="clear" w:color="auto" w:fill="auto"/>
            <w:noWrap/>
            <w:vAlign w:val="bottom"/>
            <w:hideMark/>
          </w:tcPr>
          <w:p w14:paraId="2BFE7AD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5CBBD95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$17,681 </w:t>
            </w:r>
          </w:p>
        </w:tc>
      </w:tr>
    </w:tbl>
    <w:p w14:paraId="4A4FDA8D" w14:textId="5B9768C7" w:rsidR="0065680A" w:rsidRDefault="0065680A" w:rsidP="00A32E9B"/>
    <w:p w14:paraId="5A9B93C0" w14:textId="77777777" w:rsidR="0065680A" w:rsidRDefault="0065680A">
      <w:r>
        <w:br w:type="page"/>
      </w: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A32E9B" w:rsidRPr="00F01024" w14:paraId="55AA3C69" w14:textId="77777777" w:rsidTr="0065680A">
        <w:trPr>
          <w:trHeight w:val="20"/>
        </w:trPr>
        <w:tc>
          <w:tcPr>
            <w:tcW w:w="5036" w:type="dxa"/>
            <w:tcBorders>
              <w:top w:val="nil"/>
              <w:left w:val="nil"/>
              <w:bottom w:val="nil"/>
              <w:right w:val="nil"/>
            </w:tcBorders>
            <w:shd w:val="clear" w:color="auto" w:fill="auto"/>
            <w:noWrap/>
            <w:vAlign w:val="bottom"/>
            <w:hideMark/>
          </w:tcPr>
          <w:p w14:paraId="74802D0F"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lastRenderedPageBreak/>
              <w:t>MICROSOFT CORPORATION</w:t>
            </w:r>
          </w:p>
        </w:tc>
        <w:tc>
          <w:tcPr>
            <w:tcW w:w="1456" w:type="dxa"/>
            <w:tcBorders>
              <w:top w:val="nil"/>
              <w:left w:val="nil"/>
              <w:bottom w:val="nil"/>
              <w:right w:val="nil"/>
            </w:tcBorders>
            <w:shd w:val="clear" w:color="auto" w:fill="auto"/>
            <w:noWrap/>
            <w:vAlign w:val="bottom"/>
            <w:hideMark/>
          </w:tcPr>
          <w:p w14:paraId="744D907B"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5EACBE96"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24185CBB"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085CCF5D" w14:textId="77777777" w:rsidTr="0065680A">
        <w:trPr>
          <w:trHeight w:val="20"/>
        </w:trPr>
        <w:tc>
          <w:tcPr>
            <w:tcW w:w="5036" w:type="dxa"/>
            <w:tcBorders>
              <w:top w:val="nil"/>
              <w:left w:val="nil"/>
              <w:bottom w:val="nil"/>
              <w:right w:val="nil"/>
            </w:tcBorders>
            <w:shd w:val="clear" w:color="auto" w:fill="auto"/>
            <w:noWrap/>
            <w:vAlign w:val="bottom"/>
            <w:hideMark/>
          </w:tcPr>
          <w:p w14:paraId="7EDC771C"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6AD26DBF"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25C92CE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31CC5EC7"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6F09559D" w14:textId="77777777" w:rsidTr="0065680A">
        <w:trPr>
          <w:trHeight w:val="20"/>
        </w:trPr>
        <w:tc>
          <w:tcPr>
            <w:tcW w:w="7824" w:type="dxa"/>
            <w:gridSpan w:val="4"/>
            <w:tcBorders>
              <w:top w:val="nil"/>
              <w:left w:val="nil"/>
              <w:bottom w:val="nil"/>
              <w:right w:val="nil"/>
            </w:tcBorders>
            <w:shd w:val="clear" w:color="auto" w:fill="auto"/>
            <w:noWrap/>
            <w:vAlign w:val="bottom"/>
            <w:hideMark/>
          </w:tcPr>
          <w:p w14:paraId="6B8BD8CE"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BALANCE SHEETS</w:t>
            </w:r>
          </w:p>
        </w:tc>
      </w:tr>
      <w:tr w:rsidR="00A32E9B" w:rsidRPr="00F01024" w14:paraId="5CA869E0" w14:textId="77777777" w:rsidTr="0065680A">
        <w:trPr>
          <w:trHeight w:val="20"/>
        </w:trPr>
        <w:tc>
          <w:tcPr>
            <w:tcW w:w="7824" w:type="dxa"/>
            <w:gridSpan w:val="4"/>
            <w:tcBorders>
              <w:top w:val="nil"/>
              <w:left w:val="nil"/>
              <w:bottom w:val="nil"/>
              <w:right w:val="nil"/>
            </w:tcBorders>
            <w:shd w:val="clear" w:color="auto" w:fill="auto"/>
            <w:noWrap/>
            <w:vAlign w:val="bottom"/>
            <w:hideMark/>
          </w:tcPr>
          <w:p w14:paraId="54264EC3"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 millions)(Unaudited)</w:t>
            </w:r>
          </w:p>
        </w:tc>
      </w:tr>
      <w:tr w:rsidR="00A32E9B" w:rsidRPr="00F01024" w14:paraId="2CCCD498" w14:textId="77777777" w:rsidTr="0065680A">
        <w:trPr>
          <w:trHeight w:val="20"/>
        </w:trPr>
        <w:tc>
          <w:tcPr>
            <w:tcW w:w="5036" w:type="dxa"/>
            <w:tcBorders>
              <w:top w:val="nil"/>
              <w:left w:val="nil"/>
              <w:bottom w:val="nil"/>
              <w:right w:val="nil"/>
            </w:tcBorders>
            <w:shd w:val="clear" w:color="auto" w:fill="auto"/>
            <w:noWrap/>
            <w:vAlign w:val="bottom"/>
            <w:hideMark/>
          </w:tcPr>
          <w:p w14:paraId="43F2AAD0"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4F8FD1BE"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5B6E3A3E"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2EBD3CA8"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r>
      <w:tr w:rsidR="00A32E9B" w:rsidRPr="00F01024" w14:paraId="3598F44E"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4904A3B5"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vAlign w:val="bottom"/>
            <w:hideMark/>
          </w:tcPr>
          <w:p w14:paraId="5209447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March 31,</w:t>
            </w:r>
            <w:r w:rsidRPr="00F01024">
              <w:rPr>
                <w:rFonts w:ascii="Segoe UI" w:eastAsia="Times New Roman" w:hAnsi="Segoe UI" w:cs="Segoe UI"/>
                <w:b/>
                <w:bCs/>
                <w:color w:val="666666"/>
                <w:sz w:val="20"/>
                <w:szCs w:val="20"/>
              </w:rPr>
              <w:br/>
              <w:t>2014</w:t>
            </w:r>
          </w:p>
        </w:tc>
        <w:tc>
          <w:tcPr>
            <w:tcW w:w="196" w:type="dxa"/>
            <w:tcBorders>
              <w:top w:val="nil"/>
              <w:left w:val="nil"/>
              <w:bottom w:val="single" w:sz="4" w:space="0" w:color="auto"/>
              <w:right w:val="nil"/>
            </w:tcBorders>
            <w:shd w:val="clear" w:color="auto" w:fill="auto"/>
            <w:vAlign w:val="bottom"/>
            <w:hideMark/>
          </w:tcPr>
          <w:p w14:paraId="4893C69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vAlign w:val="bottom"/>
            <w:hideMark/>
          </w:tcPr>
          <w:p w14:paraId="6837893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June 30, 2013</w:t>
            </w:r>
          </w:p>
        </w:tc>
      </w:tr>
      <w:tr w:rsidR="00A32E9B" w:rsidRPr="00F01024" w14:paraId="4BD47484" w14:textId="77777777" w:rsidTr="0065680A">
        <w:trPr>
          <w:trHeight w:val="20"/>
        </w:trPr>
        <w:tc>
          <w:tcPr>
            <w:tcW w:w="5036" w:type="dxa"/>
            <w:tcBorders>
              <w:top w:val="nil"/>
              <w:left w:val="nil"/>
              <w:bottom w:val="nil"/>
              <w:right w:val="nil"/>
            </w:tcBorders>
            <w:shd w:val="clear" w:color="auto" w:fill="auto"/>
            <w:noWrap/>
            <w:vAlign w:val="bottom"/>
            <w:hideMark/>
          </w:tcPr>
          <w:p w14:paraId="47E11393"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Assets</w:t>
            </w:r>
          </w:p>
        </w:tc>
        <w:tc>
          <w:tcPr>
            <w:tcW w:w="1456" w:type="dxa"/>
            <w:tcBorders>
              <w:top w:val="nil"/>
              <w:left w:val="nil"/>
              <w:bottom w:val="nil"/>
              <w:right w:val="nil"/>
            </w:tcBorders>
            <w:shd w:val="clear" w:color="auto" w:fill="auto"/>
            <w:vAlign w:val="bottom"/>
            <w:hideMark/>
          </w:tcPr>
          <w:p w14:paraId="20B8D3EF"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6DA73005"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41EA127F"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2BC54EDC" w14:textId="77777777" w:rsidTr="0065680A">
        <w:trPr>
          <w:trHeight w:val="20"/>
        </w:trPr>
        <w:tc>
          <w:tcPr>
            <w:tcW w:w="5036" w:type="dxa"/>
            <w:tcBorders>
              <w:top w:val="nil"/>
              <w:left w:val="nil"/>
              <w:bottom w:val="nil"/>
              <w:right w:val="nil"/>
            </w:tcBorders>
            <w:shd w:val="clear" w:color="auto" w:fill="auto"/>
            <w:noWrap/>
            <w:vAlign w:val="bottom"/>
            <w:hideMark/>
          </w:tcPr>
          <w:p w14:paraId="3086D8C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Current assets:</w:t>
            </w:r>
          </w:p>
        </w:tc>
        <w:tc>
          <w:tcPr>
            <w:tcW w:w="1456" w:type="dxa"/>
            <w:tcBorders>
              <w:top w:val="nil"/>
              <w:left w:val="nil"/>
              <w:bottom w:val="nil"/>
              <w:right w:val="nil"/>
            </w:tcBorders>
            <w:shd w:val="clear" w:color="auto" w:fill="auto"/>
            <w:noWrap/>
            <w:vAlign w:val="bottom"/>
            <w:hideMark/>
          </w:tcPr>
          <w:p w14:paraId="40360DB3"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74B85E98"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6011F3DD"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28F5DEFA" w14:textId="77777777" w:rsidTr="0065680A">
        <w:trPr>
          <w:trHeight w:val="20"/>
        </w:trPr>
        <w:tc>
          <w:tcPr>
            <w:tcW w:w="5036" w:type="dxa"/>
            <w:tcBorders>
              <w:top w:val="nil"/>
              <w:left w:val="nil"/>
              <w:bottom w:val="nil"/>
              <w:right w:val="nil"/>
            </w:tcBorders>
            <w:shd w:val="clear" w:color="auto" w:fill="auto"/>
            <w:noWrap/>
            <w:vAlign w:val="bottom"/>
            <w:hideMark/>
          </w:tcPr>
          <w:p w14:paraId="4B6F252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Cash and cash equivalents</w:t>
            </w:r>
          </w:p>
        </w:tc>
        <w:tc>
          <w:tcPr>
            <w:tcW w:w="1456" w:type="dxa"/>
            <w:tcBorders>
              <w:top w:val="nil"/>
              <w:left w:val="nil"/>
              <w:bottom w:val="nil"/>
              <w:right w:val="nil"/>
            </w:tcBorders>
            <w:shd w:val="clear" w:color="auto" w:fill="auto"/>
            <w:noWrap/>
            <w:vAlign w:val="bottom"/>
            <w:hideMark/>
          </w:tcPr>
          <w:p w14:paraId="01F09A0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11,572 </w:t>
            </w:r>
          </w:p>
        </w:tc>
        <w:tc>
          <w:tcPr>
            <w:tcW w:w="196" w:type="dxa"/>
            <w:tcBorders>
              <w:top w:val="nil"/>
              <w:left w:val="nil"/>
              <w:bottom w:val="nil"/>
              <w:right w:val="nil"/>
            </w:tcBorders>
            <w:shd w:val="clear" w:color="auto" w:fill="auto"/>
            <w:noWrap/>
            <w:vAlign w:val="bottom"/>
            <w:hideMark/>
          </w:tcPr>
          <w:p w14:paraId="065241C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CB3635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3,804 </w:t>
            </w:r>
          </w:p>
        </w:tc>
      </w:tr>
      <w:tr w:rsidR="00A32E9B" w:rsidRPr="00F01024" w14:paraId="50215608" w14:textId="77777777" w:rsidTr="0065680A">
        <w:trPr>
          <w:trHeight w:val="20"/>
        </w:trPr>
        <w:tc>
          <w:tcPr>
            <w:tcW w:w="5036" w:type="dxa"/>
            <w:tcBorders>
              <w:top w:val="nil"/>
              <w:left w:val="nil"/>
              <w:bottom w:val="single" w:sz="4" w:space="0" w:color="auto"/>
              <w:right w:val="nil"/>
            </w:tcBorders>
            <w:shd w:val="clear" w:color="auto" w:fill="auto"/>
            <w:vAlign w:val="bottom"/>
            <w:hideMark/>
          </w:tcPr>
          <w:p w14:paraId="7B77EF2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Short-term investments (including securities</w:t>
            </w:r>
            <w:r w:rsidRPr="00F01024">
              <w:rPr>
                <w:rFonts w:ascii="Segoe UI" w:eastAsia="Times New Roman" w:hAnsi="Segoe UI" w:cs="Segoe UI"/>
                <w:color w:val="666666"/>
                <w:sz w:val="20"/>
                <w:szCs w:val="20"/>
              </w:rPr>
              <w:br/>
              <w:t xml:space="preserve">    loaned of </w:t>
            </w:r>
            <w:r w:rsidRPr="00F01024">
              <w:rPr>
                <w:rFonts w:ascii="Segoe UI" w:eastAsia="Times New Roman" w:hAnsi="Segoe UI" w:cs="Segoe UI"/>
                <w:b/>
                <w:bCs/>
                <w:color w:val="666666"/>
                <w:sz w:val="20"/>
                <w:szCs w:val="20"/>
              </w:rPr>
              <w:t>$707</w:t>
            </w:r>
            <w:r w:rsidRPr="00F01024">
              <w:rPr>
                <w:rFonts w:ascii="Segoe UI" w:eastAsia="Times New Roman" w:hAnsi="Segoe UI" w:cs="Segoe UI"/>
                <w:color w:val="666666"/>
                <w:sz w:val="20"/>
                <w:szCs w:val="20"/>
              </w:rPr>
              <w:t xml:space="preserve"> and $579)</w:t>
            </w:r>
          </w:p>
        </w:tc>
        <w:tc>
          <w:tcPr>
            <w:tcW w:w="1456" w:type="dxa"/>
            <w:tcBorders>
              <w:top w:val="nil"/>
              <w:left w:val="nil"/>
              <w:bottom w:val="single" w:sz="4" w:space="0" w:color="auto"/>
              <w:right w:val="nil"/>
            </w:tcBorders>
            <w:shd w:val="clear" w:color="auto" w:fill="auto"/>
            <w:noWrap/>
            <w:vAlign w:val="bottom"/>
            <w:hideMark/>
          </w:tcPr>
          <w:p w14:paraId="431DA01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76,853 </w:t>
            </w:r>
          </w:p>
        </w:tc>
        <w:tc>
          <w:tcPr>
            <w:tcW w:w="196" w:type="dxa"/>
            <w:tcBorders>
              <w:top w:val="nil"/>
              <w:left w:val="nil"/>
              <w:bottom w:val="nil"/>
              <w:right w:val="nil"/>
            </w:tcBorders>
            <w:shd w:val="clear" w:color="auto" w:fill="auto"/>
            <w:noWrap/>
            <w:vAlign w:val="bottom"/>
            <w:hideMark/>
          </w:tcPr>
          <w:p w14:paraId="62926A9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2610087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73,218 </w:t>
            </w:r>
          </w:p>
        </w:tc>
      </w:tr>
      <w:tr w:rsidR="00A32E9B" w:rsidRPr="00F01024" w14:paraId="7CE72DE0" w14:textId="77777777" w:rsidTr="0065680A">
        <w:trPr>
          <w:trHeight w:val="20"/>
        </w:trPr>
        <w:tc>
          <w:tcPr>
            <w:tcW w:w="5036" w:type="dxa"/>
            <w:tcBorders>
              <w:top w:val="nil"/>
              <w:left w:val="nil"/>
              <w:bottom w:val="nil"/>
              <w:right w:val="nil"/>
            </w:tcBorders>
            <w:shd w:val="clear" w:color="auto" w:fill="auto"/>
            <w:vAlign w:val="bottom"/>
            <w:hideMark/>
          </w:tcPr>
          <w:p w14:paraId="29EE4F7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cash, cash equivalents, and short-term </w:t>
            </w:r>
            <w:r w:rsidRPr="00F01024">
              <w:rPr>
                <w:rFonts w:ascii="Segoe UI" w:eastAsia="Times New Roman" w:hAnsi="Segoe UI" w:cs="Segoe UI"/>
                <w:color w:val="666666"/>
                <w:sz w:val="20"/>
                <w:szCs w:val="20"/>
              </w:rPr>
              <w:br/>
              <w:t xml:space="preserve">      investments</w:t>
            </w:r>
          </w:p>
        </w:tc>
        <w:tc>
          <w:tcPr>
            <w:tcW w:w="1456" w:type="dxa"/>
            <w:tcBorders>
              <w:top w:val="nil"/>
              <w:left w:val="nil"/>
              <w:bottom w:val="nil"/>
              <w:right w:val="nil"/>
            </w:tcBorders>
            <w:shd w:val="clear" w:color="auto" w:fill="auto"/>
            <w:noWrap/>
            <w:vAlign w:val="bottom"/>
            <w:hideMark/>
          </w:tcPr>
          <w:p w14:paraId="366B6AE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88,425 </w:t>
            </w:r>
          </w:p>
        </w:tc>
        <w:tc>
          <w:tcPr>
            <w:tcW w:w="196" w:type="dxa"/>
            <w:tcBorders>
              <w:top w:val="nil"/>
              <w:left w:val="nil"/>
              <w:bottom w:val="nil"/>
              <w:right w:val="nil"/>
            </w:tcBorders>
            <w:shd w:val="clear" w:color="auto" w:fill="auto"/>
            <w:noWrap/>
            <w:vAlign w:val="bottom"/>
            <w:hideMark/>
          </w:tcPr>
          <w:p w14:paraId="51F14EF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16EA61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77,022 </w:t>
            </w:r>
          </w:p>
        </w:tc>
      </w:tr>
      <w:tr w:rsidR="00A32E9B" w:rsidRPr="00F01024" w14:paraId="46B2DE17" w14:textId="77777777" w:rsidTr="0065680A">
        <w:trPr>
          <w:trHeight w:val="20"/>
        </w:trPr>
        <w:tc>
          <w:tcPr>
            <w:tcW w:w="5036" w:type="dxa"/>
            <w:tcBorders>
              <w:top w:val="nil"/>
              <w:left w:val="nil"/>
              <w:bottom w:val="nil"/>
              <w:right w:val="nil"/>
            </w:tcBorders>
            <w:shd w:val="clear" w:color="auto" w:fill="auto"/>
            <w:vAlign w:val="bottom"/>
            <w:hideMark/>
          </w:tcPr>
          <w:p w14:paraId="4BD7E2E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Accounts receivable, net of allowance for doubtful</w:t>
            </w:r>
            <w:r w:rsidRPr="00F01024">
              <w:rPr>
                <w:rFonts w:ascii="Segoe UI" w:eastAsia="Times New Roman" w:hAnsi="Segoe UI" w:cs="Segoe UI"/>
                <w:color w:val="666666"/>
                <w:sz w:val="20"/>
                <w:szCs w:val="20"/>
              </w:rPr>
              <w:br/>
              <w:t xml:space="preserve">    accounts of </w:t>
            </w:r>
            <w:r w:rsidRPr="00F01024">
              <w:rPr>
                <w:rFonts w:ascii="Segoe UI" w:eastAsia="Times New Roman" w:hAnsi="Segoe UI" w:cs="Segoe UI"/>
                <w:b/>
                <w:bCs/>
                <w:color w:val="666666"/>
                <w:sz w:val="20"/>
                <w:szCs w:val="20"/>
              </w:rPr>
              <w:t>$255</w:t>
            </w:r>
            <w:r w:rsidRPr="00F01024">
              <w:rPr>
                <w:rFonts w:ascii="Segoe UI" w:eastAsia="Times New Roman" w:hAnsi="Segoe UI" w:cs="Segoe UI"/>
                <w:color w:val="666666"/>
                <w:sz w:val="20"/>
                <w:szCs w:val="20"/>
              </w:rPr>
              <w:t xml:space="preserve"> and $336</w:t>
            </w:r>
          </w:p>
        </w:tc>
        <w:tc>
          <w:tcPr>
            <w:tcW w:w="1456" w:type="dxa"/>
            <w:tcBorders>
              <w:top w:val="nil"/>
              <w:left w:val="nil"/>
              <w:bottom w:val="nil"/>
              <w:right w:val="nil"/>
            </w:tcBorders>
            <w:shd w:val="clear" w:color="auto" w:fill="auto"/>
            <w:noWrap/>
            <w:vAlign w:val="bottom"/>
            <w:hideMark/>
          </w:tcPr>
          <w:p w14:paraId="3429CEB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13,497 </w:t>
            </w:r>
          </w:p>
        </w:tc>
        <w:tc>
          <w:tcPr>
            <w:tcW w:w="196" w:type="dxa"/>
            <w:tcBorders>
              <w:top w:val="nil"/>
              <w:left w:val="nil"/>
              <w:bottom w:val="nil"/>
              <w:right w:val="nil"/>
            </w:tcBorders>
            <w:shd w:val="clear" w:color="auto" w:fill="auto"/>
            <w:noWrap/>
            <w:vAlign w:val="bottom"/>
            <w:hideMark/>
          </w:tcPr>
          <w:p w14:paraId="42EBAE1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682E5B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17,486 </w:t>
            </w:r>
          </w:p>
        </w:tc>
      </w:tr>
      <w:tr w:rsidR="00A32E9B" w:rsidRPr="00F01024" w14:paraId="2FF92C40" w14:textId="77777777" w:rsidTr="0065680A">
        <w:trPr>
          <w:trHeight w:val="20"/>
        </w:trPr>
        <w:tc>
          <w:tcPr>
            <w:tcW w:w="5036" w:type="dxa"/>
            <w:tcBorders>
              <w:top w:val="nil"/>
              <w:left w:val="nil"/>
              <w:bottom w:val="nil"/>
              <w:right w:val="nil"/>
            </w:tcBorders>
            <w:shd w:val="clear" w:color="auto" w:fill="auto"/>
            <w:noWrap/>
            <w:vAlign w:val="bottom"/>
            <w:hideMark/>
          </w:tcPr>
          <w:p w14:paraId="56FEFEEE"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Inventories</w:t>
            </w:r>
          </w:p>
        </w:tc>
        <w:tc>
          <w:tcPr>
            <w:tcW w:w="1456" w:type="dxa"/>
            <w:tcBorders>
              <w:top w:val="nil"/>
              <w:left w:val="nil"/>
              <w:bottom w:val="nil"/>
              <w:right w:val="nil"/>
            </w:tcBorders>
            <w:shd w:val="clear" w:color="auto" w:fill="auto"/>
            <w:noWrap/>
            <w:vAlign w:val="bottom"/>
            <w:hideMark/>
          </w:tcPr>
          <w:p w14:paraId="0F86E3D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1,920 </w:t>
            </w:r>
          </w:p>
        </w:tc>
        <w:tc>
          <w:tcPr>
            <w:tcW w:w="196" w:type="dxa"/>
            <w:tcBorders>
              <w:top w:val="nil"/>
              <w:left w:val="nil"/>
              <w:bottom w:val="nil"/>
              <w:right w:val="nil"/>
            </w:tcBorders>
            <w:shd w:val="clear" w:color="auto" w:fill="auto"/>
            <w:noWrap/>
            <w:vAlign w:val="bottom"/>
            <w:hideMark/>
          </w:tcPr>
          <w:p w14:paraId="44DFF18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E42490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1,938 </w:t>
            </w:r>
          </w:p>
        </w:tc>
      </w:tr>
      <w:tr w:rsidR="00A32E9B" w:rsidRPr="00F01024" w14:paraId="08040FEA" w14:textId="77777777" w:rsidTr="0065680A">
        <w:trPr>
          <w:trHeight w:val="20"/>
        </w:trPr>
        <w:tc>
          <w:tcPr>
            <w:tcW w:w="5036" w:type="dxa"/>
            <w:tcBorders>
              <w:top w:val="nil"/>
              <w:left w:val="nil"/>
              <w:bottom w:val="nil"/>
              <w:right w:val="nil"/>
            </w:tcBorders>
            <w:shd w:val="clear" w:color="auto" w:fill="auto"/>
            <w:noWrap/>
            <w:vAlign w:val="bottom"/>
            <w:hideMark/>
          </w:tcPr>
          <w:p w14:paraId="0523536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Deferred income taxes</w:t>
            </w:r>
          </w:p>
        </w:tc>
        <w:tc>
          <w:tcPr>
            <w:tcW w:w="1456" w:type="dxa"/>
            <w:tcBorders>
              <w:top w:val="nil"/>
              <w:left w:val="nil"/>
              <w:bottom w:val="nil"/>
              <w:right w:val="nil"/>
            </w:tcBorders>
            <w:shd w:val="clear" w:color="auto" w:fill="auto"/>
            <w:noWrap/>
            <w:vAlign w:val="bottom"/>
            <w:hideMark/>
          </w:tcPr>
          <w:p w14:paraId="3742E96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1,424 </w:t>
            </w:r>
          </w:p>
        </w:tc>
        <w:tc>
          <w:tcPr>
            <w:tcW w:w="196" w:type="dxa"/>
            <w:tcBorders>
              <w:top w:val="nil"/>
              <w:left w:val="nil"/>
              <w:bottom w:val="nil"/>
              <w:right w:val="nil"/>
            </w:tcBorders>
            <w:shd w:val="clear" w:color="auto" w:fill="auto"/>
            <w:noWrap/>
            <w:vAlign w:val="bottom"/>
            <w:hideMark/>
          </w:tcPr>
          <w:p w14:paraId="1D004E7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FCDDF8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1,632 </w:t>
            </w:r>
          </w:p>
        </w:tc>
      </w:tr>
      <w:tr w:rsidR="00A32E9B" w:rsidRPr="00F01024" w14:paraId="4DEE49D7" w14:textId="77777777" w:rsidTr="0065680A">
        <w:trPr>
          <w:trHeight w:val="20"/>
        </w:trPr>
        <w:tc>
          <w:tcPr>
            <w:tcW w:w="5036" w:type="dxa"/>
            <w:tcBorders>
              <w:top w:val="nil"/>
              <w:left w:val="nil"/>
              <w:bottom w:val="single" w:sz="4" w:space="0" w:color="auto"/>
              <w:right w:val="nil"/>
            </w:tcBorders>
            <w:shd w:val="clear" w:color="auto" w:fill="auto"/>
            <w:noWrap/>
            <w:vAlign w:val="center"/>
            <w:hideMark/>
          </w:tcPr>
          <w:p w14:paraId="1EE3326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w:t>
            </w:r>
          </w:p>
        </w:tc>
        <w:tc>
          <w:tcPr>
            <w:tcW w:w="1456" w:type="dxa"/>
            <w:tcBorders>
              <w:top w:val="nil"/>
              <w:left w:val="nil"/>
              <w:bottom w:val="single" w:sz="4" w:space="0" w:color="auto"/>
              <w:right w:val="nil"/>
            </w:tcBorders>
            <w:shd w:val="clear" w:color="auto" w:fill="auto"/>
            <w:noWrap/>
            <w:vAlign w:val="bottom"/>
            <w:hideMark/>
          </w:tcPr>
          <w:p w14:paraId="0D10EA8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3,740 </w:t>
            </w:r>
          </w:p>
        </w:tc>
        <w:tc>
          <w:tcPr>
            <w:tcW w:w="196" w:type="dxa"/>
            <w:tcBorders>
              <w:top w:val="nil"/>
              <w:left w:val="nil"/>
              <w:bottom w:val="nil"/>
              <w:right w:val="nil"/>
            </w:tcBorders>
            <w:shd w:val="clear" w:color="auto" w:fill="auto"/>
            <w:noWrap/>
            <w:vAlign w:val="bottom"/>
            <w:hideMark/>
          </w:tcPr>
          <w:p w14:paraId="5D0188A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1EE4E33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3,388 </w:t>
            </w:r>
          </w:p>
        </w:tc>
      </w:tr>
      <w:tr w:rsidR="00A32E9B" w:rsidRPr="00F01024" w14:paraId="40F3BBE5" w14:textId="77777777" w:rsidTr="0065680A">
        <w:trPr>
          <w:trHeight w:val="20"/>
        </w:trPr>
        <w:tc>
          <w:tcPr>
            <w:tcW w:w="5036" w:type="dxa"/>
            <w:tcBorders>
              <w:top w:val="nil"/>
              <w:left w:val="nil"/>
              <w:bottom w:val="nil"/>
              <w:right w:val="nil"/>
            </w:tcBorders>
            <w:shd w:val="clear" w:color="auto" w:fill="auto"/>
            <w:noWrap/>
            <w:vAlign w:val="bottom"/>
            <w:hideMark/>
          </w:tcPr>
          <w:p w14:paraId="49939D2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current assets</w:t>
            </w:r>
          </w:p>
        </w:tc>
        <w:tc>
          <w:tcPr>
            <w:tcW w:w="1456" w:type="dxa"/>
            <w:tcBorders>
              <w:top w:val="nil"/>
              <w:left w:val="nil"/>
              <w:bottom w:val="nil"/>
              <w:right w:val="nil"/>
            </w:tcBorders>
            <w:shd w:val="clear" w:color="auto" w:fill="auto"/>
            <w:noWrap/>
            <w:vAlign w:val="bottom"/>
            <w:hideMark/>
          </w:tcPr>
          <w:p w14:paraId="3F0128D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109,006 </w:t>
            </w:r>
          </w:p>
        </w:tc>
        <w:tc>
          <w:tcPr>
            <w:tcW w:w="196" w:type="dxa"/>
            <w:tcBorders>
              <w:top w:val="nil"/>
              <w:left w:val="nil"/>
              <w:bottom w:val="nil"/>
              <w:right w:val="nil"/>
            </w:tcBorders>
            <w:shd w:val="clear" w:color="auto" w:fill="auto"/>
            <w:noWrap/>
            <w:vAlign w:val="bottom"/>
            <w:hideMark/>
          </w:tcPr>
          <w:p w14:paraId="2A890FC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7303F2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101,466 </w:t>
            </w:r>
          </w:p>
        </w:tc>
      </w:tr>
      <w:tr w:rsidR="00A32E9B" w:rsidRPr="00F01024" w14:paraId="70FAE43E" w14:textId="77777777" w:rsidTr="0065680A">
        <w:trPr>
          <w:trHeight w:val="20"/>
        </w:trPr>
        <w:tc>
          <w:tcPr>
            <w:tcW w:w="5036" w:type="dxa"/>
            <w:tcBorders>
              <w:top w:val="nil"/>
              <w:left w:val="nil"/>
              <w:bottom w:val="nil"/>
              <w:right w:val="nil"/>
            </w:tcBorders>
            <w:shd w:val="clear" w:color="auto" w:fill="auto"/>
            <w:vAlign w:val="bottom"/>
            <w:hideMark/>
          </w:tcPr>
          <w:p w14:paraId="617C1C4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Property and equipment, net of accumulated</w:t>
            </w:r>
            <w:r w:rsidRPr="00F01024">
              <w:rPr>
                <w:rFonts w:ascii="Segoe UI" w:eastAsia="Times New Roman" w:hAnsi="Segoe UI" w:cs="Segoe UI"/>
                <w:color w:val="666666"/>
                <w:sz w:val="20"/>
                <w:szCs w:val="20"/>
              </w:rPr>
              <w:br/>
              <w:t xml:space="preserve">  depreciation of </w:t>
            </w:r>
            <w:r w:rsidRPr="00F01024">
              <w:rPr>
                <w:rFonts w:ascii="Segoe UI" w:eastAsia="Times New Roman" w:hAnsi="Segoe UI" w:cs="Segoe UI"/>
                <w:b/>
                <w:bCs/>
                <w:color w:val="666666"/>
                <w:sz w:val="20"/>
                <w:szCs w:val="20"/>
              </w:rPr>
              <w:t>$14,441</w:t>
            </w:r>
            <w:r w:rsidRPr="00F01024">
              <w:rPr>
                <w:rFonts w:ascii="Segoe UI" w:eastAsia="Times New Roman" w:hAnsi="Segoe UI" w:cs="Segoe UI"/>
                <w:color w:val="666666"/>
                <w:sz w:val="20"/>
                <w:szCs w:val="20"/>
              </w:rPr>
              <w:t xml:space="preserve"> and $12,513</w:t>
            </w:r>
          </w:p>
        </w:tc>
        <w:tc>
          <w:tcPr>
            <w:tcW w:w="1456" w:type="dxa"/>
            <w:tcBorders>
              <w:top w:val="nil"/>
              <w:left w:val="nil"/>
              <w:bottom w:val="nil"/>
              <w:right w:val="nil"/>
            </w:tcBorders>
            <w:shd w:val="clear" w:color="auto" w:fill="auto"/>
            <w:noWrap/>
            <w:vAlign w:val="bottom"/>
            <w:hideMark/>
          </w:tcPr>
          <w:p w14:paraId="7155B2B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11,771 </w:t>
            </w:r>
          </w:p>
        </w:tc>
        <w:tc>
          <w:tcPr>
            <w:tcW w:w="196" w:type="dxa"/>
            <w:tcBorders>
              <w:top w:val="nil"/>
              <w:left w:val="nil"/>
              <w:bottom w:val="nil"/>
              <w:right w:val="nil"/>
            </w:tcBorders>
            <w:shd w:val="clear" w:color="auto" w:fill="auto"/>
            <w:noWrap/>
            <w:vAlign w:val="bottom"/>
            <w:hideMark/>
          </w:tcPr>
          <w:p w14:paraId="7FB54DD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97963E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9,991 </w:t>
            </w:r>
          </w:p>
        </w:tc>
      </w:tr>
      <w:tr w:rsidR="00A32E9B" w:rsidRPr="00F01024" w14:paraId="6159644F" w14:textId="77777777" w:rsidTr="0065680A">
        <w:trPr>
          <w:trHeight w:val="20"/>
        </w:trPr>
        <w:tc>
          <w:tcPr>
            <w:tcW w:w="5036" w:type="dxa"/>
            <w:tcBorders>
              <w:top w:val="nil"/>
              <w:left w:val="nil"/>
              <w:bottom w:val="nil"/>
              <w:right w:val="nil"/>
            </w:tcBorders>
            <w:shd w:val="clear" w:color="auto" w:fill="auto"/>
            <w:noWrap/>
            <w:vAlign w:val="bottom"/>
            <w:hideMark/>
          </w:tcPr>
          <w:p w14:paraId="64130F5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Equity and other investments</w:t>
            </w:r>
          </w:p>
        </w:tc>
        <w:tc>
          <w:tcPr>
            <w:tcW w:w="1456" w:type="dxa"/>
            <w:tcBorders>
              <w:top w:val="nil"/>
              <w:left w:val="nil"/>
              <w:bottom w:val="nil"/>
              <w:right w:val="nil"/>
            </w:tcBorders>
            <w:shd w:val="clear" w:color="auto" w:fill="auto"/>
            <w:noWrap/>
            <w:vAlign w:val="bottom"/>
            <w:hideMark/>
          </w:tcPr>
          <w:p w14:paraId="4A4151E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14,792 </w:t>
            </w:r>
          </w:p>
        </w:tc>
        <w:tc>
          <w:tcPr>
            <w:tcW w:w="196" w:type="dxa"/>
            <w:tcBorders>
              <w:top w:val="nil"/>
              <w:left w:val="nil"/>
              <w:bottom w:val="nil"/>
              <w:right w:val="nil"/>
            </w:tcBorders>
            <w:shd w:val="clear" w:color="auto" w:fill="auto"/>
            <w:noWrap/>
            <w:vAlign w:val="bottom"/>
            <w:hideMark/>
          </w:tcPr>
          <w:p w14:paraId="46EFF31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E4CBF7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10,844 </w:t>
            </w:r>
          </w:p>
        </w:tc>
      </w:tr>
      <w:tr w:rsidR="00A32E9B" w:rsidRPr="00F01024" w14:paraId="26E7D3A2" w14:textId="77777777" w:rsidTr="0065680A">
        <w:trPr>
          <w:trHeight w:val="20"/>
        </w:trPr>
        <w:tc>
          <w:tcPr>
            <w:tcW w:w="5036" w:type="dxa"/>
            <w:tcBorders>
              <w:top w:val="nil"/>
              <w:left w:val="nil"/>
              <w:bottom w:val="nil"/>
              <w:right w:val="nil"/>
            </w:tcBorders>
            <w:shd w:val="clear" w:color="auto" w:fill="auto"/>
            <w:noWrap/>
            <w:vAlign w:val="bottom"/>
            <w:hideMark/>
          </w:tcPr>
          <w:p w14:paraId="3D6A1A1E"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Goodwill</w:t>
            </w:r>
          </w:p>
        </w:tc>
        <w:tc>
          <w:tcPr>
            <w:tcW w:w="1456" w:type="dxa"/>
            <w:tcBorders>
              <w:top w:val="nil"/>
              <w:left w:val="nil"/>
              <w:bottom w:val="nil"/>
              <w:right w:val="nil"/>
            </w:tcBorders>
            <w:shd w:val="clear" w:color="auto" w:fill="auto"/>
            <w:noWrap/>
            <w:vAlign w:val="bottom"/>
            <w:hideMark/>
          </w:tcPr>
          <w:p w14:paraId="2A78CE8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14,751 </w:t>
            </w:r>
          </w:p>
        </w:tc>
        <w:tc>
          <w:tcPr>
            <w:tcW w:w="196" w:type="dxa"/>
            <w:tcBorders>
              <w:top w:val="nil"/>
              <w:left w:val="nil"/>
              <w:bottom w:val="nil"/>
              <w:right w:val="nil"/>
            </w:tcBorders>
            <w:shd w:val="clear" w:color="auto" w:fill="auto"/>
            <w:noWrap/>
            <w:vAlign w:val="bottom"/>
            <w:hideMark/>
          </w:tcPr>
          <w:p w14:paraId="77991FB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8635CB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14,655 </w:t>
            </w:r>
          </w:p>
        </w:tc>
      </w:tr>
      <w:tr w:rsidR="00A32E9B" w:rsidRPr="00F01024" w14:paraId="4848850D" w14:textId="77777777" w:rsidTr="0065680A">
        <w:trPr>
          <w:trHeight w:val="20"/>
        </w:trPr>
        <w:tc>
          <w:tcPr>
            <w:tcW w:w="5036" w:type="dxa"/>
            <w:tcBorders>
              <w:top w:val="nil"/>
              <w:left w:val="nil"/>
              <w:bottom w:val="nil"/>
              <w:right w:val="nil"/>
            </w:tcBorders>
            <w:shd w:val="clear" w:color="auto" w:fill="auto"/>
            <w:noWrap/>
            <w:vAlign w:val="bottom"/>
            <w:hideMark/>
          </w:tcPr>
          <w:p w14:paraId="26AEC5D2"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Intangible assets, net</w:t>
            </w:r>
          </w:p>
        </w:tc>
        <w:tc>
          <w:tcPr>
            <w:tcW w:w="1456" w:type="dxa"/>
            <w:tcBorders>
              <w:top w:val="nil"/>
              <w:left w:val="nil"/>
              <w:bottom w:val="nil"/>
              <w:right w:val="nil"/>
            </w:tcBorders>
            <w:shd w:val="clear" w:color="auto" w:fill="auto"/>
            <w:noWrap/>
            <w:vAlign w:val="bottom"/>
            <w:hideMark/>
          </w:tcPr>
          <w:p w14:paraId="19E7C63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2,901 </w:t>
            </w:r>
          </w:p>
        </w:tc>
        <w:tc>
          <w:tcPr>
            <w:tcW w:w="196" w:type="dxa"/>
            <w:tcBorders>
              <w:top w:val="nil"/>
              <w:left w:val="nil"/>
              <w:bottom w:val="nil"/>
              <w:right w:val="nil"/>
            </w:tcBorders>
            <w:shd w:val="clear" w:color="auto" w:fill="auto"/>
            <w:noWrap/>
            <w:vAlign w:val="bottom"/>
            <w:hideMark/>
          </w:tcPr>
          <w:p w14:paraId="6BABAC9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40894F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3,083 </w:t>
            </w:r>
          </w:p>
        </w:tc>
      </w:tr>
      <w:tr w:rsidR="00A32E9B" w:rsidRPr="00F01024" w14:paraId="6251391F"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2125271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Other long-term assets</w:t>
            </w:r>
          </w:p>
        </w:tc>
        <w:tc>
          <w:tcPr>
            <w:tcW w:w="1456" w:type="dxa"/>
            <w:tcBorders>
              <w:top w:val="nil"/>
              <w:left w:val="nil"/>
              <w:bottom w:val="single" w:sz="4" w:space="0" w:color="auto"/>
              <w:right w:val="nil"/>
            </w:tcBorders>
            <w:shd w:val="clear" w:color="auto" w:fill="auto"/>
            <w:noWrap/>
            <w:vAlign w:val="bottom"/>
            <w:hideMark/>
          </w:tcPr>
          <w:p w14:paraId="2958FE9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2,898 </w:t>
            </w:r>
          </w:p>
        </w:tc>
        <w:tc>
          <w:tcPr>
            <w:tcW w:w="196" w:type="dxa"/>
            <w:tcBorders>
              <w:top w:val="nil"/>
              <w:left w:val="nil"/>
              <w:bottom w:val="nil"/>
              <w:right w:val="nil"/>
            </w:tcBorders>
            <w:shd w:val="clear" w:color="auto" w:fill="auto"/>
            <w:noWrap/>
            <w:vAlign w:val="bottom"/>
            <w:hideMark/>
          </w:tcPr>
          <w:p w14:paraId="562A9B0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3B8B192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2,392 </w:t>
            </w:r>
          </w:p>
        </w:tc>
      </w:tr>
      <w:tr w:rsidR="00A32E9B" w:rsidRPr="00F01024" w14:paraId="3205B45E" w14:textId="77777777" w:rsidTr="0065680A">
        <w:trPr>
          <w:trHeight w:val="20"/>
        </w:trPr>
        <w:tc>
          <w:tcPr>
            <w:tcW w:w="5036" w:type="dxa"/>
            <w:tcBorders>
              <w:top w:val="nil"/>
              <w:left w:val="nil"/>
              <w:bottom w:val="nil"/>
              <w:right w:val="nil"/>
            </w:tcBorders>
            <w:shd w:val="clear" w:color="auto" w:fill="auto"/>
            <w:noWrap/>
            <w:vAlign w:val="bottom"/>
            <w:hideMark/>
          </w:tcPr>
          <w:p w14:paraId="6109446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assets</w:t>
            </w:r>
          </w:p>
        </w:tc>
        <w:tc>
          <w:tcPr>
            <w:tcW w:w="1456" w:type="dxa"/>
            <w:tcBorders>
              <w:top w:val="nil"/>
              <w:left w:val="nil"/>
              <w:bottom w:val="single" w:sz="8" w:space="0" w:color="auto"/>
              <w:right w:val="nil"/>
            </w:tcBorders>
            <w:shd w:val="clear" w:color="auto" w:fill="auto"/>
            <w:noWrap/>
            <w:vAlign w:val="bottom"/>
            <w:hideMark/>
          </w:tcPr>
          <w:p w14:paraId="3B933EE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156,119 </w:t>
            </w:r>
          </w:p>
        </w:tc>
        <w:tc>
          <w:tcPr>
            <w:tcW w:w="196" w:type="dxa"/>
            <w:tcBorders>
              <w:top w:val="nil"/>
              <w:left w:val="nil"/>
              <w:bottom w:val="nil"/>
              <w:right w:val="nil"/>
            </w:tcBorders>
            <w:shd w:val="clear" w:color="auto" w:fill="auto"/>
            <w:noWrap/>
            <w:vAlign w:val="bottom"/>
            <w:hideMark/>
          </w:tcPr>
          <w:p w14:paraId="1AE1D37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14:paraId="6479DC4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142,431 </w:t>
            </w:r>
          </w:p>
        </w:tc>
      </w:tr>
      <w:tr w:rsidR="00A32E9B" w:rsidRPr="00F01024" w14:paraId="2A565503" w14:textId="77777777" w:rsidTr="0065680A">
        <w:trPr>
          <w:trHeight w:val="20"/>
        </w:trPr>
        <w:tc>
          <w:tcPr>
            <w:tcW w:w="5036" w:type="dxa"/>
            <w:tcBorders>
              <w:top w:val="nil"/>
              <w:left w:val="nil"/>
              <w:bottom w:val="nil"/>
              <w:right w:val="nil"/>
            </w:tcBorders>
            <w:shd w:val="clear" w:color="auto" w:fill="auto"/>
            <w:noWrap/>
            <w:vAlign w:val="bottom"/>
            <w:hideMark/>
          </w:tcPr>
          <w:p w14:paraId="1FE542A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393BE075"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96" w:type="dxa"/>
            <w:tcBorders>
              <w:top w:val="nil"/>
              <w:left w:val="nil"/>
              <w:bottom w:val="nil"/>
              <w:right w:val="nil"/>
            </w:tcBorders>
            <w:shd w:val="clear" w:color="auto" w:fill="auto"/>
            <w:noWrap/>
            <w:vAlign w:val="bottom"/>
            <w:hideMark/>
          </w:tcPr>
          <w:p w14:paraId="491EBAC6"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3AF028B4"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7E400D63" w14:textId="77777777" w:rsidTr="0065680A">
        <w:trPr>
          <w:trHeight w:val="20"/>
        </w:trPr>
        <w:tc>
          <w:tcPr>
            <w:tcW w:w="5036" w:type="dxa"/>
            <w:tcBorders>
              <w:top w:val="nil"/>
              <w:left w:val="nil"/>
              <w:bottom w:val="nil"/>
              <w:right w:val="nil"/>
            </w:tcBorders>
            <w:shd w:val="clear" w:color="auto" w:fill="auto"/>
            <w:noWrap/>
            <w:vAlign w:val="bottom"/>
            <w:hideMark/>
          </w:tcPr>
          <w:p w14:paraId="4D0822D7"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Liabilities and stockholders' equity</w:t>
            </w:r>
          </w:p>
        </w:tc>
        <w:tc>
          <w:tcPr>
            <w:tcW w:w="1456" w:type="dxa"/>
            <w:tcBorders>
              <w:top w:val="nil"/>
              <w:left w:val="nil"/>
              <w:bottom w:val="nil"/>
              <w:right w:val="nil"/>
            </w:tcBorders>
            <w:shd w:val="clear" w:color="auto" w:fill="auto"/>
            <w:noWrap/>
            <w:vAlign w:val="bottom"/>
            <w:hideMark/>
          </w:tcPr>
          <w:p w14:paraId="4C2D6846"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05061AED"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5643B33D"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49E8E5D2" w14:textId="77777777" w:rsidTr="0065680A">
        <w:trPr>
          <w:trHeight w:val="20"/>
        </w:trPr>
        <w:tc>
          <w:tcPr>
            <w:tcW w:w="5036" w:type="dxa"/>
            <w:tcBorders>
              <w:top w:val="nil"/>
              <w:left w:val="nil"/>
              <w:bottom w:val="nil"/>
              <w:right w:val="nil"/>
            </w:tcBorders>
            <w:shd w:val="clear" w:color="auto" w:fill="auto"/>
            <w:noWrap/>
            <w:vAlign w:val="bottom"/>
            <w:hideMark/>
          </w:tcPr>
          <w:p w14:paraId="7A4E942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Current liabilities:</w:t>
            </w:r>
          </w:p>
        </w:tc>
        <w:tc>
          <w:tcPr>
            <w:tcW w:w="1456" w:type="dxa"/>
            <w:tcBorders>
              <w:top w:val="nil"/>
              <w:left w:val="nil"/>
              <w:bottom w:val="nil"/>
              <w:right w:val="nil"/>
            </w:tcBorders>
            <w:shd w:val="clear" w:color="auto" w:fill="auto"/>
            <w:noWrap/>
            <w:vAlign w:val="bottom"/>
            <w:hideMark/>
          </w:tcPr>
          <w:p w14:paraId="3397CDC7"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61BE2B20"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578950AD"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03E4C11F" w14:textId="77777777" w:rsidTr="0065680A">
        <w:trPr>
          <w:trHeight w:val="20"/>
        </w:trPr>
        <w:tc>
          <w:tcPr>
            <w:tcW w:w="5036" w:type="dxa"/>
            <w:tcBorders>
              <w:top w:val="nil"/>
              <w:left w:val="nil"/>
              <w:bottom w:val="nil"/>
              <w:right w:val="nil"/>
            </w:tcBorders>
            <w:shd w:val="clear" w:color="auto" w:fill="auto"/>
            <w:noWrap/>
            <w:vAlign w:val="bottom"/>
            <w:hideMark/>
          </w:tcPr>
          <w:p w14:paraId="06C5957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Accounts payable</w:t>
            </w:r>
          </w:p>
        </w:tc>
        <w:tc>
          <w:tcPr>
            <w:tcW w:w="1456" w:type="dxa"/>
            <w:tcBorders>
              <w:top w:val="nil"/>
              <w:left w:val="nil"/>
              <w:bottom w:val="nil"/>
              <w:right w:val="nil"/>
            </w:tcBorders>
            <w:shd w:val="clear" w:color="auto" w:fill="auto"/>
            <w:noWrap/>
            <w:vAlign w:val="bottom"/>
            <w:hideMark/>
          </w:tcPr>
          <w:p w14:paraId="65049AF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4,583 </w:t>
            </w:r>
          </w:p>
        </w:tc>
        <w:tc>
          <w:tcPr>
            <w:tcW w:w="196" w:type="dxa"/>
            <w:tcBorders>
              <w:top w:val="nil"/>
              <w:left w:val="nil"/>
              <w:bottom w:val="nil"/>
              <w:right w:val="nil"/>
            </w:tcBorders>
            <w:shd w:val="clear" w:color="auto" w:fill="auto"/>
            <w:noWrap/>
            <w:vAlign w:val="bottom"/>
            <w:hideMark/>
          </w:tcPr>
          <w:p w14:paraId="7CBA35F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EB654E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4,828 </w:t>
            </w:r>
          </w:p>
        </w:tc>
      </w:tr>
      <w:tr w:rsidR="00A32E9B" w:rsidRPr="00F01024" w14:paraId="1EA030EF" w14:textId="77777777" w:rsidTr="0065680A">
        <w:trPr>
          <w:trHeight w:val="20"/>
        </w:trPr>
        <w:tc>
          <w:tcPr>
            <w:tcW w:w="5036" w:type="dxa"/>
            <w:tcBorders>
              <w:top w:val="nil"/>
              <w:left w:val="nil"/>
              <w:bottom w:val="nil"/>
              <w:right w:val="nil"/>
            </w:tcBorders>
            <w:shd w:val="clear" w:color="auto" w:fill="auto"/>
            <w:noWrap/>
            <w:vAlign w:val="bottom"/>
            <w:hideMark/>
          </w:tcPr>
          <w:p w14:paraId="79D17E8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Current portion of long-term debt</w:t>
            </w:r>
          </w:p>
        </w:tc>
        <w:tc>
          <w:tcPr>
            <w:tcW w:w="1456" w:type="dxa"/>
            <w:tcBorders>
              <w:top w:val="nil"/>
              <w:left w:val="nil"/>
              <w:bottom w:val="nil"/>
              <w:right w:val="nil"/>
            </w:tcBorders>
            <w:shd w:val="clear" w:color="auto" w:fill="auto"/>
            <w:noWrap/>
            <w:vAlign w:val="bottom"/>
            <w:hideMark/>
          </w:tcPr>
          <w:p w14:paraId="74EEF63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2,000 </w:t>
            </w:r>
          </w:p>
        </w:tc>
        <w:tc>
          <w:tcPr>
            <w:tcW w:w="196" w:type="dxa"/>
            <w:tcBorders>
              <w:top w:val="nil"/>
              <w:left w:val="nil"/>
              <w:bottom w:val="nil"/>
              <w:right w:val="nil"/>
            </w:tcBorders>
            <w:shd w:val="clear" w:color="auto" w:fill="auto"/>
            <w:noWrap/>
            <w:vAlign w:val="bottom"/>
            <w:hideMark/>
          </w:tcPr>
          <w:p w14:paraId="0E67EC8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3EAB7F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2,999 </w:t>
            </w:r>
          </w:p>
        </w:tc>
      </w:tr>
      <w:tr w:rsidR="00A32E9B" w:rsidRPr="00F01024" w14:paraId="263762F6" w14:textId="77777777" w:rsidTr="0065680A">
        <w:trPr>
          <w:trHeight w:val="20"/>
        </w:trPr>
        <w:tc>
          <w:tcPr>
            <w:tcW w:w="5036" w:type="dxa"/>
            <w:tcBorders>
              <w:top w:val="nil"/>
              <w:left w:val="nil"/>
              <w:bottom w:val="nil"/>
              <w:right w:val="nil"/>
            </w:tcBorders>
            <w:shd w:val="clear" w:color="auto" w:fill="auto"/>
            <w:noWrap/>
            <w:vAlign w:val="bottom"/>
            <w:hideMark/>
          </w:tcPr>
          <w:p w14:paraId="02820F2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Accrued compensation</w:t>
            </w:r>
          </w:p>
        </w:tc>
        <w:tc>
          <w:tcPr>
            <w:tcW w:w="1456" w:type="dxa"/>
            <w:tcBorders>
              <w:top w:val="nil"/>
              <w:left w:val="nil"/>
              <w:bottom w:val="nil"/>
              <w:right w:val="nil"/>
            </w:tcBorders>
            <w:shd w:val="clear" w:color="auto" w:fill="auto"/>
            <w:noWrap/>
            <w:vAlign w:val="bottom"/>
            <w:hideMark/>
          </w:tcPr>
          <w:p w14:paraId="528B115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3,887 </w:t>
            </w:r>
          </w:p>
        </w:tc>
        <w:tc>
          <w:tcPr>
            <w:tcW w:w="196" w:type="dxa"/>
            <w:tcBorders>
              <w:top w:val="nil"/>
              <w:left w:val="nil"/>
              <w:bottom w:val="nil"/>
              <w:right w:val="nil"/>
            </w:tcBorders>
            <w:shd w:val="clear" w:color="auto" w:fill="auto"/>
            <w:noWrap/>
            <w:vAlign w:val="bottom"/>
            <w:hideMark/>
          </w:tcPr>
          <w:p w14:paraId="3C254B3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DC268B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4,117 </w:t>
            </w:r>
          </w:p>
        </w:tc>
      </w:tr>
      <w:tr w:rsidR="00A32E9B" w:rsidRPr="00F01024" w14:paraId="2DF1B7E4" w14:textId="77777777" w:rsidTr="0065680A">
        <w:trPr>
          <w:trHeight w:val="20"/>
        </w:trPr>
        <w:tc>
          <w:tcPr>
            <w:tcW w:w="5036" w:type="dxa"/>
            <w:tcBorders>
              <w:top w:val="nil"/>
              <w:left w:val="nil"/>
              <w:bottom w:val="nil"/>
              <w:right w:val="nil"/>
            </w:tcBorders>
            <w:shd w:val="clear" w:color="auto" w:fill="auto"/>
            <w:noWrap/>
            <w:vAlign w:val="bottom"/>
            <w:hideMark/>
          </w:tcPr>
          <w:p w14:paraId="35DC393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Income taxes</w:t>
            </w:r>
          </w:p>
        </w:tc>
        <w:tc>
          <w:tcPr>
            <w:tcW w:w="1456" w:type="dxa"/>
            <w:tcBorders>
              <w:top w:val="nil"/>
              <w:left w:val="nil"/>
              <w:bottom w:val="nil"/>
              <w:right w:val="nil"/>
            </w:tcBorders>
            <w:shd w:val="clear" w:color="auto" w:fill="auto"/>
            <w:noWrap/>
            <w:vAlign w:val="bottom"/>
            <w:hideMark/>
          </w:tcPr>
          <w:p w14:paraId="5C8C594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694 </w:t>
            </w:r>
          </w:p>
        </w:tc>
        <w:tc>
          <w:tcPr>
            <w:tcW w:w="196" w:type="dxa"/>
            <w:tcBorders>
              <w:top w:val="nil"/>
              <w:left w:val="nil"/>
              <w:bottom w:val="nil"/>
              <w:right w:val="nil"/>
            </w:tcBorders>
            <w:shd w:val="clear" w:color="auto" w:fill="auto"/>
            <w:noWrap/>
            <w:vAlign w:val="bottom"/>
            <w:hideMark/>
          </w:tcPr>
          <w:p w14:paraId="0F4B137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E36F8C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592 </w:t>
            </w:r>
          </w:p>
        </w:tc>
      </w:tr>
      <w:tr w:rsidR="00A32E9B" w:rsidRPr="00F01024" w14:paraId="2A30F26B" w14:textId="77777777" w:rsidTr="0065680A">
        <w:trPr>
          <w:trHeight w:val="20"/>
        </w:trPr>
        <w:tc>
          <w:tcPr>
            <w:tcW w:w="5036" w:type="dxa"/>
            <w:tcBorders>
              <w:top w:val="nil"/>
              <w:left w:val="nil"/>
              <w:bottom w:val="nil"/>
              <w:right w:val="nil"/>
            </w:tcBorders>
            <w:shd w:val="clear" w:color="auto" w:fill="auto"/>
            <w:noWrap/>
            <w:vAlign w:val="bottom"/>
            <w:hideMark/>
          </w:tcPr>
          <w:p w14:paraId="2D286D0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Short-term unearned revenue</w:t>
            </w:r>
          </w:p>
        </w:tc>
        <w:tc>
          <w:tcPr>
            <w:tcW w:w="1456" w:type="dxa"/>
            <w:tcBorders>
              <w:top w:val="nil"/>
              <w:left w:val="nil"/>
              <w:bottom w:val="nil"/>
              <w:right w:val="nil"/>
            </w:tcBorders>
            <w:shd w:val="clear" w:color="auto" w:fill="auto"/>
            <w:noWrap/>
            <w:vAlign w:val="bottom"/>
            <w:hideMark/>
          </w:tcPr>
          <w:p w14:paraId="02EAD50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17,670 </w:t>
            </w:r>
          </w:p>
        </w:tc>
        <w:tc>
          <w:tcPr>
            <w:tcW w:w="196" w:type="dxa"/>
            <w:tcBorders>
              <w:top w:val="nil"/>
              <w:left w:val="nil"/>
              <w:bottom w:val="nil"/>
              <w:right w:val="nil"/>
            </w:tcBorders>
            <w:shd w:val="clear" w:color="auto" w:fill="auto"/>
            <w:noWrap/>
            <w:vAlign w:val="bottom"/>
            <w:hideMark/>
          </w:tcPr>
          <w:p w14:paraId="05FA0A5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46C4F7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20,639 </w:t>
            </w:r>
          </w:p>
        </w:tc>
      </w:tr>
      <w:tr w:rsidR="00A32E9B" w:rsidRPr="00F01024" w14:paraId="3C9A73F2" w14:textId="77777777" w:rsidTr="0065680A">
        <w:trPr>
          <w:trHeight w:val="20"/>
        </w:trPr>
        <w:tc>
          <w:tcPr>
            <w:tcW w:w="5036" w:type="dxa"/>
            <w:tcBorders>
              <w:top w:val="nil"/>
              <w:left w:val="nil"/>
              <w:bottom w:val="nil"/>
              <w:right w:val="nil"/>
            </w:tcBorders>
            <w:shd w:val="clear" w:color="auto" w:fill="auto"/>
            <w:noWrap/>
            <w:vAlign w:val="bottom"/>
            <w:hideMark/>
          </w:tcPr>
          <w:p w14:paraId="32D0C2E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Securities lending payable</w:t>
            </w:r>
          </w:p>
        </w:tc>
        <w:tc>
          <w:tcPr>
            <w:tcW w:w="1456" w:type="dxa"/>
            <w:tcBorders>
              <w:top w:val="nil"/>
              <w:left w:val="nil"/>
              <w:bottom w:val="nil"/>
              <w:right w:val="nil"/>
            </w:tcBorders>
            <w:shd w:val="clear" w:color="auto" w:fill="auto"/>
            <w:noWrap/>
            <w:vAlign w:val="bottom"/>
            <w:hideMark/>
          </w:tcPr>
          <w:p w14:paraId="0DD1A4B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794 </w:t>
            </w:r>
          </w:p>
        </w:tc>
        <w:tc>
          <w:tcPr>
            <w:tcW w:w="196" w:type="dxa"/>
            <w:tcBorders>
              <w:top w:val="nil"/>
              <w:left w:val="nil"/>
              <w:bottom w:val="nil"/>
              <w:right w:val="nil"/>
            </w:tcBorders>
            <w:shd w:val="clear" w:color="auto" w:fill="auto"/>
            <w:noWrap/>
            <w:vAlign w:val="bottom"/>
            <w:hideMark/>
          </w:tcPr>
          <w:p w14:paraId="3EA9761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624609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645 </w:t>
            </w:r>
          </w:p>
        </w:tc>
      </w:tr>
      <w:tr w:rsidR="00A32E9B" w:rsidRPr="00F01024" w14:paraId="7876B743"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0C5EE4C2"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w:t>
            </w:r>
          </w:p>
        </w:tc>
        <w:tc>
          <w:tcPr>
            <w:tcW w:w="1456" w:type="dxa"/>
            <w:tcBorders>
              <w:top w:val="nil"/>
              <w:left w:val="nil"/>
              <w:bottom w:val="single" w:sz="4" w:space="0" w:color="auto"/>
              <w:right w:val="nil"/>
            </w:tcBorders>
            <w:shd w:val="clear" w:color="auto" w:fill="auto"/>
            <w:noWrap/>
            <w:vAlign w:val="bottom"/>
            <w:hideMark/>
          </w:tcPr>
          <w:p w14:paraId="2F7A91C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4,275 </w:t>
            </w:r>
          </w:p>
        </w:tc>
        <w:tc>
          <w:tcPr>
            <w:tcW w:w="196" w:type="dxa"/>
            <w:tcBorders>
              <w:top w:val="nil"/>
              <w:left w:val="nil"/>
              <w:bottom w:val="nil"/>
              <w:right w:val="nil"/>
            </w:tcBorders>
            <w:shd w:val="clear" w:color="auto" w:fill="auto"/>
            <w:noWrap/>
            <w:vAlign w:val="bottom"/>
            <w:hideMark/>
          </w:tcPr>
          <w:p w14:paraId="0C37A56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4DD17B5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3,597 </w:t>
            </w:r>
          </w:p>
        </w:tc>
      </w:tr>
      <w:tr w:rsidR="00A32E9B" w:rsidRPr="00F01024" w14:paraId="6330A95C" w14:textId="77777777" w:rsidTr="0065680A">
        <w:trPr>
          <w:trHeight w:val="20"/>
        </w:trPr>
        <w:tc>
          <w:tcPr>
            <w:tcW w:w="5036" w:type="dxa"/>
            <w:tcBorders>
              <w:top w:val="nil"/>
              <w:left w:val="nil"/>
              <w:bottom w:val="nil"/>
              <w:right w:val="nil"/>
            </w:tcBorders>
            <w:shd w:val="clear" w:color="auto" w:fill="auto"/>
            <w:noWrap/>
            <w:vAlign w:val="bottom"/>
            <w:hideMark/>
          </w:tcPr>
          <w:p w14:paraId="7D6177A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current liabilities</w:t>
            </w:r>
          </w:p>
        </w:tc>
        <w:tc>
          <w:tcPr>
            <w:tcW w:w="1456" w:type="dxa"/>
            <w:tcBorders>
              <w:top w:val="nil"/>
              <w:left w:val="nil"/>
              <w:bottom w:val="nil"/>
              <w:right w:val="nil"/>
            </w:tcBorders>
            <w:shd w:val="clear" w:color="auto" w:fill="auto"/>
            <w:noWrap/>
            <w:vAlign w:val="bottom"/>
            <w:hideMark/>
          </w:tcPr>
          <w:p w14:paraId="1F392F3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33,903 </w:t>
            </w:r>
          </w:p>
        </w:tc>
        <w:tc>
          <w:tcPr>
            <w:tcW w:w="196" w:type="dxa"/>
            <w:tcBorders>
              <w:top w:val="nil"/>
              <w:left w:val="nil"/>
              <w:bottom w:val="nil"/>
              <w:right w:val="nil"/>
            </w:tcBorders>
            <w:shd w:val="clear" w:color="auto" w:fill="auto"/>
            <w:noWrap/>
            <w:vAlign w:val="bottom"/>
            <w:hideMark/>
          </w:tcPr>
          <w:p w14:paraId="6FD6400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9642D7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37,417 </w:t>
            </w:r>
          </w:p>
        </w:tc>
      </w:tr>
      <w:tr w:rsidR="00A32E9B" w:rsidRPr="00F01024" w14:paraId="48FF4BED" w14:textId="77777777" w:rsidTr="0065680A">
        <w:trPr>
          <w:trHeight w:val="20"/>
        </w:trPr>
        <w:tc>
          <w:tcPr>
            <w:tcW w:w="5036" w:type="dxa"/>
            <w:tcBorders>
              <w:top w:val="nil"/>
              <w:left w:val="nil"/>
              <w:bottom w:val="nil"/>
              <w:right w:val="nil"/>
            </w:tcBorders>
            <w:shd w:val="clear" w:color="auto" w:fill="auto"/>
            <w:noWrap/>
            <w:vAlign w:val="bottom"/>
            <w:hideMark/>
          </w:tcPr>
          <w:p w14:paraId="5CDE0FA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Long-term debt</w:t>
            </w:r>
          </w:p>
        </w:tc>
        <w:tc>
          <w:tcPr>
            <w:tcW w:w="1456" w:type="dxa"/>
            <w:tcBorders>
              <w:top w:val="nil"/>
              <w:left w:val="nil"/>
              <w:bottom w:val="nil"/>
              <w:right w:val="nil"/>
            </w:tcBorders>
            <w:shd w:val="clear" w:color="auto" w:fill="auto"/>
            <w:noWrap/>
            <w:vAlign w:val="bottom"/>
            <w:hideMark/>
          </w:tcPr>
          <w:p w14:paraId="4E0C573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20,679 </w:t>
            </w:r>
          </w:p>
        </w:tc>
        <w:tc>
          <w:tcPr>
            <w:tcW w:w="196" w:type="dxa"/>
            <w:tcBorders>
              <w:top w:val="nil"/>
              <w:left w:val="nil"/>
              <w:bottom w:val="nil"/>
              <w:right w:val="nil"/>
            </w:tcBorders>
            <w:shd w:val="clear" w:color="auto" w:fill="auto"/>
            <w:noWrap/>
            <w:vAlign w:val="bottom"/>
            <w:hideMark/>
          </w:tcPr>
          <w:p w14:paraId="4A7A73A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6B3C0F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12,601 </w:t>
            </w:r>
          </w:p>
        </w:tc>
      </w:tr>
      <w:tr w:rsidR="00A32E9B" w:rsidRPr="00F01024" w14:paraId="31941854" w14:textId="77777777" w:rsidTr="0065680A">
        <w:trPr>
          <w:trHeight w:val="20"/>
        </w:trPr>
        <w:tc>
          <w:tcPr>
            <w:tcW w:w="5036" w:type="dxa"/>
            <w:tcBorders>
              <w:top w:val="nil"/>
              <w:left w:val="nil"/>
              <w:bottom w:val="nil"/>
              <w:right w:val="nil"/>
            </w:tcBorders>
            <w:shd w:val="clear" w:color="auto" w:fill="auto"/>
            <w:noWrap/>
            <w:vAlign w:val="bottom"/>
            <w:hideMark/>
          </w:tcPr>
          <w:p w14:paraId="0510AEC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Long-term unearned revenue</w:t>
            </w:r>
          </w:p>
        </w:tc>
        <w:tc>
          <w:tcPr>
            <w:tcW w:w="1456" w:type="dxa"/>
            <w:tcBorders>
              <w:top w:val="nil"/>
              <w:left w:val="nil"/>
              <w:bottom w:val="nil"/>
              <w:right w:val="nil"/>
            </w:tcBorders>
            <w:shd w:val="clear" w:color="auto" w:fill="auto"/>
            <w:noWrap/>
            <w:vAlign w:val="bottom"/>
            <w:hideMark/>
          </w:tcPr>
          <w:p w14:paraId="6C0D961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1,842 </w:t>
            </w:r>
          </w:p>
        </w:tc>
        <w:tc>
          <w:tcPr>
            <w:tcW w:w="196" w:type="dxa"/>
            <w:tcBorders>
              <w:top w:val="nil"/>
              <w:left w:val="nil"/>
              <w:bottom w:val="nil"/>
              <w:right w:val="nil"/>
            </w:tcBorders>
            <w:shd w:val="clear" w:color="auto" w:fill="auto"/>
            <w:noWrap/>
            <w:vAlign w:val="bottom"/>
            <w:hideMark/>
          </w:tcPr>
          <w:p w14:paraId="6043674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4DE5CA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1,760 </w:t>
            </w:r>
          </w:p>
        </w:tc>
      </w:tr>
      <w:tr w:rsidR="00A32E9B" w:rsidRPr="00F01024" w14:paraId="38264F2B" w14:textId="77777777" w:rsidTr="0065680A">
        <w:trPr>
          <w:trHeight w:val="20"/>
        </w:trPr>
        <w:tc>
          <w:tcPr>
            <w:tcW w:w="5036" w:type="dxa"/>
            <w:tcBorders>
              <w:top w:val="nil"/>
              <w:left w:val="nil"/>
              <w:bottom w:val="nil"/>
              <w:right w:val="nil"/>
            </w:tcBorders>
            <w:shd w:val="clear" w:color="auto" w:fill="auto"/>
            <w:noWrap/>
            <w:vAlign w:val="bottom"/>
            <w:hideMark/>
          </w:tcPr>
          <w:p w14:paraId="19761CD2"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Deferred income taxes</w:t>
            </w:r>
          </w:p>
        </w:tc>
        <w:tc>
          <w:tcPr>
            <w:tcW w:w="1456" w:type="dxa"/>
            <w:tcBorders>
              <w:top w:val="nil"/>
              <w:left w:val="nil"/>
              <w:bottom w:val="nil"/>
              <w:right w:val="nil"/>
            </w:tcBorders>
            <w:shd w:val="clear" w:color="auto" w:fill="auto"/>
            <w:noWrap/>
            <w:vAlign w:val="bottom"/>
            <w:hideMark/>
          </w:tcPr>
          <w:p w14:paraId="633C50A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2,318 </w:t>
            </w:r>
          </w:p>
        </w:tc>
        <w:tc>
          <w:tcPr>
            <w:tcW w:w="196" w:type="dxa"/>
            <w:tcBorders>
              <w:top w:val="nil"/>
              <w:left w:val="nil"/>
              <w:bottom w:val="nil"/>
              <w:right w:val="nil"/>
            </w:tcBorders>
            <w:shd w:val="clear" w:color="auto" w:fill="auto"/>
            <w:noWrap/>
            <w:vAlign w:val="bottom"/>
            <w:hideMark/>
          </w:tcPr>
          <w:p w14:paraId="1BEEB82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01BDE2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1,709 </w:t>
            </w:r>
          </w:p>
        </w:tc>
      </w:tr>
      <w:tr w:rsidR="00A32E9B" w:rsidRPr="00F01024" w14:paraId="75B60FE5"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30B7E5A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Other long-term liabilities</w:t>
            </w:r>
          </w:p>
        </w:tc>
        <w:tc>
          <w:tcPr>
            <w:tcW w:w="1456" w:type="dxa"/>
            <w:tcBorders>
              <w:top w:val="nil"/>
              <w:left w:val="nil"/>
              <w:bottom w:val="single" w:sz="4" w:space="0" w:color="auto"/>
              <w:right w:val="nil"/>
            </w:tcBorders>
            <w:shd w:val="clear" w:color="auto" w:fill="auto"/>
            <w:noWrap/>
            <w:vAlign w:val="bottom"/>
            <w:hideMark/>
          </w:tcPr>
          <w:p w14:paraId="19F2515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9,953 </w:t>
            </w:r>
          </w:p>
        </w:tc>
        <w:tc>
          <w:tcPr>
            <w:tcW w:w="196" w:type="dxa"/>
            <w:tcBorders>
              <w:top w:val="nil"/>
              <w:left w:val="nil"/>
              <w:bottom w:val="nil"/>
              <w:right w:val="nil"/>
            </w:tcBorders>
            <w:shd w:val="clear" w:color="auto" w:fill="auto"/>
            <w:noWrap/>
            <w:vAlign w:val="bottom"/>
            <w:hideMark/>
          </w:tcPr>
          <w:p w14:paraId="00278BB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0827B0C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10,000 </w:t>
            </w:r>
          </w:p>
        </w:tc>
      </w:tr>
      <w:tr w:rsidR="00A32E9B" w:rsidRPr="00F01024" w14:paraId="114960FD"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648CBC9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liabilities</w:t>
            </w:r>
          </w:p>
        </w:tc>
        <w:tc>
          <w:tcPr>
            <w:tcW w:w="1456" w:type="dxa"/>
            <w:tcBorders>
              <w:top w:val="nil"/>
              <w:left w:val="nil"/>
              <w:bottom w:val="single" w:sz="4" w:space="0" w:color="auto"/>
              <w:right w:val="nil"/>
            </w:tcBorders>
            <w:shd w:val="clear" w:color="auto" w:fill="auto"/>
            <w:noWrap/>
            <w:vAlign w:val="bottom"/>
            <w:hideMark/>
          </w:tcPr>
          <w:p w14:paraId="062BD9E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68,695 </w:t>
            </w:r>
          </w:p>
        </w:tc>
        <w:tc>
          <w:tcPr>
            <w:tcW w:w="196" w:type="dxa"/>
            <w:tcBorders>
              <w:top w:val="nil"/>
              <w:left w:val="nil"/>
              <w:bottom w:val="nil"/>
              <w:right w:val="nil"/>
            </w:tcBorders>
            <w:shd w:val="clear" w:color="auto" w:fill="auto"/>
            <w:noWrap/>
            <w:vAlign w:val="bottom"/>
            <w:hideMark/>
          </w:tcPr>
          <w:p w14:paraId="5B524B3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7F1CDCA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63,487 </w:t>
            </w:r>
          </w:p>
        </w:tc>
      </w:tr>
      <w:tr w:rsidR="00A32E9B" w:rsidRPr="00F01024" w14:paraId="3E00B69D" w14:textId="77777777" w:rsidTr="0065680A">
        <w:trPr>
          <w:trHeight w:val="20"/>
        </w:trPr>
        <w:tc>
          <w:tcPr>
            <w:tcW w:w="5036" w:type="dxa"/>
            <w:tcBorders>
              <w:top w:val="nil"/>
              <w:left w:val="nil"/>
              <w:bottom w:val="nil"/>
              <w:right w:val="nil"/>
            </w:tcBorders>
            <w:shd w:val="clear" w:color="auto" w:fill="auto"/>
            <w:noWrap/>
            <w:vAlign w:val="bottom"/>
            <w:hideMark/>
          </w:tcPr>
          <w:p w14:paraId="471A827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Commitments and contingencies</w:t>
            </w:r>
          </w:p>
        </w:tc>
        <w:tc>
          <w:tcPr>
            <w:tcW w:w="1456" w:type="dxa"/>
            <w:tcBorders>
              <w:top w:val="nil"/>
              <w:left w:val="nil"/>
              <w:bottom w:val="nil"/>
              <w:right w:val="nil"/>
            </w:tcBorders>
            <w:shd w:val="clear" w:color="auto" w:fill="auto"/>
            <w:noWrap/>
            <w:vAlign w:val="bottom"/>
            <w:hideMark/>
          </w:tcPr>
          <w:p w14:paraId="5F0C87D7"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7EC4372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48855452"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1F63A659" w14:textId="77777777" w:rsidTr="0065680A">
        <w:trPr>
          <w:trHeight w:val="20"/>
        </w:trPr>
        <w:tc>
          <w:tcPr>
            <w:tcW w:w="5036" w:type="dxa"/>
            <w:tcBorders>
              <w:top w:val="nil"/>
              <w:left w:val="nil"/>
              <w:bottom w:val="nil"/>
              <w:right w:val="nil"/>
            </w:tcBorders>
            <w:shd w:val="clear" w:color="auto" w:fill="auto"/>
            <w:noWrap/>
            <w:vAlign w:val="bottom"/>
            <w:hideMark/>
          </w:tcPr>
          <w:p w14:paraId="3C6A834C"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Stockholders' equity:</w:t>
            </w:r>
          </w:p>
        </w:tc>
        <w:tc>
          <w:tcPr>
            <w:tcW w:w="1456" w:type="dxa"/>
            <w:tcBorders>
              <w:top w:val="nil"/>
              <w:left w:val="nil"/>
              <w:bottom w:val="nil"/>
              <w:right w:val="nil"/>
            </w:tcBorders>
            <w:shd w:val="clear" w:color="auto" w:fill="auto"/>
            <w:noWrap/>
            <w:vAlign w:val="bottom"/>
            <w:hideMark/>
          </w:tcPr>
          <w:p w14:paraId="5D3BC16A"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5877F24C"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36" w:type="dxa"/>
            <w:tcBorders>
              <w:top w:val="nil"/>
              <w:left w:val="nil"/>
              <w:bottom w:val="nil"/>
              <w:right w:val="nil"/>
            </w:tcBorders>
            <w:shd w:val="clear" w:color="auto" w:fill="auto"/>
            <w:noWrap/>
            <w:vAlign w:val="bottom"/>
            <w:hideMark/>
          </w:tcPr>
          <w:p w14:paraId="0C9731F1"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28BB681A" w14:textId="77777777" w:rsidTr="0065680A">
        <w:trPr>
          <w:trHeight w:val="20"/>
        </w:trPr>
        <w:tc>
          <w:tcPr>
            <w:tcW w:w="5036" w:type="dxa"/>
            <w:tcBorders>
              <w:top w:val="nil"/>
              <w:left w:val="nil"/>
              <w:bottom w:val="nil"/>
              <w:right w:val="nil"/>
            </w:tcBorders>
            <w:shd w:val="clear" w:color="auto" w:fill="auto"/>
            <w:vAlign w:val="bottom"/>
            <w:hideMark/>
          </w:tcPr>
          <w:p w14:paraId="4CF155DC"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Common stock and paid-in capital - shares</w:t>
            </w:r>
            <w:r w:rsidRPr="00F01024">
              <w:rPr>
                <w:rFonts w:ascii="Segoe UI" w:eastAsia="Times New Roman" w:hAnsi="Segoe UI" w:cs="Segoe UI"/>
                <w:color w:val="666666"/>
                <w:sz w:val="20"/>
                <w:szCs w:val="20"/>
              </w:rPr>
              <w:br/>
              <w:t xml:space="preserve">     authorized 24,000; outstanding </w:t>
            </w:r>
            <w:r w:rsidRPr="00F01024">
              <w:rPr>
                <w:rFonts w:ascii="Segoe UI" w:eastAsia="Times New Roman" w:hAnsi="Segoe UI" w:cs="Segoe UI"/>
                <w:b/>
                <w:bCs/>
                <w:color w:val="666666"/>
                <w:sz w:val="20"/>
                <w:szCs w:val="20"/>
              </w:rPr>
              <w:t>8,260</w:t>
            </w:r>
            <w:r w:rsidRPr="00F01024">
              <w:rPr>
                <w:rFonts w:ascii="Segoe UI" w:eastAsia="Times New Roman" w:hAnsi="Segoe UI" w:cs="Segoe UI"/>
                <w:color w:val="666666"/>
                <w:sz w:val="20"/>
                <w:szCs w:val="20"/>
              </w:rPr>
              <w:t xml:space="preserve"> and 8,328</w:t>
            </w:r>
          </w:p>
        </w:tc>
        <w:tc>
          <w:tcPr>
            <w:tcW w:w="1456" w:type="dxa"/>
            <w:tcBorders>
              <w:top w:val="nil"/>
              <w:left w:val="nil"/>
              <w:bottom w:val="nil"/>
              <w:right w:val="nil"/>
            </w:tcBorders>
            <w:shd w:val="clear" w:color="auto" w:fill="auto"/>
            <w:noWrap/>
            <w:vAlign w:val="bottom"/>
            <w:hideMark/>
          </w:tcPr>
          <w:p w14:paraId="6177B53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67,803 </w:t>
            </w:r>
          </w:p>
        </w:tc>
        <w:tc>
          <w:tcPr>
            <w:tcW w:w="196" w:type="dxa"/>
            <w:tcBorders>
              <w:top w:val="nil"/>
              <w:left w:val="nil"/>
              <w:bottom w:val="nil"/>
              <w:right w:val="nil"/>
            </w:tcBorders>
            <w:shd w:val="clear" w:color="auto" w:fill="auto"/>
            <w:noWrap/>
            <w:vAlign w:val="bottom"/>
            <w:hideMark/>
          </w:tcPr>
          <w:p w14:paraId="4870903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15A856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67,306 </w:t>
            </w:r>
          </w:p>
        </w:tc>
      </w:tr>
      <w:tr w:rsidR="00A32E9B" w:rsidRPr="00F01024" w14:paraId="1FEB5864" w14:textId="77777777" w:rsidTr="0065680A">
        <w:trPr>
          <w:trHeight w:val="20"/>
        </w:trPr>
        <w:tc>
          <w:tcPr>
            <w:tcW w:w="5036" w:type="dxa"/>
            <w:tcBorders>
              <w:top w:val="nil"/>
              <w:left w:val="nil"/>
              <w:bottom w:val="nil"/>
              <w:right w:val="nil"/>
            </w:tcBorders>
            <w:shd w:val="clear" w:color="auto" w:fill="auto"/>
            <w:vAlign w:val="bottom"/>
            <w:hideMark/>
          </w:tcPr>
          <w:p w14:paraId="3895781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lastRenderedPageBreak/>
              <w:t xml:space="preserve">  Retained earnings</w:t>
            </w:r>
          </w:p>
        </w:tc>
        <w:tc>
          <w:tcPr>
            <w:tcW w:w="1456" w:type="dxa"/>
            <w:tcBorders>
              <w:top w:val="nil"/>
              <w:left w:val="nil"/>
              <w:bottom w:val="nil"/>
              <w:right w:val="nil"/>
            </w:tcBorders>
            <w:shd w:val="clear" w:color="auto" w:fill="auto"/>
            <w:noWrap/>
            <w:vAlign w:val="bottom"/>
            <w:hideMark/>
          </w:tcPr>
          <w:p w14:paraId="592C477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16,289 </w:t>
            </w:r>
          </w:p>
        </w:tc>
        <w:tc>
          <w:tcPr>
            <w:tcW w:w="196" w:type="dxa"/>
            <w:tcBorders>
              <w:top w:val="nil"/>
              <w:left w:val="nil"/>
              <w:bottom w:val="nil"/>
              <w:right w:val="nil"/>
            </w:tcBorders>
            <w:shd w:val="clear" w:color="auto" w:fill="auto"/>
            <w:noWrap/>
            <w:vAlign w:val="bottom"/>
            <w:hideMark/>
          </w:tcPr>
          <w:p w14:paraId="12BDB26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2714ED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9,895 </w:t>
            </w:r>
          </w:p>
        </w:tc>
      </w:tr>
      <w:tr w:rsidR="00A32E9B" w:rsidRPr="00F01024" w14:paraId="300C96D0"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22AAC19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Accumulated other comprehensive income</w:t>
            </w:r>
          </w:p>
        </w:tc>
        <w:tc>
          <w:tcPr>
            <w:tcW w:w="1456" w:type="dxa"/>
            <w:tcBorders>
              <w:top w:val="nil"/>
              <w:left w:val="nil"/>
              <w:bottom w:val="single" w:sz="4" w:space="0" w:color="auto"/>
              <w:right w:val="nil"/>
            </w:tcBorders>
            <w:shd w:val="clear" w:color="auto" w:fill="auto"/>
            <w:noWrap/>
            <w:vAlign w:val="bottom"/>
            <w:hideMark/>
          </w:tcPr>
          <w:p w14:paraId="0BD12F0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3,332 </w:t>
            </w:r>
          </w:p>
        </w:tc>
        <w:tc>
          <w:tcPr>
            <w:tcW w:w="196" w:type="dxa"/>
            <w:tcBorders>
              <w:top w:val="nil"/>
              <w:left w:val="nil"/>
              <w:bottom w:val="nil"/>
              <w:right w:val="nil"/>
            </w:tcBorders>
            <w:shd w:val="clear" w:color="auto" w:fill="auto"/>
            <w:noWrap/>
            <w:vAlign w:val="bottom"/>
            <w:hideMark/>
          </w:tcPr>
          <w:p w14:paraId="7305AE0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BF1386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1,743 </w:t>
            </w:r>
          </w:p>
        </w:tc>
      </w:tr>
      <w:tr w:rsidR="00A32E9B" w:rsidRPr="00F01024" w14:paraId="7B12A190" w14:textId="77777777" w:rsidTr="0065680A">
        <w:trPr>
          <w:trHeight w:val="20"/>
        </w:trPr>
        <w:tc>
          <w:tcPr>
            <w:tcW w:w="5036" w:type="dxa"/>
            <w:tcBorders>
              <w:top w:val="nil"/>
              <w:left w:val="nil"/>
              <w:bottom w:val="single" w:sz="4" w:space="0" w:color="auto"/>
              <w:right w:val="nil"/>
            </w:tcBorders>
            <w:shd w:val="clear" w:color="auto" w:fill="auto"/>
            <w:noWrap/>
            <w:vAlign w:val="bottom"/>
            <w:hideMark/>
          </w:tcPr>
          <w:p w14:paraId="6E027E8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stockholders' equity</w:t>
            </w:r>
          </w:p>
        </w:tc>
        <w:tc>
          <w:tcPr>
            <w:tcW w:w="1456" w:type="dxa"/>
            <w:tcBorders>
              <w:top w:val="nil"/>
              <w:left w:val="nil"/>
              <w:bottom w:val="single" w:sz="4" w:space="0" w:color="auto"/>
              <w:right w:val="nil"/>
            </w:tcBorders>
            <w:shd w:val="clear" w:color="auto" w:fill="auto"/>
            <w:noWrap/>
            <w:vAlign w:val="bottom"/>
            <w:hideMark/>
          </w:tcPr>
          <w:p w14:paraId="70BD007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87,424 </w:t>
            </w:r>
          </w:p>
        </w:tc>
        <w:tc>
          <w:tcPr>
            <w:tcW w:w="196" w:type="dxa"/>
            <w:tcBorders>
              <w:top w:val="nil"/>
              <w:left w:val="nil"/>
              <w:bottom w:val="nil"/>
              <w:right w:val="nil"/>
            </w:tcBorders>
            <w:shd w:val="clear" w:color="auto" w:fill="auto"/>
            <w:noWrap/>
            <w:vAlign w:val="bottom"/>
            <w:hideMark/>
          </w:tcPr>
          <w:p w14:paraId="1DC8E0E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single" w:sz="4" w:space="0" w:color="auto"/>
              <w:left w:val="nil"/>
              <w:bottom w:val="single" w:sz="4" w:space="0" w:color="auto"/>
              <w:right w:val="nil"/>
            </w:tcBorders>
            <w:shd w:val="clear" w:color="auto" w:fill="auto"/>
            <w:noWrap/>
            <w:vAlign w:val="bottom"/>
            <w:hideMark/>
          </w:tcPr>
          <w:p w14:paraId="3E69C76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78,944 </w:t>
            </w:r>
          </w:p>
        </w:tc>
      </w:tr>
      <w:tr w:rsidR="00A32E9B" w:rsidRPr="00F01024" w14:paraId="33AC7859" w14:textId="77777777" w:rsidTr="0065680A">
        <w:trPr>
          <w:trHeight w:val="20"/>
        </w:trPr>
        <w:tc>
          <w:tcPr>
            <w:tcW w:w="5036" w:type="dxa"/>
            <w:tcBorders>
              <w:top w:val="nil"/>
              <w:left w:val="nil"/>
              <w:bottom w:val="nil"/>
              <w:right w:val="nil"/>
            </w:tcBorders>
            <w:shd w:val="clear" w:color="auto" w:fill="auto"/>
            <w:noWrap/>
            <w:vAlign w:val="bottom"/>
            <w:hideMark/>
          </w:tcPr>
          <w:p w14:paraId="14CCFC8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liabilities and stockholders' equity</w:t>
            </w:r>
          </w:p>
        </w:tc>
        <w:tc>
          <w:tcPr>
            <w:tcW w:w="1456" w:type="dxa"/>
            <w:tcBorders>
              <w:top w:val="nil"/>
              <w:left w:val="nil"/>
              <w:bottom w:val="single" w:sz="8" w:space="0" w:color="auto"/>
              <w:right w:val="nil"/>
            </w:tcBorders>
            <w:shd w:val="clear" w:color="auto" w:fill="auto"/>
            <w:noWrap/>
            <w:vAlign w:val="bottom"/>
            <w:hideMark/>
          </w:tcPr>
          <w:p w14:paraId="1700EAE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156,119 </w:t>
            </w:r>
          </w:p>
        </w:tc>
        <w:tc>
          <w:tcPr>
            <w:tcW w:w="196" w:type="dxa"/>
            <w:tcBorders>
              <w:top w:val="nil"/>
              <w:left w:val="nil"/>
              <w:bottom w:val="nil"/>
              <w:right w:val="nil"/>
            </w:tcBorders>
            <w:shd w:val="clear" w:color="auto" w:fill="auto"/>
            <w:noWrap/>
            <w:vAlign w:val="bottom"/>
            <w:hideMark/>
          </w:tcPr>
          <w:p w14:paraId="1940D00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14:paraId="6678644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142,431 </w:t>
            </w:r>
          </w:p>
        </w:tc>
      </w:tr>
    </w:tbl>
    <w:p w14:paraId="7A91C5C5" w14:textId="4DC345D5" w:rsidR="0065680A" w:rsidRDefault="0065680A" w:rsidP="00A32E9B"/>
    <w:p w14:paraId="575AD22C" w14:textId="77777777" w:rsidR="0065680A" w:rsidRDefault="0065680A">
      <w:r>
        <w:br w:type="page"/>
      </w:r>
    </w:p>
    <w:tbl>
      <w:tblPr>
        <w:tblW w:w="7708" w:type="dxa"/>
        <w:tblCellMar>
          <w:left w:w="0" w:type="dxa"/>
          <w:right w:w="0" w:type="dxa"/>
        </w:tblCellMar>
        <w:tblLook w:val="04A0" w:firstRow="1" w:lastRow="0" w:firstColumn="1" w:lastColumn="0" w:noHBand="0" w:noVBand="1"/>
      </w:tblPr>
      <w:tblGrid>
        <w:gridCol w:w="3212"/>
        <w:gridCol w:w="1112"/>
        <w:gridCol w:w="132"/>
        <w:gridCol w:w="952"/>
        <w:gridCol w:w="132"/>
        <w:gridCol w:w="1212"/>
        <w:gridCol w:w="132"/>
        <w:gridCol w:w="952"/>
      </w:tblGrid>
      <w:tr w:rsidR="00A32E9B" w:rsidRPr="00F01024" w14:paraId="37B0FCCB" w14:textId="77777777" w:rsidTr="0065680A">
        <w:trPr>
          <w:trHeight w:val="285"/>
        </w:trPr>
        <w:tc>
          <w:tcPr>
            <w:tcW w:w="3196" w:type="dxa"/>
            <w:tcBorders>
              <w:top w:val="nil"/>
              <w:left w:val="nil"/>
              <w:bottom w:val="nil"/>
              <w:right w:val="nil"/>
            </w:tcBorders>
            <w:shd w:val="clear" w:color="auto" w:fill="auto"/>
            <w:noWrap/>
            <w:vAlign w:val="bottom"/>
            <w:hideMark/>
          </w:tcPr>
          <w:p w14:paraId="455D15CB"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auto" w:fill="auto"/>
            <w:noWrap/>
            <w:vAlign w:val="bottom"/>
            <w:hideMark/>
          </w:tcPr>
          <w:p w14:paraId="1F19F712"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42283DB6"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1CD45698"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90AD924"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5038FE56"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3582154A"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5A778EE0"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6A39747B" w14:textId="77777777" w:rsidTr="0065680A">
        <w:trPr>
          <w:trHeight w:val="285"/>
        </w:trPr>
        <w:tc>
          <w:tcPr>
            <w:tcW w:w="3196" w:type="dxa"/>
            <w:tcBorders>
              <w:top w:val="nil"/>
              <w:left w:val="nil"/>
              <w:bottom w:val="nil"/>
              <w:right w:val="nil"/>
            </w:tcBorders>
            <w:shd w:val="clear" w:color="auto" w:fill="auto"/>
            <w:noWrap/>
            <w:vAlign w:val="bottom"/>
            <w:hideMark/>
          </w:tcPr>
          <w:p w14:paraId="1BDED449"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096" w:type="dxa"/>
            <w:tcBorders>
              <w:top w:val="nil"/>
              <w:left w:val="nil"/>
              <w:bottom w:val="nil"/>
              <w:right w:val="nil"/>
            </w:tcBorders>
            <w:shd w:val="clear" w:color="auto" w:fill="auto"/>
            <w:noWrap/>
            <w:vAlign w:val="bottom"/>
            <w:hideMark/>
          </w:tcPr>
          <w:p w14:paraId="4E82B482"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753BDB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32A1CAD5"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3EF0D7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04E38D82"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28B86575"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4518F9F1"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7A412794" w14:textId="77777777" w:rsidTr="0065680A">
        <w:trPr>
          <w:trHeight w:val="285"/>
        </w:trPr>
        <w:tc>
          <w:tcPr>
            <w:tcW w:w="7708" w:type="dxa"/>
            <w:gridSpan w:val="8"/>
            <w:tcBorders>
              <w:top w:val="nil"/>
              <w:left w:val="nil"/>
              <w:bottom w:val="nil"/>
              <w:right w:val="nil"/>
            </w:tcBorders>
            <w:shd w:val="clear" w:color="auto" w:fill="auto"/>
            <w:noWrap/>
            <w:vAlign w:val="bottom"/>
            <w:hideMark/>
          </w:tcPr>
          <w:p w14:paraId="39367C09"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CASH FLOW STATEMENTS</w:t>
            </w:r>
          </w:p>
        </w:tc>
      </w:tr>
      <w:tr w:rsidR="00A32E9B" w:rsidRPr="00F01024" w14:paraId="5E2CE430" w14:textId="77777777" w:rsidTr="0065680A">
        <w:trPr>
          <w:trHeight w:val="285"/>
        </w:trPr>
        <w:tc>
          <w:tcPr>
            <w:tcW w:w="7708" w:type="dxa"/>
            <w:gridSpan w:val="8"/>
            <w:tcBorders>
              <w:top w:val="nil"/>
              <w:left w:val="nil"/>
              <w:bottom w:val="nil"/>
              <w:right w:val="nil"/>
            </w:tcBorders>
            <w:shd w:val="clear" w:color="auto" w:fill="auto"/>
            <w:noWrap/>
            <w:vAlign w:val="bottom"/>
            <w:hideMark/>
          </w:tcPr>
          <w:p w14:paraId="30984F74"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 millions)(Unaudited)</w:t>
            </w:r>
          </w:p>
        </w:tc>
      </w:tr>
      <w:tr w:rsidR="00A32E9B" w:rsidRPr="00F01024" w14:paraId="67FB9CDC" w14:textId="77777777" w:rsidTr="0065680A">
        <w:trPr>
          <w:trHeight w:val="285"/>
        </w:trPr>
        <w:tc>
          <w:tcPr>
            <w:tcW w:w="3196" w:type="dxa"/>
            <w:tcBorders>
              <w:top w:val="nil"/>
              <w:left w:val="nil"/>
              <w:bottom w:val="nil"/>
              <w:right w:val="nil"/>
            </w:tcBorders>
            <w:shd w:val="clear" w:color="auto" w:fill="auto"/>
            <w:noWrap/>
            <w:vAlign w:val="bottom"/>
            <w:hideMark/>
          </w:tcPr>
          <w:p w14:paraId="7B3AF77A"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p>
        </w:tc>
        <w:tc>
          <w:tcPr>
            <w:tcW w:w="1096" w:type="dxa"/>
            <w:tcBorders>
              <w:top w:val="nil"/>
              <w:left w:val="nil"/>
              <w:bottom w:val="nil"/>
              <w:right w:val="nil"/>
            </w:tcBorders>
            <w:shd w:val="clear" w:color="auto" w:fill="auto"/>
            <w:noWrap/>
            <w:vAlign w:val="bottom"/>
            <w:hideMark/>
          </w:tcPr>
          <w:p w14:paraId="2034EEB2"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29B5E161"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4194215A"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AD04EBD"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546988B8"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FAECF96"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205E980B"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r>
      <w:tr w:rsidR="00A32E9B" w:rsidRPr="00F01024" w14:paraId="760C37E0" w14:textId="77777777" w:rsidTr="0065680A">
        <w:trPr>
          <w:trHeight w:val="300"/>
        </w:trPr>
        <w:tc>
          <w:tcPr>
            <w:tcW w:w="3196" w:type="dxa"/>
            <w:tcBorders>
              <w:top w:val="nil"/>
              <w:left w:val="nil"/>
              <w:bottom w:val="nil"/>
              <w:right w:val="nil"/>
            </w:tcBorders>
            <w:shd w:val="clear" w:color="auto" w:fill="auto"/>
            <w:noWrap/>
            <w:vAlign w:val="bottom"/>
            <w:hideMark/>
          </w:tcPr>
          <w:p w14:paraId="3ABD8CF9"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2148" w:type="dxa"/>
            <w:gridSpan w:val="3"/>
            <w:vMerge w:val="restart"/>
            <w:tcBorders>
              <w:top w:val="nil"/>
              <w:left w:val="nil"/>
              <w:bottom w:val="nil"/>
              <w:right w:val="nil"/>
            </w:tcBorders>
            <w:shd w:val="clear" w:color="auto" w:fill="auto"/>
            <w:vAlign w:val="bottom"/>
            <w:hideMark/>
          </w:tcPr>
          <w:p w14:paraId="14D5F94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Three Months Ended March 31,</w:t>
            </w:r>
          </w:p>
        </w:tc>
        <w:tc>
          <w:tcPr>
            <w:tcW w:w="116" w:type="dxa"/>
            <w:tcBorders>
              <w:top w:val="nil"/>
              <w:left w:val="nil"/>
              <w:bottom w:val="nil"/>
              <w:right w:val="nil"/>
            </w:tcBorders>
            <w:shd w:val="clear" w:color="auto" w:fill="auto"/>
            <w:noWrap/>
            <w:vAlign w:val="bottom"/>
            <w:hideMark/>
          </w:tcPr>
          <w:p w14:paraId="6FC839C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2248" w:type="dxa"/>
            <w:gridSpan w:val="3"/>
            <w:vMerge w:val="restart"/>
            <w:tcBorders>
              <w:top w:val="nil"/>
              <w:left w:val="nil"/>
              <w:bottom w:val="nil"/>
              <w:right w:val="nil"/>
            </w:tcBorders>
            <w:shd w:val="clear" w:color="auto" w:fill="auto"/>
            <w:vAlign w:val="bottom"/>
            <w:hideMark/>
          </w:tcPr>
          <w:p w14:paraId="6F5DA19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Nine Months Ended March 31,</w:t>
            </w:r>
          </w:p>
        </w:tc>
      </w:tr>
      <w:tr w:rsidR="00A32E9B" w:rsidRPr="00F01024" w14:paraId="459013E1" w14:textId="77777777" w:rsidTr="0065680A">
        <w:trPr>
          <w:trHeight w:val="285"/>
        </w:trPr>
        <w:tc>
          <w:tcPr>
            <w:tcW w:w="3196" w:type="dxa"/>
            <w:tcBorders>
              <w:top w:val="nil"/>
              <w:left w:val="nil"/>
              <w:bottom w:val="nil"/>
              <w:right w:val="nil"/>
            </w:tcBorders>
            <w:shd w:val="clear" w:color="auto" w:fill="auto"/>
            <w:noWrap/>
            <w:vAlign w:val="bottom"/>
            <w:hideMark/>
          </w:tcPr>
          <w:p w14:paraId="4DC8847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2148" w:type="dxa"/>
            <w:gridSpan w:val="3"/>
            <w:vMerge/>
            <w:tcBorders>
              <w:top w:val="nil"/>
              <w:left w:val="nil"/>
              <w:bottom w:val="nil"/>
              <w:right w:val="nil"/>
            </w:tcBorders>
            <w:vAlign w:val="center"/>
            <w:hideMark/>
          </w:tcPr>
          <w:p w14:paraId="208F697B"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38CE64C2"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2248" w:type="dxa"/>
            <w:gridSpan w:val="3"/>
            <w:vMerge/>
            <w:tcBorders>
              <w:top w:val="nil"/>
              <w:left w:val="nil"/>
              <w:bottom w:val="nil"/>
              <w:right w:val="nil"/>
            </w:tcBorders>
            <w:vAlign w:val="center"/>
            <w:hideMark/>
          </w:tcPr>
          <w:p w14:paraId="60FC2E7B"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r>
      <w:tr w:rsidR="00A32E9B" w:rsidRPr="00F01024" w14:paraId="3A84AF78" w14:textId="77777777" w:rsidTr="0065680A">
        <w:trPr>
          <w:trHeight w:val="285"/>
        </w:trPr>
        <w:tc>
          <w:tcPr>
            <w:tcW w:w="3196" w:type="dxa"/>
            <w:tcBorders>
              <w:top w:val="nil"/>
              <w:left w:val="nil"/>
              <w:bottom w:val="single" w:sz="4" w:space="0" w:color="auto"/>
              <w:right w:val="nil"/>
            </w:tcBorders>
            <w:shd w:val="clear" w:color="auto" w:fill="auto"/>
            <w:noWrap/>
            <w:vAlign w:val="bottom"/>
            <w:hideMark/>
          </w:tcPr>
          <w:p w14:paraId="4357677E"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0B2A34E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6D3D2E0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5F1AC84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c>
          <w:tcPr>
            <w:tcW w:w="116" w:type="dxa"/>
            <w:tcBorders>
              <w:top w:val="nil"/>
              <w:left w:val="nil"/>
              <w:bottom w:val="single" w:sz="4" w:space="0" w:color="auto"/>
              <w:right w:val="nil"/>
            </w:tcBorders>
            <w:shd w:val="clear" w:color="auto" w:fill="auto"/>
            <w:noWrap/>
            <w:vAlign w:val="bottom"/>
            <w:hideMark/>
          </w:tcPr>
          <w:p w14:paraId="21817B66" w14:textId="77777777" w:rsidR="00A32E9B" w:rsidRPr="00F01024" w:rsidRDefault="00A32E9B" w:rsidP="001F78EF">
            <w:pPr>
              <w:spacing w:after="0" w:line="240" w:lineRule="auto"/>
              <w:jc w:val="center"/>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7F67AF5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16" w:type="dxa"/>
            <w:tcBorders>
              <w:top w:val="nil"/>
              <w:left w:val="nil"/>
              <w:bottom w:val="single" w:sz="4" w:space="0" w:color="auto"/>
              <w:right w:val="nil"/>
            </w:tcBorders>
            <w:shd w:val="clear" w:color="auto" w:fill="auto"/>
            <w:noWrap/>
            <w:vAlign w:val="bottom"/>
            <w:hideMark/>
          </w:tcPr>
          <w:p w14:paraId="47BEEB7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025CBB2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r>
      <w:tr w:rsidR="00A32E9B" w:rsidRPr="00F01024" w14:paraId="12799A8A" w14:textId="77777777" w:rsidTr="0065680A">
        <w:trPr>
          <w:trHeight w:val="285"/>
        </w:trPr>
        <w:tc>
          <w:tcPr>
            <w:tcW w:w="3196" w:type="dxa"/>
            <w:tcBorders>
              <w:top w:val="nil"/>
              <w:left w:val="nil"/>
              <w:bottom w:val="nil"/>
              <w:right w:val="nil"/>
            </w:tcBorders>
            <w:shd w:val="clear" w:color="auto" w:fill="auto"/>
            <w:noWrap/>
            <w:vAlign w:val="bottom"/>
            <w:hideMark/>
          </w:tcPr>
          <w:p w14:paraId="0F4C6272"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Operations</w:t>
            </w:r>
          </w:p>
        </w:tc>
        <w:tc>
          <w:tcPr>
            <w:tcW w:w="1096" w:type="dxa"/>
            <w:tcBorders>
              <w:top w:val="nil"/>
              <w:left w:val="nil"/>
              <w:bottom w:val="nil"/>
              <w:right w:val="nil"/>
            </w:tcBorders>
            <w:shd w:val="clear" w:color="auto" w:fill="auto"/>
            <w:noWrap/>
            <w:vAlign w:val="bottom"/>
            <w:hideMark/>
          </w:tcPr>
          <w:p w14:paraId="00695D59"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652EE01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5256E9FB"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B5B296F"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3516CB4"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05C40618"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4C2A6BE2" w14:textId="77777777" w:rsidR="00A32E9B" w:rsidRPr="00F01024" w:rsidRDefault="00A32E9B" w:rsidP="001F78EF">
            <w:pPr>
              <w:spacing w:after="0" w:line="240" w:lineRule="auto"/>
              <w:jc w:val="center"/>
              <w:rPr>
                <w:rFonts w:ascii="Times New Roman" w:eastAsia="Times New Roman" w:hAnsi="Times New Roman" w:cs="Times New Roman"/>
                <w:sz w:val="20"/>
                <w:szCs w:val="20"/>
              </w:rPr>
            </w:pPr>
          </w:p>
        </w:tc>
      </w:tr>
      <w:tr w:rsidR="00A32E9B" w:rsidRPr="00F01024" w14:paraId="786D772B" w14:textId="77777777" w:rsidTr="0065680A">
        <w:trPr>
          <w:trHeight w:val="285"/>
        </w:trPr>
        <w:tc>
          <w:tcPr>
            <w:tcW w:w="3196" w:type="dxa"/>
            <w:tcBorders>
              <w:top w:val="nil"/>
              <w:left w:val="nil"/>
              <w:bottom w:val="nil"/>
              <w:right w:val="nil"/>
            </w:tcBorders>
            <w:shd w:val="clear" w:color="auto" w:fill="auto"/>
            <w:noWrap/>
            <w:vAlign w:val="bottom"/>
            <w:hideMark/>
          </w:tcPr>
          <w:p w14:paraId="5E2A670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Net income</w:t>
            </w:r>
          </w:p>
        </w:tc>
        <w:tc>
          <w:tcPr>
            <w:tcW w:w="1096" w:type="dxa"/>
            <w:tcBorders>
              <w:top w:val="nil"/>
              <w:left w:val="nil"/>
              <w:bottom w:val="nil"/>
              <w:right w:val="nil"/>
            </w:tcBorders>
            <w:shd w:val="clear" w:color="auto" w:fill="auto"/>
            <w:noWrap/>
            <w:vAlign w:val="bottom"/>
            <w:hideMark/>
          </w:tcPr>
          <w:p w14:paraId="1BBED7D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5,660 </w:t>
            </w:r>
          </w:p>
        </w:tc>
        <w:tc>
          <w:tcPr>
            <w:tcW w:w="116" w:type="dxa"/>
            <w:tcBorders>
              <w:top w:val="nil"/>
              <w:left w:val="nil"/>
              <w:bottom w:val="nil"/>
              <w:right w:val="nil"/>
            </w:tcBorders>
            <w:shd w:val="clear" w:color="auto" w:fill="auto"/>
            <w:noWrap/>
            <w:vAlign w:val="bottom"/>
            <w:hideMark/>
          </w:tcPr>
          <w:p w14:paraId="036B800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E1BE22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6,055 </w:t>
            </w:r>
          </w:p>
        </w:tc>
        <w:tc>
          <w:tcPr>
            <w:tcW w:w="116" w:type="dxa"/>
            <w:tcBorders>
              <w:top w:val="nil"/>
              <w:left w:val="nil"/>
              <w:bottom w:val="nil"/>
              <w:right w:val="nil"/>
            </w:tcBorders>
            <w:shd w:val="clear" w:color="auto" w:fill="auto"/>
            <w:noWrap/>
            <w:vAlign w:val="bottom"/>
            <w:hideMark/>
          </w:tcPr>
          <w:p w14:paraId="1EC039A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F6F9D3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17,462 </w:t>
            </w:r>
          </w:p>
        </w:tc>
        <w:tc>
          <w:tcPr>
            <w:tcW w:w="116" w:type="dxa"/>
            <w:tcBorders>
              <w:top w:val="nil"/>
              <w:left w:val="nil"/>
              <w:bottom w:val="nil"/>
              <w:right w:val="nil"/>
            </w:tcBorders>
            <w:shd w:val="clear" w:color="auto" w:fill="auto"/>
            <w:noWrap/>
            <w:vAlign w:val="bottom"/>
            <w:hideMark/>
          </w:tcPr>
          <w:p w14:paraId="07EE5A7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E12204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$16,898 </w:t>
            </w:r>
          </w:p>
        </w:tc>
      </w:tr>
      <w:tr w:rsidR="00A32E9B" w:rsidRPr="00F01024" w14:paraId="0B1FC63A" w14:textId="77777777" w:rsidTr="0065680A">
        <w:trPr>
          <w:trHeight w:val="855"/>
        </w:trPr>
        <w:tc>
          <w:tcPr>
            <w:tcW w:w="3196" w:type="dxa"/>
            <w:tcBorders>
              <w:top w:val="nil"/>
              <w:left w:val="nil"/>
              <w:bottom w:val="nil"/>
              <w:right w:val="nil"/>
            </w:tcBorders>
            <w:shd w:val="clear" w:color="auto" w:fill="auto"/>
            <w:vAlign w:val="bottom"/>
            <w:hideMark/>
          </w:tcPr>
          <w:p w14:paraId="1A81A6F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Adjustments to reconcile net </w:t>
            </w:r>
            <w:r w:rsidRPr="00F01024">
              <w:rPr>
                <w:rFonts w:ascii="Segoe UI" w:eastAsia="Times New Roman" w:hAnsi="Segoe UI" w:cs="Segoe UI"/>
                <w:color w:val="666666"/>
                <w:sz w:val="20"/>
                <w:szCs w:val="20"/>
              </w:rPr>
              <w:br/>
              <w:t xml:space="preserve">   income to net cash from </w:t>
            </w:r>
            <w:r w:rsidRPr="00F01024">
              <w:rPr>
                <w:rFonts w:ascii="Segoe UI" w:eastAsia="Times New Roman" w:hAnsi="Segoe UI" w:cs="Segoe UI"/>
                <w:color w:val="666666"/>
                <w:sz w:val="20"/>
                <w:szCs w:val="20"/>
              </w:rPr>
              <w:br/>
              <w:t xml:space="preserve">   operations:</w:t>
            </w:r>
          </w:p>
        </w:tc>
        <w:tc>
          <w:tcPr>
            <w:tcW w:w="1096" w:type="dxa"/>
            <w:tcBorders>
              <w:top w:val="nil"/>
              <w:left w:val="nil"/>
              <w:bottom w:val="nil"/>
              <w:right w:val="nil"/>
            </w:tcBorders>
            <w:shd w:val="clear" w:color="auto" w:fill="auto"/>
            <w:noWrap/>
            <w:vAlign w:val="bottom"/>
            <w:hideMark/>
          </w:tcPr>
          <w:p w14:paraId="7AEFB67C"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5938A1F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6CA96DCB"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3AE5FD6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4365D2A"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54A0CF73"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38435BA6"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42EC5D34" w14:textId="77777777" w:rsidTr="0065680A">
        <w:trPr>
          <w:trHeight w:val="570"/>
        </w:trPr>
        <w:tc>
          <w:tcPr>
            <w:tcW w:w="3196" w:type="dxa"/>
            <w:tcBorders>
              <w:top w:val="nil"/>
              <w:left w:val="nil"/>
              <w:bottom w:val="nil"/>
              <w:right w:val="nil"/>
            </w:tcBorders>
            <w:shd w:val="clear" w:color="auto" w:fill="auto"/>
            <w:vAlign w:val="bottom"/>
            <w:hideMark/>
          </w:tcPr>
          <w:p w14:paraId="5D04472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Depreciation, amortization, and</w:t>
            </w:r>
            <w:r w:rsidRPr="00F01024">
              <w:rPr>
                <w:rFonts w:ascii="Segoe UI" w:eastAsia="Times New Roman" w:hAnsi="Segoe UI" w:cs="Segoe UI"/>
                <w:color w:val="666666"/>
                <w:sz w:val="20"/>
                <w:szCs w:val="20"/>
              </w:rPr>
              <w:br/>
              <w:t xml:space="preserve">      other</w:t>
            </w:r>
          </w:p>
        </w:tc>
        <w:tc>
          <w:tcPr>
            <w:tcW w:w="1096" w:type="dxa"/>
            <w:tcBorders>
              <w:top w:val="nil"/>
              <w:left w:val="nil"/>
              <w:bottom w:val="nil"/>
              <w:right w:val="nil"/>
            </w:tcBorders>
            <w:shd w:val="clear" w:color="auto" w:fill="auto"/>
            <w:noWrap/>
            <w:vAlign w:val="bottom"/>
            <w:hideMark/>
          </w:tcPr>
          <w:p w14:paraId="082AAA3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1,255 </w:t>
            </w:r>
          </w:p>
        </w:tc>
        <w:tc>
          <w:tcPr>
            <w:tcW w:w="116" w:type="dxa"/>
            <w:tcBorders>
              <w:top w:val="nil"/>
              <w:left w:val="nil"/>
              <w:bottom w:val="nil"/>
              <w:right w:val="nil"/>
            </w:tcBorders>
            <w:shd w:val="clear" w:color="auto" w:fill="auto"/>
            <w:noWrap/>
            <w:vAlign w:val="bottom"/>
            <w:hideMark/>
          </w:tcPr>
          <w:p w14:paraId="67CFD96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BD4998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1,053 </w:t>
            </w:r>
          </w:p>
        </w:tc>
        <w:tc>
          <w:tcPr>
            <w:tcW w:w="116" w:type="dxa"/>
            <w:tcBorders>
              <w:top w:val="nil"/>
              <w:left w:val="nil"/>
              <w:bottom w:val="nil"/>
              <w:right w:val="nil"/>
            </w:tcBorders>
            <w:shd w:val="clear" w:color="auto" w:fill="auto"/>
            <w:noWrap/>
            <w:vAlign w:val="bottom"/>
            <w:hideMark/>
          </w:tcPr>
          <w:p w14:paraId="161226E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516B76D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3,470 </w:t>
            </w:r>
          </w:p>
        </w:tc>
        <w:tc>
          <w:tcPr>
            <w:tcW w:w="116" w:type="dxa"/>
            <w:tcBorders>
              <w:top w:val="nil"/>
              <w:left w:val="nil"/>
              <w:bottom w:val="nil"/>
              <w:right w:val="nil"/>
            </w:tcBorders>
            <w:shd w:val="clear" w:color="auto" w:fill="auto"/>
            <w:noWrap/>
            <w:vAlign w:val="bottom"/>
            <w:hideMark/>
          </w:tcPr>
          <w:p w14:paraId="22BAC07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1757A9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2,772 </w:t>
            </w:r>
          </w:p>
        </w:tc>
      </w:tr>
      <w:tr w:rsidR="00A32E9B" w:rsidRPr="00F01024" w14:paraId="6FC493B6" w14:textId="77777777" w:rsidTr="0065680A">
        <w:trPr>
          <w:trHeight w:val="570"/>
        </w:trPr>
        <w:tc>
          <w:tcPr>
            <w:tcW w:w="3196" w:type="dxa"/>
            <w:tcBorders>
              <w:top w:val="nil"/>
              <w:left w:val="nil"/>
              <w:bottom w:val="nil"/>
              <w:right w:val="nil"/>
            </w:tcBorders>
            <w:shd w:val="clear" w:color="auto" w:fill="auto"/>
            <w:vAlign w:val="bottom"/>
            <w:hideMark/>
          </w:tcPr>
          <w:p w14:paraId="00C05AD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Stock-based compensation</w:t>
            </w:r>
            <w:r w:rsidRPr="00F01024">
              <w:rPr>
                <w:rFonts w:ascii="Segoe UI" w:eastAsia="Times New Roman" w:hAnsi="Segoe UI" w:cs="Segoe UI"/>
                <w:color w:val="666666"/>
                <w:sz w:val="20"/>
                <w:szCs w:val="20"/>
              </w:rPr>
              <w:br/>
              <w:t xml:space="preserve">      expense</w:t>
            </w:r>
          </w:p>
        </w:tc>
        <w:tc>
          <w:tcPr>
            <w:tcW w:w="1096" w:type="dxa"/>
            <w:tcBorders>
              <w:top w:val="nil"/>
              <w:left w:val="nil"/>
              <w:bottom w:val="nil"/>
              <w:right w:val="nil"/>
            </w:tcBorders>
            <w:shd w:val="clear" w:color="auto" w:fill="auto"/>
            <w:noWrap/>
            <w:vAlign w:val="bottom"/>
            <w:hideMark/>
          </w:tcPr>
          <w:p w14:paraId="6E6A113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602 </w:t>
            </w:r>
          </w:p>
        </w:tc>
        <w:tc>
          <w:tcPr>
            <w:tcW w:w="116" w:type="dxa"/>
            <w:tcBorders>
              <w:top w:val="nil"/>
              <w:left w:val="nil"/>
              <w:bottom w:val="nil"/>
              <w:right w:val="nil"/>
            </w:tcBorders>
            <w:shd w:val="clear" w:color="auto" w:fill="auto"/>
            <w:noWrap/>
            <w:vAlign w:val="bottom"/>
            <w:hideMark/>
          </w:tcPr>
          <w:p w14:paraId="7622874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5AB90C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599 </w:t>
            </w:r>
          </w:p>
        </w:tc>
        <w:tc>
          <w:tcPr>
            <w:tcW w:w="116" w:type="dxa"/>
            <w:tcBorders>
              <w:top w:val="nil"/>
              <w:left w:val="nil"/>
              <w:bottom w:val="nil"/>
              <w:right w:val="nil"/>
            </w:tcBorders>
            <w:shd w:val="clear" w:color="auto" w:fill="auto"/>
            <w:noWrap/>
            <w:vAlign w:val="bottom"/>
            <w:hideMark/>
          </w:tcPr>
          <w:p w14:paraId="41DDAC6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02BFFA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1,828 </w:t>
            </w:r>
          </w:p>
        </w:tc>
        <w:tc>
          <w:tcPr>
            <w:tcW w:w="116" w:type="dxa"/>
            <w:tcBorders>
              <w:top w:val="nil"/>
              <w:left w:val="nil"/>
              <w:bottom w:val="nil"/>
              <w:right w:val="nil"/>
            </w:tcBorders>
            <w:shd w:val="clear" w:color="auto" w:fill="auto"/>
            <w:noWrap/>
            <w:vAlign w:val="bottom"/>
            <w:hideMark/>
          </w:tcPr>
          <w:p w14:paraId="62FA81E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F56609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1,805 </w:t>
            </w:r>
          </w:p>
        </w:tc>
      </w:tr>
      <w:tr w:rsidR="00A32E9B" w:rsidRPr="00F01024" w14:paraId="3A532216" w14:textId="77777777" w:rsidTr="0065680A">
        <w:trPr>
          <w:trHeight w:val="855"/>
        </w:trPr>
        <w:tc>
          <w:tcPr>
            <w:tcW w:w="3196" w:type="dxa"/>
            <w:tcBorders>
              <w:top w:val="nil"/>
              <w:left w:val="nil"/>
              <w:bottom w:val="nil"/>
              <w:right w:val="nil"/>
            </w:tcBorders>
            <w:shd w:val="clear" w:color="auto" w:fill="auto"/>
            <w:vAlign w:val="bottom"/>
            <w:hideMark/>
          </w:tcPr>
          <w:p w14:paraId="6363ADE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Net recognized losses (gains)</w:t>
            </w:r>
            <w:r w:rsidRPr="00F01024">
              <w:rPr>
                <w:rFonts w:ascii="Segoe UI" w:eastAsia="Times New Roman" w:hAnsi="Segoe UI" w:cs="Segoe UI"/>
                <w:color w:val="666666"/>
                <w:sz w:val="20"/>
                <w:szCs w:val="20"/>
              </w:rPr>
              <w:br/>
              <w:t xml:space="preserve">      on investments and</w:t>
            </w:r>
            <w:r w:rsidRPr="00F01024">
              <w:rPr>
                <w:rFonts w:ascii="Segoe UI" w:eastAsia="Times New Roman" w:hAnsi="Segoe UI" w:cs="Segoe UI"/>
                <w:color w:val="666666"/>
                <w:sz w:val="20"/>
                <w:szCs w:val="20"/>
              </w:rPr>
              <w:br/>
              <w:t xml:space="preserve">      derivatives</w:t>
            </w:r>
          </w:p>
        </w:tc>
        <w:tc>
          <w:tcPr>
            <w:tcW w:w="1096" w:type="dxa"/>
            <w:tcBorders>
              <w:top w:val="nil"/>
              <w:left w:val="nil"/>
              <w:bottom w:val="nil"/>
              <w:right w:val="nil"/>
            </w:tcBorders>
            <w:shd w:val="clear" w:color="auto" w:fill="auto"/>
            <w:noWrap/>
            <w:vAlign w:val="bottom"/>
            <w:hideMark/>
          </w:tcPr>
          <w:p w14:paraId="0213F38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(40)</w:t>
            </w:r>
          </w:p>
        </w:tc>
        <w:tc>
          <w:tcPr>
            <w:tcW w:w="116" w:type="dxa"/>
            <w:tcBorders>
              <w:top w:val="nil"/>
              <w:left w:val="nil"/>
              <w:bottom w:val="nil"/>
              <w:right w:val="nil"/>
            </w:tcBorders>
            <w:shd w:val="clear" w:color="auto" w:fill="auto"/>
            <w:noWrap/>
            <w:vAlign w:val="bottom"/>
            <w:hideMark/>
          </w:tcPr>
          <w:p w14:paraId="52715B4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1C699B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(52)</w:t>
            </w:r>
          </w:p>
        </w:tc>
        <w:tc>
          <w:tcPr>
            <w:tcW w:w="116" w:type="dxa"/>
            <w:tcBorders>
              <w:top w:val="nil"/>
              <w:left w:val="nil"/>
              <w:bottom w:val="nil"/>
              <w:right w:val="nil"/>
            </w:tcBorders>
            <w:shd w:val="clear" w:color="auto" w:fill="auto"/>
            <w:noWrap/>
            <w:vAlign w:val="bottom"/>
            <w:hideMark/>
          </w:tcPr>
          <w:p w14:paraId="1B03EEC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0ED08D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100 </w:t>
            </w:r>
          </w:p>
        </w:tc>
        <w:tc>
          <w:tcPr>
            <w:tcW w:w="116" w:type="dxa"/>
            <w:tcBorders>
              <w:top w:val="nil"/>
              <w:left w:val="nil"/>
              <w:bottom w:val="nil"/>
              <w:right w:val="nil"/>
            </w:tcBorders>
            <w:shd w:val="clear" w:color="auto" w:fill="auto"/>
            <w:noWrap/>
            <w:vAlign w:val="bottom"/>
            <w:hideMark/>
          </w:tcPr>
          <w:p w14:paraId="2078D5D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6B008E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(19)</w:t>
            </w:r>
          </w:p>
        </w:tc>
      </w:tr>
      <w:tr w:rsidR="00A32E9B" w:rsidRPr="00F01024" w14:paraId="4576BC5A" w14:textId="77777777" w:rsidTr="0065680A">
        <w:trPr>
          <w:trHeight w:val="570"/>
        </w:trPr>
        <w:tc>
          <w:tcPr>
            <w:tcW w:w="3196" w:type="dxa"/>
            <w:tcBorders>
              <w:top w:val="nil"/>
              <w:left w:val="nil"/>
              <w:bottom w:val="nil"/>
              <w:right w:val="nil"/>
            </w:tcBorders>
            <w:shd w:val="clear" w:color="auto" w:fill="auto"/>
            <w:vAlign w:val="bottom"/>
            <w:hideMark/>
          </w:tcPr>
          <w:p w14:paraId="224F67C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Excess tax benefits from</w:t>
            </w:r>
            <w:r w:rsidRPr="00F01024">
              <w:rPr>
                <w:rFonts w:ascii="Segoe UI" w:eastAsia="Times New Roman" w:hAnsi="Segoe UI" w:cs="Segoe UI"/>
                <w:color w:val="666666"/>
                <w:sz w:val="20"/>
                <w:szCs w:val="20"/>
              </w:rPr>
              <w:br/>
              <w:t xml:space="preserve">      stock-based compensation</w:t>
            </w:r>
          </w:p>
        </w:tc>
        <w:tc>
          <w:tcPr>
            <w:tcW w:w="1096" w:type="dxa"/>
            <w:tcBorders>
              <w:top w:val="nil"/>
              <w:left w:val="nil"/>
              <w:bottom w:val="nil"/>
              <w:right w:val="nil"/>
            </w:tcBorders>
            <w:shd w:val="clear" w:color="auto" w:fill="auto"/>
            <w:noWrap/>
            <w:vAlign w:val="bottom"/>
            <w:hideMark/>
          </w:tcPr>
          <w:p w14:paraId="5B4D299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(22)</w:t>
            </w:r>
          </w:p>
        </w:tc>
        <w:tc>
          <w:tcPr>
            <w:tcW w:w="116" w:type="dxa"/>
            <w:tcBorders>
              <w:top w:val="nil"/>
              <w:left w:val="nil"/>
              <w:bottom w:val="nil"/>
              <w:right w:val="nil"/>
            </w:tcBorders>
            <w:shd w:val="clear" w:color="auto" w:fill="auto"/>
            <w:noWrap/>
            <w:vAlign w:val="bottom"/>
            <w:hideMark/>
          </w:tcPr>
          <w:p w14:paraId="3A40653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37791A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(6)</w:t>
            </w:r>
          </w:p>
        </w:tc>
        <w:tc>
          <w:tcPr>
            <w:tcW w:w="116" w:type="dxa"/>
            <w:tcBorders>
              <w:top w:val="nil"/>
              <w:left w:val="nil"/>
              <w:bottom w:val="nil"/>
              <w:right w:val="nil"/>
            </w:tcBorders>
            <w:shd w:val="clear" w:color="auto" w:fill="auto"/>
            <w:noWrap/>
            <w:vAlign w:val="bottom"/>
            <w:hideMark/>
          </w:tcPr>
          <w:p w14:paraId="2D1C512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261D43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(247)</w:t>
            </w:r>
          </w:p>
        </w:tc>
        <w:tc>
          <w:tcPr>
            <w:tcW w:w="116" w:type="dxa"/>
            <w:tcBorders>
              <w:top w:val="nil"/>
              <w:left w:val="nil"/>
              <w:bottom w:val="nil"/>
              <w:right w:val="nil"/>
            </w:tcBorders>
            <w:shd w:val="clear" w:color="auto" w:fill="auto"/>
            <w:noWrap/>
            <w:vAlign w:val="bottom"/>
            <w:hideMark/>
          </w:tcPr>
          <w:p w14:paraId="6E17A27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BC0909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(192)</w:t>
            </w:r>
          </w:p>
        </w:tc>
      </w:tr>
      <w:tr w:rsidR="00A32E9B" w:rsidRPr="00F01024" w14:paraId="33B33AAB" w14:textId="77777777" w:rsidTr="0065680A">
        <w:trPr>
          <w:trHeight w:val="285"/>
        </w:trPr>
        <w:tc>
          <w:tcPr>
            <w:tcW w:w="3196" w:type="dxa"/>
            <w:tcBorders>
              <w:top w:val="nil"/>
              <w:left w:val="nil"/>
              <w:bottom w:val="nil"/>
              <w:right w:val="nil"/>
            </w:tcBorders>
            <w:shd w:val="clear" w:color="auto" w:fill="auto"/>
            <w:vAlign w:val="bottom"/>
            <w:hideMark/>
          </w:tcPr>
          <w:p w14:paraId="7724B2F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Deferred income taxes</w:t>
            </w:r>
          </w:p>
        </w:tc>
        <w:tc>
          <w:tcPr>
            <w:tcW w:w="1096" w:type="dxa"/>
            <w:tcBorders>
              <w:top w:val="nil"/>
              <w:left w:val="nil"/>
              <w:bottom w:val="nil"/>
              <w:right w:val="nil"/>
            </w:tcBorders>
            <w:shd w:val="clear" w:color="auto" w:fill="auto"/>
            <w:noWrap/>
            <w:vAlign w:val="bottom"/>
            <w:hideMark/>
          </w:tcPr>
          <w:p w14:paraId="55F1B71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(190)</w:t>
            </w:r>
          </w:p>
        </w:tc>
        <w:tc>
          <w:tcPr>
            <w:tcW w:w="116" w:type="dxa"/>
            <w:tcBorders>
              <w:top w:val="nil"/>
              <w:left w:val="nil"/>
              <w:bottom w:val="nil"/>
              <w:right w:val="nil"/>
            </w:tcBorders>
            <w:shd w:val="clear" w:color="auto" w:fill="auto"/>
            <w:noWrap/>
            <w:vAlign w:val="bottom"/>
            <w:hideMark/>
          </w:tcPr>
          <w:p w14:paraId="350AE59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E15EC8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226 </w:t>
            </w:r>
          </w:p>
        </w:tc>
        <w:tc>
          <w:tcPr>
            <w:tcW w:w="116" w:type="dxa"/>
            <w:tcBorders>
              <w:top w:val="nil"/>
              <w:left w:val="nil"/>
              <w:bottom w:val="nil"/>
              <w:right w:val="nil"/>
            </w:tcBorders>
            <w:shd w:val="clear" w:color="auto" w:fill="auto"/>
            <w:noWrap/>
            <w:vAlign w:val="bottom"/>
            <w:hideMark/>
          </w:tcPr>
          <w:p w14:paraId="2A20C73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68896A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38 </w:t>
            </w:r>
          </w:p>
        </w:tc>
        <w:tc>
          <w:tcPr>
            <w:tcW w:w="116" w:type="dxa"/>
            <w:tcBorders>
              <w:top w:val="nil"/>
              <w:left w:val="nil"/>
              <w:bottom w:val="nil"/>
              <w:right w:val="nil"/>
            </w:tcBorders>
            <w:shd w:val="clear" w:color="auto" w:fill="auto"/>
            <w:noWrap/>
            <w:vAlign w:val="bottom"/>
            <w:hideMark/>
          </w:tcPr>
          <w:p w14:paraId="010750B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0AF649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404 </w:t>
            </w:r>
          </w:p>
        </w:tc>
      </w:tr>
      <w:tr w:rsidR="00A32E9B" w:rsidRPr="00F01024" w14:paraId="3B939738" w14:textId="77777777" w:rsidTr="0065680A">
        <w:trPr>
          <w:trHeight w:val="285"/>
        </w:trPr>
        <w:tc>
          <w:tcPr>
            <w:tcW w:w="3196" w:type="dxa"/>
            <w:tcBorders>
              <w:top w:val="nil"/>
              <w:left w:val="nil"/>
              <w:bottom w:val="nil"/>
              <w:right w:val="nil"/>
            </w:tcBorders>
            <w:shd w:val="clear" w:color="auto" w:fill="auto"/>
            <w:vAlign w:val="bottom"/>
            <w:hideMark/>
          </w:tcPr>
          <w:p w14:paraId="7DDE857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Deferral of unearned revenue</w:t>
            </w:r>
          </w:p>
        </w:tc>
        <w:tc>
          <w:tcPr>
            <w:tcW w:w="1096" w:type="dxa"/>
            <w:tcBorders>
              <w:top w:val="nil"/>
              <w:left w:val="nil"/>
              <w:bottom w:val="nil"/>
              <w:right w:val="nil"/>
            </w:tcBorders>
            <w:shd w:val="clear" w:color="auto" w:fill="auto"/>
            <w:noWrap/>
            <w:vAlign w:val="bottom"/>
            <w:hideMark/>
          </w:tcPr>
          <w:p w14:paraId="5CB3893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10,175 </w:t>
            </w:r>
          </w:p>
        </w:tc>
        <w:tc>
          <w:tcPr>
            <w:tcW w:w="116" w:type="dxa"/>
            <w:tcBorders>
              <w:top w:val="nil"/>
              <w:left w:val="nil"/>
              <w:bottom w:val="nil"/>
              <w:right w:val="nil"/>
            </w:tcBorders>
            <w:shd w:val="clear" w:color="auto" w:fill="auto"/>
            <w:noWrap/>
            <w:vAlign w:val="bottom"/>
            <w:hideMark/>
          </w:tcPr>
          <w:p w14:paraId="6EA4478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F587DC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9,686 </w:t>
            </w:r>
          </w:p>
        </w:tc>
        <w:tc>
          <w:tcPr>
            <w:tcW w:w="116" w:type="dxa"/>
            <w:tcBorders>
              <w:top w:val="nil"/>
              <w:left w:val="nil"/>
              <w:bottom w:val="nil"/>
              <w:right w:val="nil"/>
            </w:tcBorders>
            <w:shd w:val="clear" w:color="auto" w:fill="auto"/>
            <w:noWrap/>
            <w:vAlign w:val="bottom"/>
            <w:hideMark/>
          </w:tcPr>
          <w:p w14:paraId="70DEFC3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57E7C2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27,456 </w:t>
            </w:r>
          </w:p>
        </w:tc>
        <w:tc>
          <w:tcPr>
            <w:tcW w:w="116" w:type="dxa"/>
            <w:tcBorders>
              <w:top w:val="nil"/>
              <w:left w:val="nil"/>
              <w:bottom w:val="nil"/>
              <w:right w:val="nil"/>
            </w:tcBorders>
            <w:shd w:val="clear" w:color="auto" w:fill="auto"/>
            <w:noWrap/>
            <w:vAlign w:val="bottom"/>
            <w:hideMark/>
          </w:tcPr>
          <w:p w14:paraId="506EE58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968265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28,632 </w:t>
            </w:r>
          </w:p>
        </w:tc>
      </w:tr>
      <w:tr w:rsidR="00A32E9B" w:rsidRPr="00F01024" w14:paraId="0ADE8125" w14:textId="77777777" w:rsidTr="0065680A">
        <w:trPr>
          <w:trHeight w:val="570"/>
        </w:trPr>
        <w:tc>
          <w:tcPr>
            <w:tcW w:w="3196" w:type="dxa"/>
            <w:tcBorders>
              <w:top w:val="nil"/>
              <w:left w:val="nil"/>
              <w:bottom w:val="nil"/>
              <w:right w:val="nil"/>
            </w:tcBorders>
            <w:shd w:val="clear" w:color="auto" w:fill="auto"/>
            <w:vAlign w:val="bottom"/>
            <w:hideMark/>
          </w:tcPr>
          <w:p w14:paraId="281D215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Recognition of unearned</w:t>
            </w:r>
            <w:r w:rsidRPr="00F01024">
              <w:rPr>
                <w:rFonts w:ascii="Segoe UI" w:eastAsia="Times New Roman" w:hAnsi="Segoe UI" w:cs="Segoe UI"/>
                <w:color w:val="666666"/>
                <w:sz w:val="20"/>
                <w:szCs w:val="20"/>
              </w:rPr>
              <w:br/>
              <w:t xml:space="preserve">      revenue</w:t>
            </w:r>
          </w:p>
        </w:tc>
        <w:tc>
          <w:tcPr>
            <w:tcW w:w="1096" w:type="dxa"/>
            <w:tcBorders>
              <w:top w:val="nil"/>
              <w:left w:val="nil"/>
              <w:bottom w:val="nil"/>
              <w:right w:val="nil"/>
            </w:tcBorders>
            <w:shd w:val="clear" w:color="auto" w:fill="auto"/>
            <w:noWrap/>
            <w:vAlign w:val="bottom"/>
            <w:hideMark/>
          </w:tcPr>
          <w:p w14:paraId="009543A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(10,139)</w:t>
            </w:r>
          </w:p>
        </w:tc>
        <w:tc>
          <w:tcPr>
            <w:tcW w:w="116" w:type="dxa"/>
            <w:tcBorders>
              <w:top w:val="nil"/>
              <w:left w:val="nil"/>
              <w:bottom w:val="nil"/>
              <w:right w:val="nil"/>
            </w:tcBorders>
            <w:shd w:val="clear" w:color="auto" w:fill="auto"/>
            <w:noWrap/>
            <w:vAlign w:val="bottom"/>
            <w:hideMark/>
          </w:tcPr>
          <w:p w14:paraId="79511BD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7A6979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(11,599)</w:t>
            </w:r>
          </w:p>
        </w:tc>
        <w:tc>
          <w:tcPr>
            <w:tcW w:w="116" w:type="dxa"/>
            <w:tcBorders>
              <w:top w:val="nil"/>
              <w:left w:val="nil"/>
              <w:bottom w:val="nil"/>
              <w:right w:val="nil"/>
            </w:tcBorders>
            <w:shd w:val="clear" w:color="auto" w:fill="auto"/>
            <w:noWrap/>
            <w:vAlign w:val="bottom"/>
            <w:hideMark/>
          </w:tcPr>
          <w:p w14:paraId="0D1385E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104D24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(30,394)</w:t>
            </w:r>
          </w:p>
        </w:tc>
        <w:tc>
          <w:tcPr>
            <w:tcW w:w="116" w:type="dxa"/>
            <w:tcBorders>
              <w:top w:val="nil"/>
              <w:left w:val="nil"/>
              <w:bottom w:val="nil"/>
              <w:right w:val="nil"/>
            </w:tcBorders>
            <w:shd w:val="clear" w:color="auto" w:fill="auto"/>
            <w:noWrap/>
            <w:vAlign w:val="bottom"/>
            <w:hideMark/>
          </w:tcPr>
          <w:p w14:paraId="71039BB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279EF4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(30,852)</w:t>
            </w:r>
          </w:p>
        </w:tc>
      </w:tr>
      <w:tr w:rsidR="00A32E9B" w:rsidRPr="00F01024" w14:paraId="27D2EFD9" w14:textId="77777777" w:rsidTr="0065680A">
        <w:trPr>
          <w:trHeight w:val="570"/>
        </w:trPr>
        <w:tc>
          <w:tcPr>
            <w:tcW w:w="3196" w:type="dxa"/>
            <w:tcBorders>
              <w:top w:val="nil"/>
              <w:left w:val="nil"/>
              <w:bottom w:val="nil"/>
              <w:right w:val="nil"/>
            </w:tcBorders>
            <w:shd w:val="clear" w:color="auto" w:fill="auto"/>
            <w:vAlign w:val="bottom"/>
            <w:hideMark/>
          </w:tcPr>
          <w:p w14:paraId="150D1AF2"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Changes in operating assets</w:t>
            </w:r>
            <w:r w:rsidRPr="00F01024">
              <w:rPr>
                <w:rFonts w:ascii="Segoe UI" w:eastAsia="Times New Roman" w:hAnsi="Segoe UI" w:cs="Segoe UI"/>
                <w:color w:val="666666"/>
                <w:sz w:val="20"/>
                <w:szCs w:val="20"/>
              </w:rPr>
              <w:br/>
              <w:t xml:space="preserve">      and liabilities:</w:t>
            </w:r>
          </w:p>
        </w:tc>
        <w:tc>
          <w:tcPr>
            <w:tcW w:w="1096" w:type="dxa"/>
            <w:tcBorders>
              <w:top w:val="nil"/>
              <w:left w:val="nil"/>
              <w:bottom w:val="nil"/>
              <w:right w:val="nil"/>
            </w:tcBorders>
            <w:shd w:val="clear" w:color="auto" w:fill="auto"/>
            <w:noWrap/>
            <w:vAlign w:val="bottom"/>
            <w:hideMark/>
          </w:tcPr>
          <w:p w14:paraId="32CF79BA" w14:textId="77777777" w:rsidR="00A32E9B" w:rsidRPr="00F01024" w:rsidRDefault="00A32E9B" w:rsidP="001F78EF">
            <w:pPr>
              <w:spacing w:after="0" w:line="240" w:lineRule="auto"/>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5C7D96CE"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590F4C8E"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3AF8B6C2"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7287FBC7"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65D2F02F"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685534AE"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0BAAB7A0" w14:textId="77777777" w:rsidTr="0065680A">
        <w:trPr>
          <w:trHeight w:val="285"/>
        </w:trPr>
        <w:tc>
          <w:tcPr>
            <w:tcW w:w="3196" w:type="dxa"/>
            <w:tcBorders>
              <w:top w:val="nil"/>
              <w:left w:val="nil"/>
              <w:bottom w:val="nil"/>
              <w:right w:val="nil"/>
            </w:tcBorders>
            <w:shd w:val="clear" w:color="auto" w:fill="auto"/>
            <w:vAlign w:val="bottom"/>
            <w:hideMark/>
          </w:tcPr>
          <w:p w14:paraId="62481C3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Accounts receivable</w:t>
            </w:r>
          </w:p>
        </w:tc>
        <w:tc>
          <w:tcPr>
            <w:tcW w:w="1096" w:type="dxa"/>
            <w:tcBorders>
              <w:top w:val="nil"/>
              <w:left w:val="nil"/>
              <w:bottom w:val="nil"/>
              <w:right w:val="nil"/>
            </w:tcBorders>
            <w:shd w:val="clear" w:color="auto" w:fill="auto"/>
            <w:noWrap/>
            <w:vAlign w:val="bottom"/>
            <w:hideMark/>
          </w:tcPr>
          <w:p w14:paraId="03704A2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2,501 </w:t>
            </w:r>
          </w:p>
        </w:tc>
        <w:tc>
          <w:tcPr>
            <w:tcW w:w="116" w:type="dxa"/>
            <w:tcBorders>
              <w:top w:val="nil"/>
              <w:left w:val="nil"/>
              <w:bottom w:val="nil"/>
              <w:right w:val="nil"/>
            </w:tcBorders>
            <w:shd w:val="clear" w:color="auto" w:fill="auto"/>
            <w:noWrap/>
            <w:vAlign w:val="bottom"/>
            <w:hideMark/>
          </w:tcPr>
          <w:p w14:paraId="05D93C3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9E6F9F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2,191 </w:t>
            </w:r>
          </w:p>
        </w:tc>
        <w:tc>
          <w:tcPr>
            <w:tcW w:w="116" w:type="dxa"/>
            <w:tcBorders>
              <w:top w:val="nil"/>
              <w:left w:val="nil"/>
              <w:bottom w:val="nil"/>
              <w:right w:val="nil"/>
            </w:tcBorders>
            <w:shd w:val="clear" w:color="auto" w:fill="auto"/>
            <w:noWrap/>
            <w:vAlign w:val="bottom"/>
            <w:hideMark/>
          </w:tcPr>
          <w:p w14:paraId="2D10749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6B55821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4,243 </w:t>
            </w:r>
          </w:p>
        </w:tc>
        <w:tc>
          <w:tcPr>
            <w:tcW w:w="116" w:type="dxa"/>
            <w:tcBorders>
              <w:top w:val="nil"/>
              <w:left w:val="nil"/>
              <w:bottom w:val="nil"/>
              <w:right w:val="nil"/>
            </w:tcBorders>
            <w:shd w:val="clear" w:color="auto" w:fill="auto"/>
            <w:noWrap/>
            <w:vAlign w:val="bottom"/>
            <w:hideMark/>
          </w:tcPr>
          <w:p w14:paraId="4A6BD5B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5F38E6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3,859 </w:t>
            </w:r>
          </w:p>
        </w:tc>
      </w:tr>
      <w:tr w:rsidR="00A32E9B" w:rsidRPr="00F01024" w14:paraId="7A8D509C" w14:textId="77777777" w:rsidTr="0065680A">
        <w:trPr>
          <w:trHeight w:val="285"/>
        </w:trPr>
        <w:tc>
          <w:tcPr>
            <w:tcW w:w="3196" w:type="dxa"/>
            <w:tcBorders>
              <w:top w:val="nil"/>
              <w:left w:val="nil"/>
              <w:bottom w:val="nil"/>
              <w:right w:val="nil"/>
            </w:tcBorders>
            <w:shd w:val="clear" w:color="auto" w:fill="auto"/>
            <w:vAlign w:val="bottom"/>
            <w:hideMark/>
          </w:tcPr>
          <w:p w14:paraId="2F531D1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Inventories</w:t>
            </w:r>
          </w:p>
        </w:tc>
        <w:tc>
          <w:tcPr>
            <w:tcW w:w="1096" w:type="dxa"/>
            <w:tcBorders>
              <w:top w:val="nil"/>
              <w:left w:val="nil"/>
              <w:bottom w:val="nil"/>
              <w:right w:val="nil"/>
            </w:tcBorders>
            <w:shd w:val="clear" w:color="auto" w:fill="auto"/>
            <w:noWrap/>
            <w:vAlign w:val="bottom"/>
            <w:hideMark/>
          </w:tcPr>
          <w:p w14:paraId="228EC18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(324)</w:t>
            </w:r>
          </w:p>
        </w:tc>
        <w:tc>
          <w:tcPr>
            <w:tcW w:w="116" w:type="dxa"/>
            <w:tcBorders>
              <w:top w:val="nil"/>
              <w:left w:val="nil"/>
              <w:bottom w:val="nil"/>
              <w:right w:val="nil"/>
            </w:tcBorders>
            <w:shd w:val="clear" w:color="auto" w:fill="auto"/>
            <w:noWrap/>
            <w:vAlign w:val="bottom"/>
            <w:hideMark/>
          </w:tcPr>
          <w:p w14:paraId="59A36CA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D8B176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(483)</w:t>
            </w:r>
          </w:p>
        </w:tc>
        <w:tc>
          <w:tcPr>
            <w:tcW w:w="116" w:type="dxa"/>
            <w:tcBorders>
              <w:top w:val="nil"/>
              <w:left w:val="nil"/>
              <w:bottom w:val="nil"/>
              <w:right w:val="nil"/>
            </w:tcBorders>
            <w:shd w:val="clear" w:color="auto" w:fill="auto"/>
            <w:noWrap/>
            <w:vAlign w:val="bottom"/>
            <w:hideMark/>
          </w:tcPr>
          <w:p w14:paraId="0C0CDB9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6451640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38 </w:t>
            </w:r>
          </w:p>
        </w:tc>
        <w:tc>
          <w:tcPr>
            <w:tcW w:w="116" w:type="dxa"/>
            <w:tcBorders>
              <w:top w:val="nil"/>
              <w:left w:val="nil"/>
              <w:bottom w:val="nil"/>
              <w:right w:val="nil"/>
            </w:tcBorders>
            <w:shd w:val="clear" w:color="auto" w:fill="auto"/>
            <w:noWrap/>
            <w:vAlign w:val="bottom"/>
            <w:hideMark/>
          </w:tcPr>
          <w:p w14:paraId="2178675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3226BC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(989)</w:t>
            </w:r>
          </w:p>
        </w:tc>
      </w:tr>
      <w:tr w:rsidR="00A32E9B" w:rsidRPr="00F01024" w14:paraId="61E6F24F" w14:textId="77777777" w:rsidTr="0065680A">
        <w:trPr>
          <w:trHeight w:val="285"/>
        </w:trPr>
        <w:tc>
          <w:tcPr>
            <w:tcW w:w="3196" w:type="dxa"/>
            <w:tcBorders>
              <w:top w:val="nil"/>
              <w:left w:val="nil"/>
              <w:bottom w:val="nil"/>
              <w:right w:val="nil"/>
            </w:tcBorders>
            <w:shd w:val="clear" w:color="auto" w:fill="auto"/>
            <w:vAlign w:val="bottom"/>
            <w:hideMark/>
          </w:tcPr>
          <w:p w14:paraId="1A5A6E0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 current assets</w:t>
            </w:r>
          </w:p>
        </w:tc>
        <w:tc>
          <w:tcPr>
            <w:tcW w:w="1096" w:type="dxa"/>
            <w:tcBorders>
              <w:top w:val="nil"/>
              <w:left w:val="nil"/>
              <w:bottom w:val="nil"/>
              <w:right w:val="nil"/>
            </w:tcBorders>
            <w:shd w:val="clear" w:color="auto" w:fill="auto"/>
            <w:noWrap/>
            <w:vAlign w:val="bottom"/>
            <w:hideMark/>
          </w:tcPr>
          <w:p w14:paraId="1A3BD80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340 </w:t>
            </w:r>
          </w:p>
        </w:tc>
        <w:tc>
          <w:tcPr>
            <w:tcW w:w="116" w:type="dxa"/>
            <w:tcBorders>
              <w:top w:val="nil"/>
              <w:left w:val="nil"/>
              <w:bottom w:val="nil"/>
              <w:right w:val="nil"/>
            </w:tcBorders>
            <w:shd w:val="clear" w:color="auto" w:fill="auto"/>
            <w:noWrap/>
            <w:vAlign w:val="bottom"/>
            <w:hideMark/>
          </w:tcPr>
          <w:p w14:paraId="04DBB4C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BB2F22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139 </w:t>
            </w:r>
          </w:p>
        </w:tc>
        <w:tc>
          <w:tcPr>
            <w:tcW w:w="116" w:type="dxa"/>
            <w:tcBorders>
              <w:top w:val="nil"/>
              <w:left w:val="nil"/>
              <w:bottom w:val="nil"/>
              <w:right w:val="nil"/>
            </w:tcBorders>
            <w:shd w:val="clear" w:color="auto" w:fill="auto"/>
            <w:noWrap/>
            <w:vAlign w:val="bottom"/>
            <w:hideMark/>
          </w:tcPr>
          <w:p w14:paraId="1B00EDC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DADDD7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(311)</w:t>
            </w:r>
          </w:p>
        </w:tc>
        <w:tc>
          <w:tcPr>
            <w:tcW w:w="116" w:type="dxa"/>
            <w:tcBorders>
              <w:top w:val="nil"/>
              <w:left w:val="nil"/>
              <w:bottom w:val="nil"/>
              <w:right w:val="nil"/>
            </w:tcBorders>
            <w:shd w:val="clear" w:color="auto" w:fill="auto"/>
            <w:noWrap/>
            <w:vAlign w:val="bottom"/>
            <w:hideMark/>
          </w:tcPr>
          <w:p w14:paraId="62158AE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F7E78A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(96)</w:t>
            </w:r>
          </w:p>
        </w:tc>
      </w:tr>
      <w:tr w:rsidR="00A32E9B" w:rsidRPr="00F01024" w14:paraId="1179E39D" w14:textId="77777777" w:rsidTr="0065680A">
        <w:trPr>
          <w:trHeight w:val="285"/>
        </w:trPr>
        <w:tc>
          <w:tcPr>
            <w:tcW w:w="3196" w:type="dxa"/>
            <w:tcBorders>
              <w:top w:val="nil"/>
              <w:left w:val="nil"/>
              <w:bottom w:val="nil"/>
              <w:right w:val="nil"/>
            </w:tcBorders>
            <w:shd w:val="clear" w:color="auto" w:fill="auto"/>
            <w:vAlign w:val="bottom"/>
            <w:hideMark/>
          </w:tcPr>
          <w:p w14:paraId="73EAAC8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 long-term assets</w:t>
            </w:r>
          </w:p>
        </w:tc>
        <w:tc>
          <w:tcPr>
            <w:tcW w:w="1096" w:type="dxa"/>
            <w:tcBorders>
              <w:top w:val="nil"/>
              <w:left w:val="nil"/>
              <w:bottom w:val="nil"/>
              <w:right w:val="nil"/>
            </w:tcBorders>
            <w:shd w:val="clear" w:color="auto" w:fill="auto"/>
            <w:noWrap/>
            <w:vAlign w:val="bottom"/>
            <w:hideMark/>
          </w:tcPr>
          <w:p w14:paraId="0CE952C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(73)</w:t>
            </w:r>
          </w:p>
        </w:tc>
        <w:tc>
          <w:tcPr>
            <w:tcW w:w="116" w:type="dxa"/>
            <w:tcBorders>
              <w:top w:val="nil"/>
              <w:left w:val="nil"/>
              <w:bottom w:val="nil"/>
              <w:right w:val="nil"/>
            </w:tcBorders>
            <w:shd w:val="clear" w:color="auto" w:fill="auto"/>
            <w:noWrap/>
            <w:vAlign w:val="bottom"/>
            <w:hideMark/>
          </w:tcPr>
          <w:p w14:paraId="6E190B2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1CD00B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(13)</w:t>
            </w:r>
          </w:p>
        </w:tc>
        <w:tc>
          <w:tcPr>
            <w:tcW w:w="116" w:type="dxa"/>
            <w:tcBorders>
              <w:top w:val="nil"/>
              <w:left w:val="nil"/>
              <w:bottom w:val="nil"/>
              <w:right w:val="nil"/>
            </w:tcBorders>
            <w:shd w:val="clear" w:color="auto" w:fill="auto"/>
            <w:noWrap/>
            <w:vAlign w:val="bottom"/>
            <w:hideMark/>
          </w:tcPr>
          <w:p w14:paraId="40A0BBD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153787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(469)</w:t>
            </w:r>
          </w:p>
        </w:tc>
        <w:tc>
          <w:tcPr>
            <w:tcW w:w="116" w:type="dxa"/>
            <w:tcBorders>
              <w:top w:val="nil"/>
              <w:left w:val="nil"/>
              <w:bottom w:val="nil"/>
              <w:right w:val="nil"/>
            </w:tcBorders>
            <w:shd w:val="clear" w:color="auto" w:fill="auto"/>
            <w:noWrap/>
            <w:vAlign w:val="bottom"/>
            <w:hideMark/>
          </w:tcPr>
          <w:p w14:paraId="2A40E75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6F6B49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(326)</w:t>
            </w:r>
          </w:p>
        </w:tc>
      </w:tr>
      <w:tr w:rsidR="00A32E9B" w:rsidRPr="00F01024" w14:paraId="4AC17765" w14:textId="77777777" w:rsidTr="0065680A">
        <w:trPr>
          <w:trHeight w:val="285"/>
        </w:trPr>
        <w:tc>
          <w:tcPr>
            <w:tcW w:w="3196" w:type="dxa"/>
            <w:tcBorders>
              <w:top w:val="nil"/>
              <w:left w:val="nil"/>
              <w:bottom w:val="nil"/>
              <w:right w:val="nil"/>
            </w:tcBorders>
            <w:shd w:val="clear" w:color="auto" w:fill="auto"/>
            <w:vAlign w:val="bottom"/>
            <w:hideMark/>
          </w:tcPr>
          <w:p w14:paraId="0C1DB5B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Accounts payable</w:t>
            </w:r>
          </w:p>
        </w:tc>
        <w:tc>
          <w:tcPr>
            <w:tcW w:w="1096" w:type="dxa"/>
            <w:tcBorders>
              <w:top w:val="nil"/>
              <w:left w:val="nil"/>
              <w:bottom w:val="nil"/>
              <w:right w:val="nil"/>
            </w:tcBorders>
            <w:shd w:val="clear" w:color="auto" w:fill="auto"/>
            <w:noWrap/>
            <w:vAlign w:val="bottom"/>
            <w:hideMark/>
          </w:tcPr>
          <w:p w14:paraId="6AD0B90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(716)</w:t>
            </w:r>
          </w:p>
        </w:tc>
        <w:tc>
          <w:tcPr>
            <w:tcW w:w="116" w:type="dxa"/>
            <w:tcBorders>
              <w:top w:val="nil"/>
              <w:left w:val="nil"/>
              <w:bottom w:val="nil"/>
              <w:right w:val="nil"/>
            </w:tcBorders>
            <w:shd w:val="clear" w:color="auto" w:fill="auto"/>
            <w:noWrap/>
            <w:vAlign w:val="bottom"/>
            <w:hideMark/>
          </w:tcPr>
          <w:p w14:paraId="6456CD9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11A969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(67)</w:t>
            </w:r>
          </w:p>
        </w:tc>
        <w:tc>
          <w:tcPr>
            <w:tcW w:w="116" w:type="dxa"/>
            <w:tcBorders>
              <w:top w:val="nil"/>
              <w:left w:val="nil"/>
              <w:bottom w:val="nil"/>
              <w:right w:val="nil"/>
            </w:tcBorders>
            <w:shd w:val="clear" w:color="auto" w:fill="auto"/>
            <w:noWrap/>
            <w:vAlign w:val="bottom"/>
            <w:hideMark/>
          </w:tcPr>
          <w:p w14:paraId="240FEC2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1E48BF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(390)</w:t>
            </w:r>
          </w:p>
        </w:tc>
        <w:tc>
          <w:tcPr>
            <w:tcW w:w="116" w:type="dxa"/>
            <w:tcBorders>
              <w:top w:val="nil"/>
              <w:left w:val="nil"/>
              <w:bottom w:val="nil"/>
              <w:right w:val="nil"/>
            </w:tcBorders>
            <w:shd w:val="clear" w:color="auto" w:fill="auto"/>
            <w:noWrap/>
            <w:vAlign w:val="bottom"/>
            <w:hideMark/>
          </w:tcPr>
          <w:p w14:paraId="07D926E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0B5D53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51 </w:t>
            </w:r>
          </w:p>
        </w:tc>
      </w:tr>
      <w:tr w:rsidR="00A32E9B" w:rsidRPr="00F01024" w14:paraId="34189966" w14:textId="77777777" w:rsidTr="0065680A">
        <w:trPr>
          <w:trHeight w:val="285"/>
        </w:trPr>
        <w:tc>
          <w:tcPr>
            <w:tcW w:w="3196" w:type="dxa"/>
            <w:tcBorders>
              <w:top w:val="nil"/>
              <w:left w:val="nil"/>
              <w:bottom w:val="nil"/>
              <w:right w:val="nil"/>
            </w:tcBorders>
            <w:shd w:val="clear" w:color="auto" w:fill="auto"/>
            <w:vAlign w:val="bottom"/>
            <w:hideMark/>
          </w:tcPr>
          <w:p w14:paraId="7B0E446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 current liabilities</w:t>
            </w:r>
          </w:p>
        </w:tc>
        <w:tc>
          <w:tcPr>
            <w:tcW w:w="1096" w:type="dxa"/>
            <w:tcBorders>
              <w:top w:val="nil"/>
              <w:left w:val="nil"/>
              <w:bottom w:val="nil"/>
              <w:right w:val="nil"/>
            </w:tcBorders>
            <w:shd w:val="clear" w:color="auto" w:fill="auto"/>
            <w:noWrap/>
            <w:vAlign w:val="bottom"/>
            <w:hideMark/>
          </w:tcPr>
          <w:p w14:paraId="6D6397D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870 </w:t>
            </w:r>
          </w:p>
        </w:tc>
        <w:tc>
          <w:tcPr>
            <w:tcW w:w="116" w:type="dxa"/>
            <w:tcBorders>
              <w:top w:val="nil"/>
              <w:left w:val="nil"/>
              <w:bottom w:val="nil"/>
              <w:right w:val="nil"/>
            </w:tcBorders>
            <w:shd w:val="clear" w:color="auto" w:fill="auto"/>
            <w:noWrap/>
            <w:vAlign w:val="bottom"/>
            <w:hideMark/>
          </w:tcPr>
          <w:p w14:paraId="20C4B40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53A33F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1,238 </w:t>
            </w:r>
          </w:p>
        </w:tc>
        <w:tc>
          <w:tcPr>
            <w:tcW w:w="116" w:type="dxa"/>
            <w:tcBorders>
              <w:top w:val="nil"/>
              <w:left w:val="nil"/>
              <w:bottom w:val="nil"/>
              <w:right w:val="nil"/>
            </w:tcBorders>
            <w:shd w:val="clear" w:color="auto" w:fill="auto"/>
            <w:noWrap/>
            <w:vAlign w:val="bottom"/>
            <w:hideMark/>
          </w:tcPr>
          <w:p w14:paraId="14E7C3D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A513C1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 </w:t>
            </w:r>
          </w:p>
        </w:tc>
        <w:tc>
          <w:tcPr>
            <w:tcW w:w="116" w:type="dxa"/>
            <w:tcBorders>
              <w:top w:val="nil"/>
              <w:left w:val="nil"/>
              <w:bottom w:val="nil"/>
              <w:right w:val="nil"/>
            </w:tcBorders>
            <w:shd w:val="clear" w:color="auto" w:fill="auto"/>
            <w:noWrap/>
            <w:vAlign w:val="bottom"/>
            <w:hideMark/>
          </w:tcPr>
          <w:p w14:paraId="397C0E0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7333F8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119 </w:t>
            </w:r>
          </w:p>
        </w:tc>
      </w:tr>
      <w:tr w:rsidR="00A32E9B" w:rsidRPr="00F01024" w14:paraId="32055A89" w14:textId="77777777" w:rsidTr="0065680A">
        <w:trPr>
          <w:trHeight w:val="285"/>
        </w:trPr>
        <w:tc>
          <w:tcPr>
            <w:tcW w:w="3196" w:type="dxa"/>
            <w:tcBorders>
              <w:top w:val="nil"/>
              <w:left w:val="nil"/>
              <w:bottom w:val="single" w:sz="4" w:space="0" w:color="auto"/>
              <w:right w:val="nil"/>
            </w:tcBorders>
            <w:shd w:val="clear" w:color="auto" w:fill="auto"/>
            <w:noWrap/>
            <w:vAlign w:val="bottom"/>
            <w:hideMark/>
          </w:tcPr>
          <w:p w14:paraId="2EC1ADD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Other long-term liabilities</w:t>
            </w:r>
          </w:p>
        </w:tc>
        <w:tc>
          <w:tcPr>
            <w:tcW w:w="1096" w:type="dxa"/>
            <w:tcBorders>
              <w:top w:val="nil"/>
              <w:left w:val="nil"/>
              <w:bottom w:val="single" w:sz="4" w:space="0" w:color="auto"/>
              <w:right w:val="nil"/>
            </w:tcBorders>
            <w:shd w:val="clear" w:color="auto" w:fill="auto"/>
            <w:noWrap/>
            <w:vAlign w:val="bottom"/>
            <w:hideMark/>
          </w:tcPr>
          <w:p w14:paraId="57376F3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200 </w:t>
            </w:r>
          </w:p>
        </w:tc>
        <w:tc>
          <w:tcPr>
            <w:tcW w:w="116" w:type="dxa"/>
            <w:tcBorders>
              <w:top w:val="nil"/>
              <w:left w:val="nil"/>
              <w:bottom w:val="nil"/>
              <w:right w:val="nil"/>
            </w:tcBorders>
            <w:shd w:val="clear" w:color="auto" w:fill="auto"/>
            <w:noWrap/>
            <w:vAlign w:val="bottom"/>
            <w:hideMark/>
          </w:tcPr>
          <w:p w14:paraId="04B1935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B6DBFE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699 </w:t>
            </w:r>
          </w:p>
        </w:tc>
        <w:tc>
          <w:tcPr>
            <w:tcW w:w="116" w:type="dxa"/>
            <w:tcBorders>
              <w:top w:val="nil"/>
              <w:left w:val="nil"/>
              <w:bottom w:val="nil"/>
              <w:right w:val="nil"/>
            </w:tcBorders>
            <w:shd w:val="clear" w:color="auto" w:fill="auto"/>
            <w:noWrap/>
            <w:vAlign w:val="bottom"/>
            <w:hideMark/>
          </w:tcPr>
          <w:p w14:paraId="2C67D83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26DE5A8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(110)</w:t>
            </w:r>
          </w:p>
        </w:tc>
        <w:tc>
          <w:tcPr>
            <w:tcW w:w="116" w:type="dxa"/>
            <w:tcBorders>
              <w:top w:val="nil"/>
              <w:left w:val="nil"/>
              <w:bottom w:val="nil"/>
              <w:right w:val="nil"/>
            </w:tcBorders>
            <w:shd w:val="clear" w:color="auto" w:fill="auto"/>
            <w:noWrap/>
            <w:vAlign w:val="bottom"/>
            <w:hideMark/>
          </w:tcPr>
          <w:p w14:paraId="3B4478E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4CDF6A7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864 </w:t>
            </w:r>
          </w:p>
        </w:tc>
      </w:tr>
      <w:tr w:rsidR="00A32E9B" w:rsidRPr="00F01024" w14:paraId="07725BBD" w14:textId="77777777" w:rsidTr="0065680A">
        <w:trPr>
          <w:trHeight w:val="285"/>
        </w:trPr>
        <w:tc>
          <w:tcPr>
            <w:tcW w:w="3196" w:type="dxa"/>
            <w:tcBorders>
              <w:top w:val="nil"/>
              <w:left w:val="nil"/>
              <w:bottom w:val="single" w:sz="4" w:space="0" w:color="auto"/>
              <w:right w:val="nil"/>
            </w:tcBorders>
            <w:shd w:val="clear" w:color="auto" w:fill="auto"/>
            <w:vAlign w:val="bottom"/>
            <w:hideMark/>
          </w:tcPr>
          <w:p w14:paraId="126F0FC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Net cash from operations</w:t>
            </w:r>
          </w:p>
        </w:tc>
        <w:tc>
          <w:tcPr>
            <w:tcW w:w="1096" w:type="dxa"/>
            <w:tcBorders>
              <w:top w:val="nil"/>
              <w:left w:val="nil"/>
              <w:bottom w:val="single" w:sz="4" w:space="0" w:color="auto"/>
              <w:right w:val="nil"/>
            </w:tcBorders>
            <w:shd w:val="clear" w:color="auto" w:fill="auto"/>
            <w:noWrap/>
            <w:vAlign w:val="bottom"/>
            <w:hideMark/>
          </w:tcPr>
          <w:p w14:paraId="49BD7FF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10,099 </w:t>
            </w:r>
          </w:p>
        </w:tc>
        <w:tc>
          <w:tcPr>
            <w:tcW w:w="116" w:type="dxa"/>
            <w:tcBorders>
              <w:top w:val="nil"/>
              <w:left w:val="nil"/>
              <w:bottom w:val="nil"/>
              <w:right w:val="nil"/>
            </w:tcBorders>
            <w:shd w:val="clear" w:color="auto" w:fill="auto"/>
            <w:noWrap/>
            <w:vAlign w:val="bottom"/>
            <w:hideMark/>
          </w:tcPr>
          <w:p w14:paraId="05E205F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4B0A834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9,666 </w:t>
            </w:r>
          </w:p>
        </w:tc>
        <w:tc>
          <w:tcPr>
            <w:tcW w:w="116" w:type="dxa"/>
            <w:tcBorders>
              <w:top w:val="nil"/>
              <w:left w:val="nil"/>
              <w:bottom w:val="nil"/>
              <w:right w:val="nil"/>
            </w:tcBorders>
            <w:shd w:val="clear" w:color="auto" w:fill="auto"/>
            <w:noWrap/>
            <w:vAlign w:val="bottom"/>
            <w:hideMark/>
          </w:tcPr>
          <w:p w14:paraId="6D5C2D3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0440583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22,717 </w:t>
            </w:r>
          </w:p>
        </w:tc>
        <w:tc>
          <w:tcPr>
            <w:tcW w:w="116" w:type="dxa"/>
            <w:tcBorders>
              <w:top w:val="nil"/>
              <w:left w:val="nil"/>
              <w:bottom w:val="nil"/>
              <w:right w:val="nil"/>
            </w:tcBorders>
            <w:shd w:val="clear" w:color="auto" w:fill="auto"/>
            <w:noWrap/>
            <w:vAlign w:val="bottom"/>
            <w:hideMark/>
          </w:tcPr>
          <w:p w14:paraId="33846AA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79FD59F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22,930 </w:t>
            </w:r>
          </w:p>
        </w:tc>
      </w:tr>
      <w:tr w:rsidR="00A32E9B" w:rsidRPr="00F01024" w14:paraId="2B85E3C3" w14:textId="77777777" w:rsidTr="0065680A">
        <w:trPr>
          <w:trHeight w:val="285"/>
        </w:trPr>
        <w:tc>
          <w:tcPr>
            <w:tcW w:w="3196" w:type="dxa"/>
            <w:tcBorders>
              <w:top w:val="nil"/>
              <w:left w:val="nil"/>
              <w:bottom w:val="nil"/>
              <w:right w:val="nil"/>
            </w:tcBorders>
            <w:shd w:val="clear" w:color="auto" w:fill="auto"/>
            <w:noWrap/>
            <w:vAlign w:val="bottom"/>
            <w:hideMark/>
          </w:tcPr>
          <w:p w14:paraId="49361BE1"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Financing</w:t>
            </w:r>
          </w:p>
        </w:tc>
        <w:tc>
          <w:tcPr>
            <w:tcW w:w="1096" w:type="dxa"/>
            <w:tcBorders>
              <w:top w:val="nil"/>
              <w:left w:val="nil"/>
              <w:bottom w:val="nil"/>
              <w:right w:val="nil"/>
            </w:tcBorders>
            <w:shd w:val="clear" w:color="auto" w:fill="auto"/>
            <w:noWrap/>
            <w:vAlign w:val="bottom"/>
            <w:hideMark/>
          </w:tcPr>
          <w:p w14:paraId="3BD865BF"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77C43683"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3D6C2F89"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7A685CA1"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10B67FBB"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444EEA7F"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2286E181"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03750B11" w14:textId="77777777" w:rsidTr="0065680A">
        <w:trPr>
          <w:trHeight w:val="285"/>
        </w:trPr>
        <w:tc>
          <w:tcPr>
            <w:tcW w:w="3196" w:type="dxa"/>
            <w:tcBorders>
              <w:top w:val="nil"/>
              <w:left w:val="nil"/>
              <w:bottom w:val="nil"/>
              <w:right w:val="nil"/>
            </w:tcBorders>
            <w:shd w:val="clear" w:color="auto" w:fill="auto"/>
            <w:vAlign w:val="bottom"/>
            <w:hideMark/>
          </w:tcPr>
          <w:p w14:paraId="4A7F77C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Proceeds from issuance of debt</w:t>
            </w:r>
          </w:p>
        </w:tc>
        <w:tc>
          <w:tcPr>
            <w:tcW w:w="1096" w:type="dxa"/>
            <w:tcBorders>
              <w:top w:val="nil"/>
              <w:left w:val="nil"/>
              <w:bottom w:val="nil"/>
              <w:right w:val="nil"/>
            </w:tcBorders>
            <w:shd w:val="clear" w:color="auto" w:fill="auto"/>
            <w:noWrap/>
            <w:vAlign w:val="bottom"/>
            <w:hideMark/>
          </w:tcPr>
          <w:p w14:paraId="1722A8C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27B240A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C65FB8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6F6FA68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2955BC7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8,850 </w:t>
            </w:r>
          </w:p>
        </w:tc>
        <w:tc>
          <w:tcPr>
            <w:tcW w:w="116" w:type="dxa"/>
            <w:tcBorders>
              <w:top w:val="nil"/>
              <w:left w:val="nil"/>
              <w:bottom w:val="nil"/>
              <w:right w:val="nil"/>
            </w:tcBorders>
            <w:shd w:val="clear" w:color="auto" w:fill="auto"/>
            <w:noWrap/>
            <w:vAlign w:val="bottom"/>
            <w:hideMark/>
          </w:tcPr>
          <w:p w14:paraId="592B756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34399E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2,232 </w:t>
            </w:r>
          </w:p>
        </w:tc>
      </w:tr>
      <w:tr w:rsidR="00A32E9B" w:rsidRPr="00F01024" w14:paraId="159B8ABF" w14:textId="77777777" w:rsidTr="0065680A">
        <w:trPr>
          <w:trHeight w:val="285"/>
        </w:trPr>
        <w:tc>
          <w:tcPr>
            <w:tcW w:w="3196" w:type="dxa"/>
            <w:tcBorders>
              <w:top w:val="nil"/>
              <w:left w:val="nil"/>
              <w:bottom w:val="nil"/>
              <w:right w:val="nil"/>
            </w:tcBorders>
            <w:shd w:val="clear" w:color="auto" w:fill="auto"/>
            <w:vAlign w:val="bottom"/>
            <w:hideMark/>
          </w:tcPr>
          <w:p w14:paraId="3C36494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Repayments of debt</w:t>
            </w:r>
          </w:p>
        </w:tc>
        <w:tc>
          <w:tcPr>
            <w:tcW w:w="1096" w:type="dxa"/>
            <w:tcBorders>
              <w:top w:val="nil"/>
              <w:left w:val="nil"/>
              <w:bottom w:val="nil"/>
              <w:right w:val="nil"/>
            </w:tcBorders>
            <w:shd w:val="clear" w:color="auto" w:fill="auto"/>
            <w:noWrap/>
            <w:vAlign w:val="bottom"/>
            <w:hideMark/>
          </w:tcPr>
          <w:p w14:paraId="09A68BF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(300)</w:t>
            </w:r>
          </w:p>
        </w:tc>
        <w:tc>
          <w:tcPr>
            <w:tcW w:w="116" w:type="dxa"/>
            <w:tcBorders>
              <w:top w:val="nil"/>
              <w:left w:val="nil"/>
              <w:bottom w:val="nil"/>
              <w:right w:val="nil"/>
            </w:tcBorders>
            <w:shd w:val="clear" w:color="auto" w:fill="auto"/>
            <w:noWrap/>
            <w:vAlign w:val="bottom"/>
            <w:hideMark/>
          </w:tcPr>
          <w:p w14:paraId="5554C57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02869A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196A1C7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6D1B65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(1,888)</w:t>
            </w:r>
          </w:p>
        </w:tc>
        <w:tc>
          <w:tcPr>
            <w:tcW w:w="116" w:type="dxa"/>
            <w:tcBorders>
              <w:top w:val="nil"/>
              <w:left w:val="nil"/>
              <w:bottom w:val="nil"/>
              <w:right w:val="nil"/>
            </w:tcBorders>
            <w:shd w:val="clear" w:color="auto" w:fill="auto"/>
            <w:noWrap/>
            <w:vAlign w:val="bottom"/>
            <w:hideMark/>
          </w:tcPr>
          <w:p w14:paraId="064C6C7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CEAC53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0 </w:t>
            </w:r>
          </w:p>
        </w:tc>
      </w:tr>
      <w:tr w:rsidR="00A32E9B" w:rsidRPr="00F01024" w14:paraId="1AEB9B6A" w14:textId="77777777" w:rsidTr="0065680A">
        <w:trPr>
          <w:trHeight w:val="285"/>
        </w:trPr>
        <w:tc>
          <w:tcPr>
            <w:tcW w:w="3196" w:type="dxa"/>
            <w:tcBorders>
              <w:top w:val="nil"/>
              <w:left w:val="nil"/>
              <w:bottom w:val="nil"/>
              <w:right w:val="nil"/>
            </w:tcBorders>
            <w:shd w:val="clear" w:color="auto" w:fill="auto"/>
            <w:noWrap/>
            <w:vAlign w:val="bottom"/>
            <w:hideMark/>
          </w:tcPr>
          <w:p w14:paraId="0B267FB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lastRenderedPageBreak/>
              <w:t>Common stock issued</w:t>
            </w:r>
          </w:p>
        </w:tc>
        <w:tc>
          <w:tcPr>
            <w:tcW w:w="1096" w:type="dxa"/>
            <w:tcBorders>
              <w:top w:val="nil"/>
              <w:left w:val="nil"/>
              <w:bottom w:val="nil"/>
              <w:right w:val="nil"/>
            </w:tcBorders>
            <w:shd w:val="clear" w:color="auto" w:fill="auto"/>
            <w:noWrap/>
            <w:vAlign w:val="bottom"/>
            <w:hideMark/>
          </w:tcPr>
          <w:p w14:paraId="5EFEE13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141 </w:t>
            </w:r>
          </w:p>
        </w:tc>
        <w:tc>
          <w:tcPr>
            <w:tcW w:w="116" w:type="dxa"/>
            <w:tcBorders>
              <w:top w:val="nil"/>
              <w:left w:val="nil"/>
              <w:bottom w:val="nil"/>
              <w:right w:val="nil"/>
            </w:tcBorders>
            <w:shd w:val="clear" w:color="auto" w:fill="auto"/>
            <w:noWrap/>
            <w:vAlign w:val="bottom"/>
            <w:hideMark/>
          </w:tcPr>
          <w:p w14:paraId="7312718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59A995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203 </w:t>
            </w:r>
          </w:p>
        </w:tc>
        <w:tc>
          <w:tcPr>
            <w:tcW w:w="116" w:type="dxa"/>
            <w:tcBorders>
              <w:top w:val="nil"/>
              <w:left w:val="nil"/>
              <w:bottom w:val="nil"/>
              <w:right w:val="nil"/>
            </w:tcBorders>
            <w:shd w:val="clear" w:color="auto" w:fill="auto"/>
            <w:noWrap/>
            <w:vAlign w:val="bottom"/>
            <w:hideMark/>
          </w:tcPr>
          <w:p w14:paraId="36F89EB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AED36E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461 </w:t>
            </w:r>
          </w:p>
        </w:tc>
        <w:tc>
          <w:tcPr>
            <w:tcW w:w="116" w:type="dxa"/>
            <w:tcBorders>
              <w:top w:val="nil"/>
              <w:left w:val="nil"/>
              <w:bottom w:val="nil"/>
              <w:right w:val="nil"/>
            </w:tcBorders>
            <w:shd w:val="clear" w:color="auto" w:fill="auto"/>
            <w:noWrap/>
            <w:vAlign w:val="bottom"/>
            <w:hideMark/>
          </w:tcPr>
          <w:p w14:paraId="7960421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CD538A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765 </w:t>
            </w:r>
          </w:p>
        </w:tc>
      </w:tr>
      <w:tr w:rsidR="00A32E9B" w:rsidRPr="00F01024" w14:paraId="03B59867" w14:textId="77777777" w:rsidTr="0065680A">
        <w:trPr>
          <w:trHeight w:val="285"/>
        </w:trPr>
        <w:tc>
          <w:tcPr>
            <w:tcW w:w="3196" w:type="dxa"/>
            <w:tcBorders>
              <w:top w:val="nil"/>
              <w:left w:val="nil"/>
              <w:bottom w:val="nil"/>
              <w:right w:val="nil"/>
            </w:tcBorders>
            <w:shd w:val="clear" w:color="auto" w:fill="auto"/>
            <w:noWrap/>
            <w:vAlign w:val="bottom"/>
            <w:hideMark/>
          </w:tcPr>
          <w:p w14:paraId="5BB5FA4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Common stock repurchased</w:t>
            </w:r>
          </w:p>
        </w:tc>
        <w:tc>
          <w:tcPr>
            <w:tcW w:w="1096" w:type="dxa"/>
            <w:tcBorders>
              <w:top w:val="nil"/>
              <w:left w:val="nil"/>
              <w:bottom w:val="nil"/>
              <w:right w:val="nil"/>
            </w:tcBorders>
            <w:shd w:val="clear" w:color="auto" w:fill="auto"/>
            <w:noWrap/>
            <w:vAlign w:val="bottom"/>
            <w:hideMark/>
          </w:tcPr>
          <w:p w14:paraId="6F4EC47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(1,845)</w:t>
            </w:r>
          </w:p>
        </w:tc>
        <w:tc>
          <w:tcPr>
            <w:tcW w:w="116" w:type="dxa"/>
            <w:tcBorders>
              <w:top w:val="nil"/>
              <w:left w:val="nil"/>
              <w:bottom w:val="nil"/>
              <w:right w:val="nil"/>
            </w:tcBorders>
            <w:shd w:val="clear" w:color="auto" w:fill="auto"/>
            <w:noWrap/>
            <w:vAlign w:val="bottom"/>
            <w:hideMark/>
          </w:tcPr>
          <w:p w14:paraId="3BD4DBA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FFC8E2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(1,028)</w:t>
            </w:r>
          </w:p>
        </w:tc>
        <w:tc>
          <w:tcPr>
            <w:tcW w:w="116" w:type="dxa"/>
            <w:tcBorders>
              <w:top w:val="nil"/>
              <w:left w:val="nil"/>
              <w:bottom w:val="nil"/>
              <w:right w:val="nil"/>
            </w:tcBorders>
            <w:shd w:val="clear" w:color="auto" w:fill="auto"/>
            <w:noWrap/>
            <w:vAlign w:val="bottom"/>
            <w:hideMark/>
          </w:tcPr>
          <w:p w14:paraId="46E7711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7EAA59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(6,146)</w:t>
            </w:r>
          </w:p>
        </w:tc>
        <w:tc>
          <w:tcPr>
            <w:tcW w:w="116" w:type="dxa"/>
            <w:tcBorders>
              <w:top w:val="nil"/>
              <w:left w:val="nil"/>
              <w:bottom w:val="nil"/>
              <w:right w:val="nil"/>
            </w:tcBorders>
            <w:shd w:val="clear" w:color="auto" w:fill="auto"/>
            <w:noWrap/>
            <w:vAlign w:val="bottom"/>
            <w:hideMark/>
          </w:tcPr>
          <w:p w14:paraId="3FE0A0E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78A679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(4,318)</w:t>
            </w:r>
          </w:p>
        </w:tc>
      </w:tr>
      <w:tr w:rsidR="00A32E9B" w:rsidRPr="00F01024" w14:paraId="3048E08A" w14:textId="77777777" w:rsidTr="0065680A">
        <w:trPr>
          <w:trHeight w:val="285"/>
        </w:trPr>
        <w:tc>
          <w:tcPr>
            <w:tcW w:w="3196" w:type="dxa"/>
            <w:tcBorders>
              <w:top w:val="nil"/>
              <w:left w:val="nil"/>
              <w:bottom w:val="nil"/>
              <w:right w:val="nil"/>
            </w:tcBorders>
            <w:shd w:val="clear" w:color="auto" w:fill="auto"/>
            <w:noWrap/>
            <w:vAlign w:val="bottom"/>
            <w:hideMark/>
          </w:tcPr>
          <w:p w14:paraId="68A45AE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Common stock cash dividends paid</w:t>
            </w:r>
          </w:p>
        </w:tc>
        <w:tc>
          <w:tcPr>
            <w:tcW w:w="1096" w:type="dxa"/>
            <w:tcBorders>
              <w:top w:val="nil"/>
              <w:left w:val="nil"/>
              <w:bottom w:val="nil"/>
              <w:right w:val="nil"/>
            </w:tcBorders>
            <w:shd w:val="clear" w:color="auto" w:fill="auto"/>
            <w:noWrap/>
            <w:vAlign w:val="bottom"/>
            <w:hideMark/>
          </w:tcPr>
          <w:p w14:paraId="043FD4D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(2,322)</w:t>
            </w:r>
          </w:p>
        </w:tc>
        <w:tc>
          <w:tcPr>
            <w:tcW w:w="116" w:type="dxa"/>
            <w:tcBorders>
              <w:top w:val="nil"/>
              <w:left w:val="nil"/>
              <w:bottom w:val="nil"/>
              <w:right w:val="nil"/>
            </w:tcBorders>
            <w:shd w:val="clear" w:color="auto" w:fill="auto"/>
            <w:noWrap/>
            <w:vAlign w:val="bottom"/>
            <w:hideMark/>
          </w:tcPr>
          <w:p w14:paraId="1FD5FBA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F24EA1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(1,925)</w:t>
            </w:r>
          </w:p>
        </w:tc>
        <w:tc>
          <w:tcPr>
            <w:tcW w:w="116" w:type="dxa"/>
            <w:tcBorders>
              <w:top w:val="nil"/>
              <w:left w:val="nil"/>
              <w:bottom w:val="nil"/>
              <w:right w:val="nil"/>
            </w:tcBorders>
            <w:shd w:val="clear" w:color="auto" w:fill="auto"/>
            <w:noWrap/>
            <w:vAlign w:val="bottom"/>
            <w:hideMark/>
          </w:tcPr>
          <w:p w14:paraId="7634A6A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5CEA471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(6,570)</w:t>
            </w:r>
          </w:p>
        </w:tc>
        <w:tc>
          <w:tcPr>
            <w:tcW w:w="116" w:type="dxa"/>
            <w:tcBorders>
              <w:top w:val="nil"/>
              <w:left w:val="nil"/>
              <w:bottom w:val="nil"/>
              <w:right w:val="nil"/>
            </w:tcBorders>
            <w:shd w:val="clear" w:color="auto" w:fill="auto"/>
            <w:noWrap/>
            <w:vAlign w:val="bottom"/>
            <w:hideMark/>
          </w:tcPr>
          <w:p w14:paraId="22B5D88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54196F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(5,534)</w:t>
            </w:r>
          </w:p>
        </w:tc>
      </w:tr>
      <w:tr w:rsidR="00A32E9B" w:rsidRPr="00F01024" w14:paraId="6DA846B2" w14:textId="77777777" w:rsidTr="0065680A">
        <w:trPr>
          <w:trHeight w:val="570"/>
        </w:trPr>
        <w:tc>
          <w:tcPr>
            <w:tcW w:w="3196" w:type="dxa"/>
            <w:tcBorders>
              <w:top w:val="nil"/>
              <w:left w:val="nil"/>
              <w:bottom w:val="nil"/>
              <w:right w:val="nil"/>
            </w:tcBorders>
            <w:shd w:val="clear" w:color="auto" w:fill="auto"/>
            <w:vAlign w:val="bottom"/>
            <w:hideMark/>
          </w:tcPr>
          <w:p w14:paraId="76DAD61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Excess tax benefits from</w:t>
            </w:r>
            <w:r w:rsidRPr="00F01024">
              <w:rPr>
                <w:rFonts w:ascii="Segoe UI" w:eastAsia="Times New Roman" w:hAnsi="Segoe UI" w:cs="Segoe UI"/>
                <w:color w:val="666666"/>
                <w:sz w:val="20"/>
                <w:szCs w:val="20"/>
              </w:rPr>
              <w:br/>
              <w:t xml:space="preserve">   stock-based compensation</w:t>
            </w:r>
          </w:p>
        </w:tc>
        <w:tc>
          <w:tcPr>
            <w:tcW w:w="1096" w:type="dxa"/>
            <w:tcBorders>
              <w:top w:val="nil"/>
              <w:left w:val="nil"/>
              <w:bottom w:val="nil"/>
              <w:right w:val="nil"/>
            </w:tcBorders>
            <w:shd w:val="clear" w:color="auto" w:fill="auto"/>
            <w:noWrap/>
            <w:vAlign w:val="bottom"/>
            <w:hideMark/>
          </w:tcPr>
          <w:p w14:paraId="44530C0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22 </w:t>
            </w:r>
          </w:p>
        </w:tc>
        <w:tc>
          <w:tcPr>
            <w:tcW w:w="116" w:type="dxa"/>
            <w:tcBorders>
              <w:top w:val="nil"/>
              <w:left w:val="nil"/>
              <w:bottom w:val="nil"/>
              <w:right w:val="nil"/>
            </w:tcBorders>
            <w:shd w:val="clear" w:color="auto" w:fill="auto"/>
            <w:noWrap/>
            <w:vAlign w:val="bottom"/>
            <w:hideMark/>
          </w:tcPr>
          <w:p w14:paraId="4101A89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7AD4AD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 </w:t>
            </w:r>
          </w:p>
        </w:tc>
        <w:tc>
          <w:tcPr>
            <w:tcW w:w="116" w:type="dxa"/>
            <w:tcBorders>
              <w:top w:val="nil"/>
              <w:left w:val="nil"/>
              <w:bottom w:val="nil"/>
              <w:right w:val="nil"/>
            </w:tcBorders>
            <w:shd w:val="clear" w:color="auto" w:fill="auto"/>
            <w:noWrap/>
            <w:vAlign w:val="bottom"/>
            <w:hideMark/>
          </w:tcPr>
          <w:p w14:paraId="4E1E38A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8716C2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247 </w:t>
            </w:r>
          </w:p>
        </w:tc>
        <w:tc>
          <w:tcPr>
            <w:tcW w:w="116" w:type="dxa"/>
            <w:tcBorders>
              <w:top w:val="nil"/>
              <w:left w:val="nil"/>
              <w:bottom w:val="nil"/>
              <w:right w:val="nil"/>
            </w:tcBorders>
            <w:shd w:val="clear" w:color="auto" w:fill="auto"/>
            <w:noWrap/>
            <w:vAlign w:val="bottom"/>
            <w:hideMark/>
          </w:tcPr>
          <w:p w14:paraId="324F51E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805480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192 </w:t>
            </w:r>
          </w:p>
        </w:tc>
      </w:tr>
      <w:tr w:rsidR="00A32E9B" w:rsidRPr="00F01024" w14:paraId="2B782C6B" w14:textId="77777777" w:rsidTr="0065680A">
        <w:trPr>
          <w:trHeight w:val="285"/>
        </w:trPr>
        <w:tc>
          <w:tcPr>
            <w:tcW w:w="3196" w:type="dxa"/>
            <w:tcBorders>
              <w:top w:val="nil"/>
              <w:left w:val="nil"/>
              <w:bottom w:val="single" w:sz="4" w:space="0" w:color="auto"/>
              <w:right w:val="nil"/>
            </w:tcBorders>
            <w:shd w:val="clear" w:color="auto" w:fill="auto"/>
            <w:vAlign w:val="bottom"/>
            <w:hideMark/>
          </w:tcPr>
          <w:p w14:paraId="6BAD0FE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Other</w:t>
            </w:r>
          </w:p>
        </w:tc>
        <w:tc>
          <w:tcPr>
            <w:tcW w:w="1096" w:type="dxa"/>
            <w:tcBorders>
              <w:top w:val="nil"/>
              <w:left w:val="nil"/>
              <w:bottom w:val="nil"/>
              <w:right w:val="nil"/>
            </w:tcBorders>
            <w:shd w:val="clear" w:color="auto" w:fill="auto"/>
            <w:noWrap/>
            <w:vAlign w:val="bottom"/>
            <w:hideMark/>
          </w:tcPr>
          <w:p w14:paraId="6948DB4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2B11071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749BE1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0 </w:t>
            </w:r>
          </w:p>
        </w:tc>
        <w:tc>
          <w:tcPr>
            <w:tcW w:w="116" w:type="dxa"/>
            <w:tcBorders>
              <w:top w:val="nil"/>
              <w:left w:val="nil"/>
              <w:bottom w:val="nil"/>
              <w:right w:val="nil"/>
            </w:tcBorders>
            <w:shd w:val="clear" w:color="auto" w:fill="auto"/>
            <w:noWrap/>
            <w:vAlign w:val="bottom"/>
            <w:hideMark/>
          </w:tcPr>
          <w:p w14:paraId="730E762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CD7DBC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(39)</w:t>
            </w:r>
          </w:p>
        </w:tc>
        <w:tc>
          <w:tcPr>
            <w:tcW w:w="116" w:type="dxa"/>
            <w:tcBorders>
              <w:top w:val="nil"/>
              <w:left w:val="nil"/>
              <w:bottom w:val="nil"/>
              <w:right w:val="nil"/>
            </w:tcBorders>
            <w:shd w:val="clear" w:color="auto" w:fill="auto"/>
            <w:noWrap/>
            <w:vAlign w:val="bottom"/>
            <w:hideMark/>
          </w:tcPr>
          <w:p w14:paraId="50168BC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BFE07A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(16)</w:t>
            </w:r>
          </w:p>
        </w:tc>
      </w:tr>
      <w:tr w:rsidR="00A32E9B" w:rsidRPr="00F01024" w14:paraId="27FA6A90" w14:textId="77777777" w:rsidTr="0065680A">
        <w:trPr>
          <w:trHeight w:val="285"/>
        </w:trPr>
        <w:tc>
          <w:tcPr>
            <w:tcW w:w="3196" w:type="dxa"/>
            <w:tcBorders>
              <w:top w:val="nil"/>
              <w:left w:val="nil"/>
              <w:bottom w:val="single" w:sz="4" w:space="0" w:color="auto"/>
              <w:right w:val="nil"/>
            </w:tcBorders>
            <w:shd w:val="clear" w:color="auto" w:fill="auto"/>
            <w:vAlign w:val="bottom"/>
            <w:hideMark/>
          </w:tcPr>
          <w:p w14:paraId="3C4CD8C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Net cash used in financing</w:t>
            </w:r>
          </w:p>
        </w:tc>
        <w:tc>
          <w:tcPr>
            <w:tcW w:w="1096" w:type="dxa"/>
            <w:tcBorders>
              <w:top w:val="single" w:sz="4" w:space="0" w:color="auto"/>
              <w:left w:val="nil"/>
              <w:bottom w:val="single" w:sz="4" w:space="0" w:color="auto"/>
              <w:right w:val="nil"/>
            </w:tcBorders>
            <w:shd w:val="clear" w:color="auto" w:fill="auto"/>
            <w:noWrap/>
            <w:vAlign w:val="bottom"/>
            <w:hideMark/>
          </w:tcPr>
          <w:p w14:paraId="6B25A80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(4,304)</w:t>
            </w:r>
          </w:p>
        </w:tc>
        <w:tc>
          <w:tcPr>
            <w:tcW w:w="116" w:type="dxa"/>
            <w:tcBorders>
              <w:top w:val="nil"/>
              <w:left w:val="nil"/>
              <w:bottom w:val="nil"/>
              <w:right w:val="nil"/>
            </w:tcBorders>
            <w:shd w:val="clear" w:color="auto" w:fill="auto"/>
            <w:noWrap/>
            <w:vAlign w:val="bottom"/>
            <w:hideMark/>
          </w:tcPr>
          <w:p w14:paraId="1EAB1A6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single" w:sz="4" w:space="0" w:color="auto"/>
              <w:left w:val="nil"/>
              <w:bottom w:val="single" w:sz="4" w:space="0" w:color="auto"/>
              <w:right w:val="nil"/>
            </w:tcBorders>
            <w:shd w:val="clear" w:color="auto" w:fill="auto"/>
            <w:noWrap/>
            <w:vAlign w:val="bottom"/>
            <w:hideMark/>
          </w:tcPr>
          <w:p w14:paraId="2521054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(2,744)</w:t>
            </w:r>
          </w:p>
        </w:tc>
        <w:tc>
          <w:tcPr>
            <w:tcW w:w="116" w:type="dxa"/>
            <w:tcBorders>
              <w:top w:val="nil"/>
              <w:left w:val="nil"/>
              <w:bottom w:val="nil"/>
              <w:right w:val="nil"/>
            </w:tcBorders>
            <w:shd w:val="clear" w:color="auto" w:fill="auto"/>
            <w:noWrap/>
            <w:vAlign w:val="bottom"/>
            <w:hideMark/>
          </w:tcPr>
          <w:p w14:paraId="7ED4A4D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single" w:sz="4" w:space="0" w:color="auto"/>
              <w:left w:val="nil"/>
              <w:bottom w:val="single" w:sz="4" w:space="0" w:color="auto"/>
              <w:right w:val="nil"/>
            </w:tcBorders>
            <w:shd w:val="clear" w:color="auto" w:fill="auto"/>
            <w:noWrap/>
            <w:vAlign w:val="bottom"/>
            <w:hideMark/>
          </w:tcPr>
          <w:p w14:paraId="3EC5F9A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(5,085)</w:t>
            </w:r>
          </w:p>
        </w:tc>
        <w:tc>
          <w:tcPr>
            <w:tcW w:w="116" w:type="dxa"/>
            <w:tcBorders>
              <w:top w:val="nil"/>
              <w:left w:val="nil"/>
              <w:bottom w:val="nil"/>
              <w:right w:val="nil"/>
            </w:tcBorders>
            <w:shd w:val="clear" w:color="auto" w:fill="auto"/>
            <w:noWrap/>
            <w:vAlign w:val="bottom"/>
            <w:hideMark/>
          </w:tcPr>
          <w:p w14:paraId="4C07FC4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single" w:sz="4" w:space="0" w:color="auto"/>
              <w:left w:val="nil"/>
              <w:bottom w:val="single" w:sz="4" w:space="0" w:color="auto"/>
              <w:right w:val="nil"/>
            </w:tcBorders>
            <w:shd w:val="clear" w:color="auto" w:fill="auto"/>
            <w:noWrap/>
            <w:vAlign w:val="bottom"/>
            <w:hideMark/>
          </w:tcPr>
          <w:p w14:paraId="6966CE0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(6,679)</w:t>
            </w:r>
          </w:p>
        </w:tc>
      </w:tr>
      <w:tr w:rsidR="00A32E9B" w:rsidRPr="00F01024" w14:paraId="51884961" w14:textId="77777777" w:rsidTr="0065680A">
        <w:trPr>
          <w:trHeight w:val="285"/>
        </w:trPr>
        <w:tc>
          <w:tcPr>
            <w:tcW w:w="3196" w:type="dxa"/>
            <w:tcBorders>
              <w:top w:val="nil"/>
              <w:left w:val="nil"/>
              <w:bottom w:val="nil"/>
              <w:right w:val="nil"/>
            </w:tcBorders>
            <w:shd w:val="clear" w:color="auto" w:fill="auto"/>
            <w:noWrap/>
            <w:vAlign w:val="bottom"/>
            <w:hideMark/>
          </w:tcPr>
          <w:p w14:paraId="4CD6DA7F"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Investing</w:t>
            </w:r>
          </w:p>
        </w:tc>
        <w:tc>
          <w:tcPr>
            <w:tcW w:w="1096" w:type="dxa"/>
            <w:tcBorders>
              <w:top w:val="nil"/>
              <w:left w:val="nil"/>
              <w:bottom w:val="nil"/>
              <w:right w:val="nil"/>
            </w:tcBorders>
            <w:shd w:val="clear" w:color="auto" w:fill="auto"/>
            <w:noWrap/>
            <w:vAlign w:val="bottom"/>
            <w:hideMark/>
          </w:tcPr>
          <w:p w14:paraId="69891F36"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4C7F5C18"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4CFCD9C3"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1B3AEDE7"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3EC56526" w14:textId="77777777" w:rsidR="00A32E9B" w:rsidRPr="00F01024" w:rsidRDefault="00A32E9B" w:rsidP="001F78EF">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35C63F6B" w14:textId="77777777" w:rsidR="00A32E9B" w:rsidRPr="00F01024" w:rsidRDefault="00A32E9B" w:rsidP="001F78EF">
            <w:pPr>
              <w:spacing w:after="0" w:line="240" w:lineRule="auto"/>
              <w:jc w:val="right"/>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117BB2D5" w14:textId="77777777" w:rsidR="00A32E9B" w:rsidRPr="00F01024" w:rsidRDefault="00A32E9B" w:rsidP="001F78EF">
            <w:pPr>
              <w:spacing w:after="0" w:line="240" w:lineRule="auto"/>
              <w:rPr>
                <w:rFonts w:ascii="Times New Roman" w:eastAsia="Times New Roman" w:hAnsi="Times New Roman" w:cs="Times New Roman"/>
                <w:sz w:val="20"/>
                <w:szCs w:val="20"/>
              </w:rPr>
            </w:pPr>
          </w:p>
        </w:tc>
      </w:tr>
      <w:tr w:rsidR="00A32E9B" w:rsidRPr="00F01024" w14:paraId="6C9786EF" w14:textId="77777777" w:rsidTr="0065680A">
        <w:trPr>
          <w:trHeight w:val="645"/>
        </w:trPr>
        <w:tc>
          <w:tcPr>
            <w:tcW w:w="3196" w:type="dxa"/>
            <w:tcBorders>
              <w:top w:val="nil"/>
              <w:left w:val="nil"/>
              <w:bottom w:val="nil"/>
              <w:right w:val="nil"/>
            </w:tcBorders>
            <w:shd w:val="clear" w:color="auto" w:fill="auto"/>
            <w:vAlign w:val="bottom"/>
            <w:hideMark/>
          </w:tcPr>
          <w:p w14:paraId="7473EA5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Additions to property and</w:t>
            </w:r>
            <w:r w:rsidRPr="00F01024">
              <w:rPr>
                <w:rFonts w:ascii="Segoe UI" w:eastAsia="Times New Roman" w:hAnsi="Segoe UI" w:cs="Segoe UI"/>
                <w:color w:val="666666"/>
                <w:sz w:val="20"/>
                <w:szCs w:val="20"/>
              </w:rPr>
              <w:br/>
              <w:t xml:space="preserve">   equipment</w:t>
            </w:r>
          </w:p>
        </w:tc>
        <w:tc>
          <w:tcPr>
            <w:tcW w:w="1096" w:type="dxa"/>
            <w:tcBorders>
              <w:top w:val="nil"/>
              <w:left w:val="nil"/>
              <w:bottom w:val="nil"/>
              <w:right w:val="nil"/>
            </w:tcBorders>
            <w:shd w:val="clear" w:color="auto" w:fill="auto"/>
            <w:noWrap/>
            <w:vAlign w:val="bottom"/>
            <w:hideMark/>
          </w:tcPr>
          <w:p w14:paraId="1DF1550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(1,192)</w:t>
            </w:r>
          </w:p>
        </w:tc>
        <w:tc>
          <w:tcPr>
            <w:tcW w:w="116" w:type="dxa"/>
            <w:tcBorders>
              <w:top w:val="nil"/>
              <w:left w:val="nil"/>
              <w:bottom w:val="nil"/>
              <w:right w:val="nil"/>
            </w:tcBorders>
            <w:shd w:val="clear" w:color="auto" w:fill="auto"/>
            <w:noWrap/>
            <w:vAlign w:val="bottom"/>
            <w:hideMark/>
          </w:tcPr>
          <w:p w14:paraId="4E58F14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452DCA1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(930)</w:t>
            </w:r>
          </w:p>
        </w:tc>
        <w:tc>
          <w:tcPr>
            <w:tcW w:w="116" w:type="dxa"/>
            <w:tcBorders>
              <w:top w:val="nil"/>
              <w:left w:val="nil"/>
              <w:bottom w:val="nil"/>
              <w:right w:val="nil"/>
            </w:tcBorders>
            <w:shd w:val="clear" w:color="auto" w:fill="auto"/>
            <w:noWrap/>
            <w:vAlign w:val="bottom"/>
            <w:hideMark/>
          </w:tcPr>
          <w:p w14:paraId="08AE101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8AC56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(4,155)</w:t>
            </w:r>
          </w:p>
        </w:tc>
        <w:tc>
          <w:tcPr>
            <w:tcW w:w="116" w:type="dxa"/>
            <w:tcBorders>
              <w:top w:val="nil"/>
              <w:left w:val="nil"/>
              <w:bottom w:val="nil"/>
              <w:right w:val="nil"/>
            </w:tcBorders>
            <w:shd w:val="clear" w:color="auto" w:fill="auto"/>
            <w:noWrap/>
            <w:vAlign w:val="bottom"/>
            <w:hideMark/>
          </w:tcPr>
          <w:p w14:paraId="268776D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5E6A6B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(2,463)</w:t>
            </w:r>
          </w:p>
        </w:tc>
      </w:tr>
      <w:tr w:rsidR="00A32E9B" w:rsidRPr="00F01024" w14:paraId="08D7BC2C" w14:textId="77777777" w:rsidTr="0065680A">
        <w:trPr>
          <w:trHeight w:val="915"/>
        </w:trPr>
        <w:tc>
          <w:tcPr>
            <w:tcW w:w="3196" w:type="dxa"/>
            <w:tcBorders>
              <w:top w:val="nil"/>
              <w:left w:val="nil"/>
              <w:bottom w:val="nil"/>
              <w:right w:val="nil"/>
            </w:tcBorders>
            <w:shd w:val="clear" w:color="auto" w:fill="auto"/>
            <w:vAlign w:val="bottom"/>
            <w:hideMark/>
          </w:tcPr>
          <w:p w14:paraId="0C207CB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Acquisition of companies, net of</w:t>
            </w:r>
            <w:r w:rsidRPr="00F01024">
              <w:rPr>
                <w:rFonts w:ascii="Segoe UI" w:eastAsia="Times New Roman" w:hAnsi="Segoe UI" w:cs="Segoe UI"/>
                <w:color w:val="666666"/>
                <w:sz w:val="20"/>
                <w:szCs w:val="20"/>
              </w:rPr>
              <w:br/>
              <w:t xml:space="preserve">   cash acquired, and purchases of</w:t>
            </w:r>
            <w:r w:rsidRPr="00F01024">
              <w:rPr>
                <w:rFonts w:ascii="Segoe UI" w:eastAsia="Times New Roman" w:hAnsi="Segoe UI" w:cs="Segoe UI"/>
                <w:color w:val="666666"/>
                <w:sz w:val="20"/>
                <w:szCs w:val="20"/>
              </w:rPr>
              <w:br/>
              <w:t xml:space="preserve">   intangible and other assets</w:t>
            </w:r>
          </w:p>
        </w:tc>
        <w:tc>
          <w:tcPr>
            <w:tcW w:w="1096" w:type="dxa"/>
            <w:tcBorders>
              <w:top w:val="nil"/>
              <w:left w:val="nil"/>
              <w:bottom w:val="nil"/>
              <w:right w:val="nil"/>
            </w:tcBorders>
            <w:shd w:val="clear" w:color="auto" w:fill="auto"/>
            <w:noWrap/>
            <w:vAlign w:val="bottom"/>
            <w:hideMark/>
          </w:tcPr>
          <w:p w14:paraId="555CE53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(157)</w:t>
            </w:r>
          </w:p>
        </w:tc>
        <w:tc>
          <w:tcPr>
            <w:tcW w:w="116" w:type="dxa"/>
            <w:tcBorders>
              <w:top w:val="nil"/>
              <w:left w:val="nil"/>
              <w:bottom w:val="nil"/>
              <w:right w:val="nil"/>
            </w:tcBorders>
            <w:shd w:val="clear" w:color="auto" w:fill="auto"/>
            <w:noWrap/>
            <w:vAlign w:val="bottom"/>
            <w:hideMark/>
          </w:tcPr>
          <w:p w14:paraId="67D2A1C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694787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(108)</w:t>
            </w:r>
          </w:p>
        </w:tc>
        <w:tc>
          <w:tcPr>
            <w:tcW w:w="116" w:type="dxa"/>
            <w:tcBorders>
              <w:top w:val="nil"/>
              <w:left w:val="nil"/>
              <w:bottom w:val="nil"/>
              <w:right w:val="nil"/>
            </w:tcBorders>
            <w:shd w:val="clear" w:color="auto" w:fill="auto"/>
            <w:noWrap/>
            <w:vAlign w:val="bottom"/>
            <w:hideMark/>
          </w:tcPr>
          <w:p w14:paraId="58DDBFF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E1A986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(311)</w:t>
            </w:r>
          </w:p>
        </w:tc>
        <w:tc>
          <w:tcPr>
            <w:tcW w:w="116" w:type="dxa"/>
            <w:tcBorders>
              <w:top w:val="nil"/>
              <w:left w:val="nil"/>
              <w:bottom w:val="nil"/>
              <w:right w:val="nil"/>
            </w:tcBorders>
            <w:shd w:val="clear" w:color="auto" w:fill="auto"/>
            <w:noWrap/>
            <w:vAlign w:val="bottom"/>
            <w:hideMark/>
          </w:tcPr>
          <w:p w14:paraId="6D54DB2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B67D15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(1,564)</w:t>
            </w:r>
          </w:p>
        </w:tc>
      </w:tr>
      <w:tr w:rsidR="00A32E9B" w:rsidRPr="00F01024" w14:paraId="07E93085" w14:textId="77777777" w:rsidTr="0065680A">
        <w:trPr>
          <w:trHeight w:val="315"/>
        </w:trPr>
        <w:tc>
          <w:tcPr>
            <w:tcW w:w="3196" w:type="dxa"/>
            <w:tcBorders>
              <w:top w:val="nil"/>
              <w:left w:val="nil"/>
              <w:bottom w:val="nil"/>
              <w:right w:val="nil"/>
            </w:tcBorders>
            <w:shd w:val="clear" w:color="auto" w:fill="auto"/>
            <w:noWrap/>
            <w:vAlign w:val="bottom"/>
            <w:hideMark/>
          </w:tcPr>
          <w:p w14:paraId="575AA04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Purchases of investments</w:t>
            </w:r>
          </w:p>
        </w:tc>
        <w:tc>
          <w:tcPr>
            <w:tcW w:w="1096" w:type="dxa"/>
            <w:tcBorders>
              <w:top w:val="nil"/>
              <w:left w:val="nil"/>
              <w:bottom w:val="nil"/>
              <w:right w:val="nil"/>
            </w:tcBorders>
            <w:shd w:val="clear" w:color="auto" w:fill="auto"/>
            <w:noWrap/>
            <w:vAlign w:val="bottom"/>
            <w:hideMark/>
          </w:tcPr>
          <w:p w14:paraId="4AC48C4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(21,323)</w:t>
            </w:r>
          </w:p>
        </w:tc>
        <w:tc>
          <w:tcPr>
            <w:tcW w:w="116" w:type="dxa"/>
            <w:tcBorders>
              <w:top w:val="nil"/>
              <w:left w:val="nil"/>
              <w:bottom w:val="nil"/>
              <w:right w:val="nil"/>
            </w:tcBorders>
            <w:shd w:val="clear" w:color="auto" w:fill="auto"/>
            <w:noWrap/>
            <w:vAlign w:val="bottom"/>
            <w:hideMark/>
          </w:tcPr>
          <w:p w14:paraId="7146659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4B558D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(18,160)</w:t>
            </w:r>
          </w:p>
        </w:tc>
        <w:tc>
          <w:tcPr>
            <w:tcW w:w="116" w:type="dxa"/>
            <w:tcBorders>
              <w:top w:val="nil"/>
              <w:left w:val="nil"/>
              <w:bottom w:val="nil"/>
              <w:right w:val="nil"/>
            </w:tcBorders>
            <w:shd w:val="clear" w:color="auto" w:fill="auto"/>
            <w:noWrap/>
            <w:vAlign w:val="bottom"/>
            <w:hideMark/>
          </w:tcPr>
          <w:p w14:paraId="2C1DB5B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0AD16BF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(49,217)</w:t>
            </w:r>
          </w:p>
        </w:tc>
        <w:tc>
          <w:tcPr>
            <w:tcW w:w="116" w:type="dxa"/>
            <w:tcBorders>
              <w:top w:val="nil"/>
              <w:left w:val="nil"/>
              <w:bottom w:val="nil"/>
              <w:right w:val="nil"/>
            </w:tcBorders>
            <w:shd w:val="clear" w:color="auto" w:fill="auto"/>
            <w:noWrap/>
            <w:vAlign w:val="bottom"/>
            <w:hideMark/>
          </w:tcPr>
          <w:p w14:paraId="1F2718C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9EE596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(48,372)</w:t>
            </w:r>
          </w:p>
        </w:tc>
      </w:tr>
      <w:tr w:rsidR="00A32E9B" w:rsidRPr="00F01024" w14:paraId="44F7EAE7" w14:textId="77777777" w:rsidTr="0065680A">
        <w:trPr>
          <w:trHeight w:val="285"/>
        </w:trPr>
        <w:tc>
          <w:tcPr>
            <w:tcW w:w="3196" w:type="dxa"/>
            <w:tcBorders>
              <w:top w:val="nil"/>
              <w:left w:val="nil"/>
              <w:bottom w:val="nil"/>
              <w:right w:val="nil"/>
            </w:tcBorders>
            <w:shd w:val="clear" w:color="auto" w:fill="auto"/>
            <w:noWrap/>
            <w:vAlign w:val="bottom"/>
            <w:hideMark/>
          </w:tcPr>
          <w:p w14:paraId="17F71F3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Maturities of investments</w:t>
            </w:r>
          </w:p>
        </w:tc>
        <w:tc>
          <w:tcPr>
            <w:tcW w:w="1096" w:type="dxa"/>
            <w:tcBorders>
              <w:top w:val="nil"/>
              <w:left w:val="nil"/>
              <w:bottom w:val="nil"/>
              <w:right w:val="nil"/>
            </w:tcBorders>
            <w:shd w:val="clear" w:color="auto" w:fill="auto"/>
            <w:noWrap/>
            <w:vAlign w:val="bottom"/>
            <w:hideMark/>
          </w:tcPr>
          <w:p w14:paraId="7E74F34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2,336 </w:t>
            </w:r>
          </w:p>
        </w:tc>
        <w:tc>
          <w:tcPr>
            <w:tcW w:w="116" w:type="dxa"/>
            <w:tcBorders>
              <w:top w:val="nil"/>
              <w:left w:val="nil"/>
              <w:bottom w:val="nil"/>
              <w:right w:val="nil"/>
            </w:tcBorders>
            <w:shd w:val="clear" w:color="auto" w:fill="auto"/>
            <w:noWrap/>
            <w:vAlign w:val="bottom"/>
            <w:hideMark/>
          </w:tcPr>
          <w:p w14:paraId="67A56EB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09440D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1,265 </w:t>
            </w:r>
          </w:p>
        </w:tc>
        <w:tc>
          <w:tcPr>
            <w:tcW w:w="116" w:type="dxa"/>
            <w:tcBorders>
              <w:top w:val="nil"/>
              <w:left w:val="nil"/>
              <w:bottom w:val="nil"/>
              <w:right w:val="nil"/>
            </w:tcBorders>
            <w:shd w:val="clear" w:color="auto" w:fill="auto"/>
            <w:noWrap/>
            <w:vAlign w:val="bottom"/>
            <w:hideMark/>
          </w:tcPr>
          <w:p w14:paraId="6289197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0A34A3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4,134 </w:t>
            </w:r>
          </w:p>
        </w:tc>
        <w:tc>
          <w:tcPr>
            <w:tcW w:w="116" w:type="dxa"/>
            <w:tcBorders>
              <w:top w:val="nil"/>
              <w:left w:val="nil"/>
              <w:bottom w:val="nil"/>
              <w:right w:val="nil"/>
            </w:tcBorders>
            <w:shd w:val="clear" w:color="auto" w:fill="auto"/>
            <w:noWrap/>
            <w:vAlign w:val="bottom"/>
            <w:hideMark/>
          </w:tcPr>
          <w:p w14:paraId="536210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428314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4,513 </w:t>
            </w:r>
          </w:p>
        </w:tc>
      </w:tr>
      <w:tr w:rsidR="00A32E9B" w:rsidRPr="00F01024" w14:paraId="340CBE96" w14:textId="77777777" w:rsidTr="0065680A">
        <w:trPr>
          <w:trHeight w:val="285"/>
        </w:trPr>
        <w:tc>
          <w:tcPr>
            <w:tcW w:w="3196" w:type="dxa"/>
            <w:tcBorders>
              <w:top w:val="nil"/>
              <w:left w:val="nil"/>
              <w:bottom w:val="nil"/>
              <w:right w:val="nil"/>
            </w:tcBorders>
            <w:shd w:val="clear" w:color="auto" w:fill="auto"/>
            <w:noWrap/>
            <w:vAlign w:val="bottom"/>
            <w:hideMark/>
          </w:tcPr>
          <w:p w14:paraId="75FB860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Sales of investments</w:t>
            </w:r>
          </w:p>
        </w:tc>
        <w:tc>
          <w:tcPr>
            <w:tcW w:w="1096" w:type="dxa"/>
            <w:tcBorders>
              <w:top w:val="nil"/>
              <w:left w:val="nil"/>
              <w:bottom w:val="nil"/>
              <w:right w:val="nil"/>
            </w:tcBorders>
            <w:shd w:val="clear" w:color="auto" w:fill="auto"/>
            <w:noWrap/>
            <w:vAlign w:val="bottom"/>
            <w:hideMark/>
          </w:tcPr>
          <w:p w14:paraId="4D5243F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16,006 </w:t>
            </w:r>
          </w:p>
        </w:tc>
        <w:tc>
          <w:tcPr>
            <w:tcW w:w="116" w:type="dxa"/>
            <w:tcBorders>
              <w:top w:val="nil"/>
              <w:left w:val="nil"/>
              <w:bottom w:val="nil"/>
              <w:right w:val="nil"/>
            </w:tcBorders>
            <w:shd w:val="clear" w:color="auto" w:fill="auto"/>
            <w:noWrap/>
            <w:vAlign w:val="bottom"/>
            <w:hideMark/>
          </w:tcPr>
          <w:p w14:paraId="6805366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B054D6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9,730 </w:t>
            </w:r>
          </w:p>
        </w:tc>
        <w:tc>
          <w:tcPr>
            <w:tcW w:w="116" w:type="dxa"/>
            <w:tcBorders>
              <w:top w:val="nil"/>
              <w:left w:val="nil"/>
              <w:bottom w:val="nil"/>
              <w:right w:val="nil"/>
            </w:tcBorders>
            <w:shd w:val="clear" w:color="auto" w:fill="auto"/>
            <w:noWrap/>
            <w:vAlign w:val="bottom"/>
            <w:hideMark/>
          </w:tcPr>
          <w:p w14:paraId="0576906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308DA2A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39,477 </w:t>
            </w:r>
          </w:p>
        </w:tc>
        <w:tc>
          <w:tcPr>
            <w:tcW w:w="116" w:type="dxa"/>
            <w:tcBorders>
              <w:top w:val="nil"/>
              <w:left w:val="nil"/>
              <w:bottom w:val="nil"/>
              <w:right w:val="nil"/>
            </w:tcBorders>
            <w:shd w:val="clear" w:color="auto" w:fill="auto"/>
            <w:noWrap/>
            <w:vAlign w:val="bottom"/>
            <w:hideMark/>
          </w:tcPr>
          <w:p w14:paraId="44A6544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3BFB558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30,163 </w:t>
            </w:r>
          </w:p>
        </w:tc>
      </w:tr>
      <w:tr w:rsidR="00A32E9B" w:rsidRPr="00F01024" w14:paraId="37031D2D" w14:textId="77777777" w:rsidTr="0065680A">
        <w:trPr>
          <w:trHeight w:val="285"/>
        </w:trPr>
        <w:tc>
          <w:tcPr>
            <w:tcW w:w="3196" w:type="dxa"/>
            <w:tcBorders>
              <w:top w:val="nil"/>
              <w:left w:val="nil"/>
              <w:bottom w:val="single" w:sz="4" w:space="0" w:color="auto"/>
              <w:right w:val="nil"/>
            </w:tcBorders>
            <w:shd w:val="clear" w:color="auto" w:fill="auto"/>
            <w:noWrap/>
            <w:vAlign w:val="bottom"/>
            <w:hideMark/>
          </w:tcPr>
          <w:p w14:paraId="67F8503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Securities lending payable</w:t>
            </w:r>
          </w:p>
        </w:tc>
        <w:tc>
          <w:tcPr>
            <w:tcW w:w="1096" w:type="dxa"/>
            <w:tcBorders>
              <w:top w:val="nil"/>
              <w:left w:val="nil"/>
              <w:bottom w:val="single" w:sz="4" w:space="0" w:color="auto"/>
              <w:right w:val="nil"/>
            </w:tcBorders>
            <w:shd w:val="clear" w:color="auto" w:fill="auto"/>
            <w:noWrap/>
            <w:vAlign w:val="bottom"/>
            <w:hideMark/>
          </w:tcPr>
          <w:p w14:paraId="3C2A320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46 </w:t>
            </w:r>
          </w:p>
        </w:tc>
        <w:tc>
          <w:tcPr>
            <w:tcW w:w="116" w:type="dxa"/>
            <w:tcBorders>
              <w:top w:val="nil"/>
              <w:left w:val="nil"/>
              <w:bottom w:val="nil"/>
              <w:right w:val="nil"/>
            </w:tcBorders>
            <w:shd w:val="clear" w:color="auto" w:fill="auto"/>
            <w:noWrap/>
            <w:vAlign w:val="bottom"/>
            <w:hideMark/>
          </w:tcPr>
          <w:p w14:paraId="39CD636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76A1BE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543 </w:t>
            </w:r>
          </w:p>
        </w:tc>
        <w:tc>
          <w:tcPr>
            <w:tcW w:w="116" w:type="dxa"/>
            <w:tcBorders>
              <w:top w:val="nil"/>
              <w:left w:val="nil"/>
              <w:bottom w:val="nil"/>
              <w:right w:val="nil"/>
            </w:tcBorders>
            <w:shd w:val="clear" w:color="auto" w:fill="auto"/>
            <w:noWrap/>
            <w:vAlign w:val="bottom"/>
            <w:hideMark/>
          </w:tcPr>
          <w:p w14:paraId="5CBCAE47"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4D76B95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149 </w:t>
            </w:r>
          </w:p>
        </w:tc>
        <w:tc>
          <w:tcPr>
            <w:tcW w:w="116" w:type="dxa"/>
            <w:tcBorders>
              <w:top w:val="nil"/>
              <w:left w:val="nil"/>
              <w:bottom w:val="nil"/>
              <w:right w:val="nil"/>
            </w:tcBorders>
            <w:shd w:val="clear" w:color="auto" w:fill="auto"/>
            <w:noWrap/>
            <w:vAlign w:val="bottom"/>
            <w:hideMark/>
          </w:tcPr>
          <w:p w14:paraId="5EB095B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376BA0C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(249)</w:t>
            </w:r>
          </w:p>
        </w:tc>
      </w:tr>
      <w:tr w:rsidR="00A32E9B" w:rsidRPr="00F01024" w14:paraId="73BB6A2C" w14:textId="77777777" w:rsidTr="0065680A">
        <w:trPr>
          <w:trHeight w:val="285"/>
        </w:trPr>
        <w:tc>
          <w:tcPr>
            <w:tcW w:w="3196" w:type="dxa"/>
            <w:tcBorders>
              <w:top w:val="nil"/>
              <w:left w:val="nil"/>
              <w:bottom w:val="single" w:sz="4" w:space="0" w:color="auto"/>
              <w:right w:val="nil"/>
            </w:tcBorders>
            <w:shd w:val="clear" w:color="auto" w:fill="auto"/>
            <w:vAlign w:val="bottom"/>
            <w:hideMark/>
          </w:tcPr>
          <w:p w14:paraId="0D83140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Net cash used in investing</w:t>
            </w:r>
          </w:p>
        </w:tc>
        <w:tc>
          <w:tcPr>
            <w:tcW w:w="1096" w:type="dxa"/>
            <w:tcBorders>
              <w:top w:val="nil"/>
              <w:left w:val="nil"/>
              <w:bottom w:val="single" w:sz="4" w:space="0" w:color="auto"/>
              <w:right w:val="nil"/>
            </w:tcBorders>
            <w:shd w:val="clear" w:color="auto" w:fill="auto"/>
            <w:noWrap/>
            <w:vAlign w:val="bottom"/>
            <w:hideMark/>
          </w:tcPr>
          <w:p w14:paraId="78A316D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(4,284)</w:t>
            </w:r>
          </w:p>
        </w:tc>
        <w:tc>
          <w:tcPr>
            <w:tcW w:w="116" w:type="dxa"/>
            <w:tcBorders>
              <w:top w:val="nil"/>
              <w:left w:val="nil"/>
              <w:bottom w:val="nil"/>
              <w:right w:val="nil"/>
            </w:tcBorders>
            <w:shd w:val="clear" w:color="auto" w:fill="auto"/>
            <w:noWrap/>
            <w:vAlign w:val="bottom"/>
            <w:hideMark/>
          </w:tcPr>
          <w:p w14:paraId="23B13EC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61C33DE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(7,660)</w:t>
            </w:r>
          </w:p>
        </w:tc>
        <w:tc>
          <w:tcPr>
            <w:tcW w:w="116" w:type="dxa"/>
            <w:tcBorders>
              <w:top w:val="nil"/>
              <w:left w:val="nil"/>
              <w:bottom w:val="nil"/>
              <w:right w:val="nil"/>
            </w:tcBorders>
            <w:shd w:val="clear" w:color="auto" w:fill="auto"/>
            <w:noWrap/>
            <w:vAlign w:val="bottom"/>
            <w:hideMark/>
          </w:tcPr>
          <w:p w14:paraId="1A2B85D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12B958C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(9,923)</w:t>
            </w:r>
          </w:p>
        </w:tc>
        <w:tc>
          <w:tcPr>
            <w:tcW w:w="116" w:type="dxa"/>
            <w:tcBorders>
              <w:top w:val="nil"/>
              <w:left w:val="nil"/>
              <w:bottom w:val="nil"/>
              <w:right w:val="nil"/>
            </w:tcBorders>
            <w:shd w:val="clear" w:color="auto" w:fill="auto"/>
            <w:noWrap/>
            <w:vAlign w:val="bottom"/>
            <w:hideMark/>
          </w:tcPr>
          <w:p w14:paraId="6B907AF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0C9AB4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(17,972)</w:t>
            </w:r>
          </w:p>
        </w:tc>
      </w:tr>
      <w:tr w:rsidR="00A32E9B" w:rsidRPr="00F01024" w14:paraId="17629E3E" w14:textId="77777777" w:rsidTr="0065680A">
        <w:trPr>
          <w:trHeight w:val="570"/>
        </w:trPr>
        <w:tc>
          <w:tcPr>
            <w:tcW w:w="3196" w:type="dxa"/>
            <w:tcBorders>
              <w:top w:val="nil"/>
              <w:left w:val="nil"/>
              <w:bottom w:val="single" w:sz="4" w:space="0" w:color="auto"/>
              <w:right w:val="nil"/>
            </w:tcBorders>
            <w:shd w:val="clear" w:color="auto" w:fill="auto"/>
            <w:vAlign w:val="bottom"/>
            <w:hideMark/>
          </w:tcPr>
          <w:p w14:paraId="77E5157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Effect of exchange rates on cash</w:t>
            </w:r>
            <w:r w:rsidRPr="00F01024">
              <w:rPr>
                <w:rFonts w:ascii="Segoe UI" w:eastAsia="Times New Roman" w:hAnsi="Segoe UI" w:cs="Segoe UI"/>
                <w:color w:val="666666"/>
                <w:sz w:val="20"/>
                <w:szCs w:val="20"/>
              </w:rPr>
              <w:br/>
              <w:t xml:space="preserve">   and cash equivalents</w:t>
            </w:r>
          </w:p>
        </w:tc>
        <w:tc>
          <w:tcPr>
            <w:tcW w:w="1096" w:type="dxa"/>
            <w:tcBorders>
              <w:top w:val="nil"/>
              <w:left w:val="nil"/>
              <w:bottom w:val="single" w:sz="4" w:space="0" w:color="auto"/>
              <w:right w:val="nil"/>
            </w:tcBorders>
            <w:shd w:val="clear" w:color="auto" w:fill="auto"/>
            <w:noWrap/>
            <w:vAlign w:val="bottom"/>
            <w:hideMark/>
          </w:tcPr>
          <w:p w14:paraId="2A755D4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 </w:t>
            </w:r>
          </w:p>
        </w:tc>
        <w:tc>
          <w:tcPr>
            <w:tcW w:w="116" w:type="dxa"/>
            <w:tcBorders>
              <w:top w:val="nil"/>
              <w:left w:val="nil"/>
              <w:bottom w:val="nil"/>
              <w:right w:val="nil"/>
            </w:tcBorders>
            <w:shd w:val="clear" w:color="auto" w:fill="auto"/>
            <w:noWrap/>
            <w:vAlign w:val="bottom"/>
            <w:hideMark/>
          </w:tcPr>
          <w:p w14:paraId="73877D8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FE761A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(39)</w:t>
            </w:r>
          </w:p>
        </w:tc>
        <w:tc>
          <w:tcPr>
            <w:tcW w:w="116" w:type="dxa"/>
            <w:tcBorders>
              <w:top w:val="nil"/>
              <w:left w:val="nil"/>
              <w:bottom w:val="nil"/>
              <w:right w:val="nil"/>
            </w:tcBorders>
            <w:shd w:val="clear" w:color="auto" w:fill="auto"/>
            <w:noWrap/>
            <w:vAlign w:val="bottom"/>
            <w:hideMark/>
          </w:tcPr>
          <w:p w14:paraId="5A9969A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4A780C4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59 </w:t>
            </w:r>
          </w:p>
        </w:tc>
        <w:tc>
          <w:tcPr>
            <w:tcW w:w="116" w:type="dxa"/>
            <w:tcBorders>
              <w:top w:val="nil"/>
              <w:left w:val="nil"/>
              <w:bottom w:val="nil"/>
              <w:right w:val="nil"/>
            </w:tcBorders>
            <w:shd w:val="clear" w:color="auto" w:fill="auto"/>
            <w:noWrap/>
            <w:vAlign w:val="bottom"/>
            <w:hideMark/>
          </w:tcPr>
          <w:p w14:paraId="7A7BF85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00F3788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23 </w:t>
            </w:r>
          </w:p>
        </w:tc>
      </w:tr>
      <w:tr w:rsidR="00A32E9B" w:rsidRPr="00F01024" w14:paraId="3FDD799E" w14:textId="77777777" w:rsidTr="0065680A">
        <w:trPr>
          <w:trHeight w:val="570"/>
        </w:trPr>
        <w:tc>
          <w:tcPr>
            <w:tcW w:w="3196" w:type="dxa"/>
            <w:tcBorders>
              <w:top w:val="nil"/>
              <w:left w:val="nil"/>
              <w:bottom w:val="nil"/>
              <w:right w:val="nil"/>
            </w:tcBorders>
            <w:shd w:val="clear" w:color="auto" w:fill="auto"/>
            <w:vAlign w:val="bottom"/>
            <w:hideMark/>
          </w:tcPr>
          <w:p w14:paraId="3D5D7EE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Net change in cash and cash</w:t>
            </w:r>
            <w:r w:rsidRPr="00F01024">
              <w:rPr>
                <w:rFonts w:ascii="Segoe UI" w:eastAsia="Times New Roman" w:hAnsi="Segoe UI" w:cs="Segoe UI"/>
                <w:color w:val="666666"/>
                <w:sz w:val="20"/>
                <w:szCs w:val="20"/>
              </w:rPr>
              <w:br/>
              <w:t xml:space="preserve">   equivalents</w:t>
            </w:r>
          </w:p>
        </w:tc>
        <w:tc>
          <w:tcPr>
            <w:tcW w:w="1096" w:type="dxa"/>
            <w:tcBorders>
              <w:top w:val="nil"/>
              <w:left w:val="nil"/>
              <w:bottom w:val="nil"/>
              <w:right w:val="nil"/>
            </w:tcBorders>
            <w:shd w:val="clear" w:color="auto" w:fill="auto"/>
            <w:noWrap/>
            <w:vAlign w:val="bottom"/>
            <w:hideMark/>
          </w:tcPr>
          <w:p w14:paraId="46DA22B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1,513 </w:t>
            </w:r>
          </w:p>
        </w:tc>
        <w:tc>
          <w:tcPr>
            <w:tcW w:w="116" w:type="dxa"/>
            <w:tcBorders>
              <w:top w:val="nil"/>
              <w:left w:val="nil"/>
              <w:bottom w:val="nil"/>
              <w:right w:val="nil"/>
            </w:tcBorders>
            <w:shd w:val="clear" w:color="auto" w:fill="auto"/>
            <w:noWrap/>
            <w:vAlign w:val="bottom"/>
            <w:hideMark/>
          </w:tcPr>
          <w:p w14:paraId="3973CBC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A5E968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(777)</w:t>
            </w:r>
          </w:p>
        </w:tc>
        <w:tc>
          <w:tcPr>
            <w:tcW w:w="116" w:type="dxa"/>
            <w:tcBorders>
              <w:top w:val="nil"/>
              <w:left w:val="nil"/>
              <w:bottom w:val="nil"/>
              <w:right w:val="nil"/>
            </w:tcBorders>
            <w:shd w:val="clear" w:color="auto" w:fill="auto"/>
            <w:noWrap/>
            <w:vAlign w:val="bottom"/>
            <w:hideMark/>
          </w:tcPr>
          <w:p w14:paraId="09C2443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CC0A7A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7,768 </w:t>
            </w:r>
          </w:p>
        </w:tc>
        <w:tc>
          <w:tcPr>
            <w:tcW w:w="116" w:type="dxa"/>
            <w:tcBorders>
              <w:top w:val="nil"/>
              <w:left w:val="nil"/>
              <w:bottom w:val="nil"/>
              <w:right w:val="nil"/>
            </w:tcBorders>
            <w:shd w:val="clear" w:color="auto" w:fill="auto"/>
            <w:noWrap/>
            <w:vAlign w:val="bottom"/>
            <w:hideMark/>
          </w:tcPr>
          <w:p w14:paraId="05ECCD8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89539F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(1,698)</w:t>
            </w:r>
          </w:p>
        </w:tc>
      </w:tr>
      <w:tr w:rsidR="00A32E9B" w:rsidRPr="00F01024" w14:paraId="03329BCF" w14:textId="77777777" w:rsidTr="0065680A">
        <w:trPr>
          <w:trHeight w:val="570"/>
        </w:trPr>
        <w:tc>
          <w:tcPr>
            <w:tcW w:w="3196" w:type="dxa"/>
            <w:tcBorders>
              <w:top w:val="nil"/>
              <w:left w:val="nil"/>
              <w:bottom w:val="single" w:sz="4" w:space="0" w:color="auto"/>
              <w:right w:val="nil"/>
            </w:tcBorders>
            <w:shd w:val="clear" w:color="auto" w:fill="auto"/>
            <w:vAlign w:val="bottom"/>
            <w:hideMark/>
          </w:tcPr>
          <w:p w14:paraId="2E8F87C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Cash and cash equivalents,</w:t>
            </w:r>
            <w:r w:rsidRPr="00F01024">
              <w:rPr>
                <w:rFonts w:ascii="Segoe UI" w:eastAsia="Times New Roman" w:hAnsi="Segoe UI" w:cs="Segoe UI"/>
                <w:color w:val="666666"/>
                <w:sz w:val="20"/>
                <w:szCs w:val="20"/>
              </w:rPr>
              <w:br/>
              <w:t xml:space="preserve">   beginning of period</w:t>
            </w:r>
          </w:p>
        </w:tc>
        <w:tc>
          <w:tcPr>
            <w:tcW w:w="1096" w:type="dxa"/>
            <w:tcBorders>
              <w:top w:val="nil"/>
              <w:left w:val="nil"/>
              <w:bottom w:val="single" w:sz="4" w:space="0" w:color="auto"/>
              <w:right w:val="nil"/>
            </w:tcBorders>
            <w:shd w:val="clear" w:color="auto" w:fill="auto"/>
            <w:noWrap/>
            <w:vAlign w:val="bottom"/>
            <w:hideMark/>
          </w:tcPr>
          <w:p w14:paraId="5358ADE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10,059 </w:t>
            </w:r>
          </w:p>
        </w:tc>
        <w:tc>
          <w:tcPr>
            <w:tcW w:w="116" w:type="dxa"/>
            <w:tcBorders>
              <w:top w:val="nil"/>
              <w:left w:val="nil"/>
              <w:bottom w:val="nil"/>
              <w:right w:val="nil"/>
            </w:tcBorders>
            <w:shd w:val="clear" w:color="auto" w:fill="auto"/>
            <w:noWrap/>
            <w:vAlign w:val="bottom"/>
            <w:hideMark/>
          </w:tcPr>
          <w:p w14:paraId="0C14D4E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1639900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6,017 </w:t>
            </w:r>
          </w:p>
        </w:tc>
        <w:tc>
          <w:tcPr>
            <w:tcW w:w="116" w:type="dxa"/>
            <w:tcBorders>
              <w:top w:val="nil"/>
              <w:left w:val="nil"/>
              <w:bottom w:val="nil"/>
              <w:right w:val="nil"/>
            </w:tcBorders>
            <w:shd w:val="clear" w:color="auto" w:fill="auto"/>
            <w:noWrap/>
            <w:vAlign w:val="bottom"/>
            <w:hideMark/>
          </w:tcPr>
          <w:p w14:paraId="3956D65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5369051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3,804 </w:t>
            </w:r>
          </w:p>
        </w:tc>
        <w:tc>
          <w:tcPr>
            <w:tcW w:w="116" w:type="dxa"/>
            <w:tcBorders>
              <w:top w:val="nil"/>
              <w:left w:val="nil"/>
              <w:bottom w:val="nil"/>
              <w:right w:val="nil"/>
            </w:tcBorders>
            <w:shd w:val="clear" w:color="auto" w:fill="auto"/>
            <w:noWrap/>
            <w:vAlign w:val="bottom"/>
            <w:hideMark/>
          </w:tcPr>
          <w:p w14:paraId="7EF451F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7DFA379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6,938 </w:t>
            </w:r>
          </w:p>
        </w:tc>
      </w:tr>
      <w:tr w:rsidR="00A32E9B" w:rsidRPr="00F01024" w14:paraId="29AC42E3" w14:textId="77777777" w:rsidTr="0065680A">
        <w:trPr>
          <w:trHeight w:val="570"/>
        </w:trPr>
        <w:tc>
          <w:tcPr>
            <w:tcW w:w="3196" w:type="dxa"/>
            <w:tcBorders>
              <w:top w:val="nil"/>
              <w:left w:val="nil"/>
              <w:bottom w:val="nil"/>
              <w:right w:val="nil"/>
            </w:tcBorders>
            <w:shd w:val="clear" w:color="auto" w:fill="auto"/>
            <w:vAlign w:val="bottom"/>
            <w:hideMark/>
          </w:tcPr>
          <w:p w14:paraId="478FF77E"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Cash and cash equivalents, end of</w:t>
            </w:r>
            <w:r w:rsidRPr="00F01024">
              <w:rPr>
                <w:rFonts w:ascii="Segoe UI" w:eastAsia="Times New Roman" w:hAnsi="Segoe UI" w:cs="Segoe UI"/>
                <w:color w:val="666666"/>
                <w:sz w:val="20"/>
                <w:szCs w:val="20"/>
              </w:rPr>
              <w:br/>
              <w:t xml:space="preserve">   period</w:t>
            </w:r>
          </w:p>
        </w:tc>
        <w:tc>
          <w:tcPr>
            <w:tcW w:w="1096" w:type="dxa"/>
            <w:tcBorders>
              <w:top w:val="nil"/>
              <w:left w:val="nil"/>
              <w:bottom w:val="single" w:sz="8" w:space="0" w:color="auto"/>
              <w:right w:val="nil"/>
            </w:tcBorders>
            <w:shd w:val="clear" w:color="auto" w:fill="auto"/>
            <w:noWrap/>
            <w:vAlign w:val="bottom"/>
            <w:hideMark/>
          </w:tcPr>
          <w:p w14:paraId="7916657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11,572 </w:t>
            </w:r>
          </w:p>
        </w:tc>
        <w:tc>
          <w:tcPr>
            <w:tcW w:w="116" w:type="dxa"/>
            <w:tcBorders>
              <w:top w:val="nil"/>
              <w:left w:val="nil"/>
              <w:bottom w:val="nil"/>
              <w:right w:val="nil"/>
            </w:tcBorders>
            <w:shd w:val="clear" w:color="auto" w:fill="auto"/>
            <w:noWrap/>
            <w:vAlign w:val="bottom"/>
            <w:hideMark/>
          </w:tcPr>
          <w:p w14:paraId="6B3F0B5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6CA2567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5,240 </w:t>
            </w:r>
          </w:p>
        </w:tc>
        <w:tc>
          <w:tcPr>
            <w:tcW w:w="116" w:type="dxa"/>
            <w:tcBorders>
              <w:top w:val="nil"/>
              <w:left w:val="nil"/>
              <w:bottom w:val="nil"/>
              <w:right w:val="nil"/>
            </w:tcBorders>
            <w:shd w:val="clear" w:color="auto" w:fill="auto"/>
            <w:noWrap/>
            <w:vAlign w:val="bottom"/>
            <w:hideMark/>
          </w:tcPr>
          <w:p w14:paraId="2ADC72B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8" w:space="0" w:color="auto"/>
              <w:right w:val="nil"/>
            </w:tcBorders>
            <w:shd w:val="clear" w:color="auto" w:fill="auto"/>
            <w:noWrap/>
            <w:vAlign w:val="bottom"/>
            <w:hideMark/>
          </w:tcPr>
          <w:p w14:paraId="662AB69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11,572 </w:t>
            </w:r>
          </w:p>
        </w:tc>
        <w:tc>
          <w:tcPr>
            <w:tcW w:w="116" w:type="dxa"/>
            <w:tcBorders>
              <w:top w:val="nil"/>
              <w:left w:val="nil"/>
              <w:bottom w:val="nil"/>
              <w:right w:val="nil"/>
            </w:tcBorders>
            <w:shd w:val="clear" w:color="auto" w:fill="auto"/>
            <w:noWrap/>
            <w:vAlign w:val="bottom"/>
            <w:hideMark/>
          </w:tcPr>
          <w:p w14:paraId="0FAAC6D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259A409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5,240 </w:t>
            </w:r>
          </w:p>
        </w:tc>
      </w:tr>
    </w:tbl>
    <w:p w14:paraId="508EBF21" w14:textId="005E3FC0" w:rsidR="0065680A" w:rsidRDefault="0065680A" w:rsidP="00A32E9B"/>
    <w:p w14:paraId="3AC04C7E" w14:textId="77777777" w:rsidR="0065680A" w:rsidRDefault="0065680A">
      <w:r>
        <w:br w:type="page"/>
      </w:r>
    </w:p>
    <w:tbl>
      <w:tblPr>
        <w:tblW w:w="7668" w:type="dxa"/>
        <w:tblCellMar>
          <w:left w:w="0" w:type="dxa"/>
          <w:right w:w="0" w:type="dxa"/>
        </w:tblCellMar>
        <w:tblLook w:val="04A0" w:firstRow="1" w:lastRow="0" w:firstColumn="1" w:lastColumn="0" w:noHBand="0" w:noVBand="1"/>
      </w:tblPr>
      <w:tblGrid>
        <w:gridCol w:w="3112"/>
        <w:gridCol w:w="1112"/>
        <w:gridCol w:w="212"/>
        <w:gridCol w:w="952"/>
        <w:gridCol w:w="132"/>
        <w:gridCol w:w="1112"/>
        <w:gridCol w:w="212"/>
        <w:gridCol w:w="952"/>
      </w:tblGrid>
      <w:tr w:rsidR="00A32E9B" w:rsidRPr="00F01024" w14:paraId="27A9E307" w14:textId="77777777" w:rsidTr="0065680A">
        <w:trPr>
          <w:trHeight w:val="285"/>
        </w:trPr>
        <w:tc>
          <w:tcPr>
            <w:tcW w:w="3096" w:type="dxa"/>
            <w:tcBorders>
              <w:top w:val="nil"/>
              <w:left w:val="nil"/>
              <w:bottom w:val="nil"/>
              <w:right w:val="nil"/>
            </w:tcBorders>
            <w:shd w:val="clear" w:color="000000" w:fill="FFFFFF"/>
            <w:noWrap/>
            <w:vAlign w:val="bottom"/>
            <w:hideMark/>
          </w:tcPr>
          <w:p w14:paraId="0F472577"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000000" w:fill="FFFFFF"/>
            <w:noWrap/>
            <w:vAlign w:val="bottom"/>
            <w:hideMark/>
          </w:tcPr>
          <w:p w14:paraId="3774FCDB"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1E1520F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2B9F9C6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253FACA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6CF53F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2AD507A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49930169"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r>
      <w:tr w:rsidR="00A32E9B" w:rsidRPr="00F01024" w14:paraId="6852789C" w14:textId="77777777" w:rsidTr="0065680A">
        <w:trPr>
          <w:trHeight w:val="285"/>
        </w:trPr>
        <w:tc>
          <w:tcPr>
            <w:tcW w:w="3096" w:type="dxa"/>
            <w:tcBorders>
              <w:top w:val="nil"/>
              <w:left w:val="nil"/>
              <w:bottom w:val="nil"/>
              <w:right w:val="nil"/>
            </w:tcBorders>
            <w:shd w:val="clear" w:color="000000" w:fill="FFFFFF"/>
            <w:noWrap/>
            <w:vAlign w:val="bottom"/>
            <w:hideMark/>
          </w:tcPr>
          <w:p w14:paraId="3B773AC4"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096" w:type="dxa"/>
            <w:tcBorders>
              <w:top w:val="nil"/>
              <w:left w:val="nil"/>
              <w:bottom w:val="nil"/>
              <w:right w:val="nil"/>
            </w:tcBorders>
            <w:shd w:val="clear" w:color="000000" w:fill="FFFFFF"/>
            <w:noWrap/>
            <w:vAlign w:val="bottom"/>
            <w:hideMark/>
          </w:tcPr>
          <w:p w14:paraId="6816460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39891F5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5C83E0D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4A554D3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580A1F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72D1FF7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7D4201F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r>
      <w:tr w:rsidR="00A32E9B" w:rsidRPr="00F01024" w14:paraId="2C51B0D9" w14:textId="77777777" w:rsidTr="0065680A">
        <w:trPr>
          <w:trHeight w:val="285"/>
        </w:trPr>
        <w:tc>
          <w:tcPr>
            <w:tcW w:w="7668" w:type="dxa"/>
            <w:gridSpan w:val="8"/>
            <w:tcBorders>
              <w:top w:val="nil"/>
              <w:left w:val="nil"/>
              <w:bottom w:val="nil"/>
              <w:right w:val="nil"/>
            </w:tcBorders>
            <w:shd w:val="clear" w:color="000000" w:fill="FFFFFF"/>
            <w:noWrap/>
            <w:vAlign w:val="bottom"/>
            <w:hideMark/>
          </w:tcPr>
          <w:p w14:paraId="3EE9D9B4"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SEGMENT REVENUE AND GROSS MARGIN</w:t>
            </w:r>
          </w:p>
        </w:tc>
      </w:tr>
      <w:tr w:rsidR="00A32E9B" w:rsidRPr="00F01024" w14:paraId="1FCBC3A0" w14:textId="77777777" w:rsidTr="0065680A">
        <w:trPr>
          <w:trHeight w:val="285"/>
        </w:trPr>
        <w:tc>
          <w:tcPr>
            <w:tcW w:w="7668" w:type="dxa"/>
            <w:gridSpan w:val="8"/>
            <w:tcBorders>
              <w:top w:val="nil"/>
              <w:left w:val="nil"/>
              <w:bottom w:val="nil"/>
              <w:right w:val="nil"/>
            </w:tcBorders>
            <w:shd w:val="clear" w:color="000000" w:fill="FFFFFF"/>
            <w:noWrap/>
            <w:vAlign w:val="bottom"/>
            <w:hideMark/>
          </w:tcPr>
          <w:p w14:paraId="54FA423B"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(In millions)(Unaudited)</w:t>
            </w:r>
          </w:p>
        </w:tc>
      </w:tr>
      <w:tr w:rsidR="00A32E9B" w:rsidRPr="00F01024" w14:paraId="6B5BF04B" w14:textId="77777777" w:rsidTr="0065680A">
        <w:trPr>
          <w:trHeight w:val="285"/>
        </w:trPr>
        <w:tc>
          <w:tcPr>
            <w:tcW w:w="3096" w:type="dxa"/>
            <w:tcBorders>
              <w:top w:val="nil"/>
              <w:left w:val="nil"/>
              <w:bottom w:val="nil"/>
              <w:right w:val="nil"/>
            </w:tcBorders>
            <w:shd w:val="clear" w:color="000000" w:fill="FFFFFF"/>
            <w:noWrap/>
            <w:vAlign w:val="bottom"/>
            <w:hideMark/>
          </w:tcPr>
          <w:p w14:paraId="671CA412"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0CF234D"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358A15DE"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0D75B7C6"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7817DD66"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6959448"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73665C4E"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936" w:type="dxa"/>
            <w:tcBorders>
              <w:top w:val="nil"/>
              <w:left w:val="nil"/>
              <w:bottom w:val="nil"/>
              <w:right w:val="nil"/>
            </w:tcBorders>
            <w:shd w:val="clear" w:color="000000" w:fill="FFFFFF"/>
            <w:noWrap/>
            <w:vAlign w:val="bottom"/>
            <w:hideMark/>
          </w:tcPr>
          <w:p w14:paraId="38F0077C" w14:textId="77777777" w:rsidR="00A32E9B" w:rsidRPr="00F01024" w:rsidRDefault="00A32E9B" w:rsidP="001F78EF">
            <w:pPr>
              <w:spacing w:after="0" w:line="240" w:lineRule="auto"/>
              <w:jc w:val="center"/>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r>
      <w:tr w:rsidR="00A32E9B" w:rsidRPr="00F01024" w14:paraId="1BC62C8A" w14:textId="77777777" w:rsidTr="0065680A">
        <w:trPr>
          <w:trHeight w:val="285"/>
        </w:trPr>
        <w:tc>
          <w:tcPr>
            <w:tcW w:w="3096" w:type="dxa"/>
            <w:tcBorders>
              <w:top w:val="nil"/>
              <w:left w:val="nil"/>
              <w:bottom w:val="nil"/>
              <w:right w:val="nil"/>
            </w:tcBorders>
            <w:shd w:val="clear" w:color="000000" w:fill="FFFFFF"/>
            <w:noWrap/>
            <w:vAlign w:val="bottom"/>
            <w:hideMark/>
          </w:tcPr>
          <w:p w14:paraId="411E5BB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2228" w:type="dxa"/>
            <w:gridSpan w:val="3"/>
            <w:vMerge w:val="restart"/>
            <w:tcBorders>
              <w:top w:val="nil"/>
              <w:left w:val="nil"/>
              <w:bottom w:val="nil"/>
              <w:right w:val="nil"/>
            </w:tcBorders>
            <w:shd w:val="clear" w:color="000000" w:fill="FFFFFF"/>
            <w:vAlign w:val="bottom"/>
            <w:hideMark/>
          </w:tcPr>
          <w:p w14:paraId="44B0654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Three Months Ended March 31,</w:t>
            </w:r>
          </w:p>
        </w:tc>
        <w:tc>
          <w:tcPr>
            <w:tcW w:w="116" w:type="dxa"/>
            <w:tcBorders>
              <w:top w:val="nil"/>
              <w:left w:val="nil"/>
              <w:bottom w:val="nil"/>
              <w:right w:val="nil"/>
            </w:tcBorders>
            <w:shd w:val="clear" w:color="000000" w:fill="FFFFFF"/>
            <w:noWrap/>
            <w:vAlign w:val="bottom"/>
            <w:hideMark/>
          </w:tcPr>
          <w:p w14:paraId="3E291AD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2228" w:type="dxa"/>
            <w:gridSpan w:val="3"/>
            <w:vMerge w:val="restart"/>
            <w:tcBorders>
              <w:top w:val="nil"/>
              <w:left w:val="nil"/>
              <w:bottom w:val="nil"/>
              <w:right w:val="nil"/>
            </w:tcBorders>
            <w:shd w:val="clear" w:color="000000" w:fill="FFFFFF"/>
            <w:vAlign w:val="bottom"/>
            <w:hideMark/>
          </w:tcPr>
          <w:p w14:paraId="49F6CA9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Nine Months Ended March 31,</w:t>
            </w:r>
          </w:p>
        </w:tc>
      </w:tr>
      <w:tr w:rsidR="00A32E9B" w:rsidRPr="00F01024" w14:paraId="6E648CC0" w14:textId="77777777" w:rsidTr="0065680A">
        <w:trPr>
          <w:trHeight w:val="285"/>
        </w:trPr>
        <w:tc>
          <w:tcPr>
            <w:tcW w:w="3096" w:type="dxa"/>
            <w:tcBorders>
              <w:top w:val="nil"/>
              <w:left w:val="nil"/>
              <w:bottom w:val="nil"/>
              <w:right w:val="nil"/>
            </w:tcBorders>
            <w:shd w:val="clear" w:color="000000" w:fill="FFFFFF"/>
            <w:noWrap/>
            <w:vAlign w:val="bottom"/>
            <w:hideMark/>
          </w:tcPr>
          <w:p w14:paraId="1CA77A62"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2228" w:type="dxa"/>
            <w:gridSpan w:val="3"/>
            <w:vMerge/>
            <w:tcBorders>
              <w:top w:val="nil"/>
              <w:left w:val="nil"/>
              <w:bottom w:val="nil"/>
              <w:right w:val="nil"/>
            </w:tcBorders>
            <w:vAlign w:val="center"/>
            <w:hideMark/>
          </w:tcPr>
          <w:p w14:paraId="600EC9AE"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c>
          <w:tcPr>
            <w:tcW w:w="116" w:type="dxa"/>
            <w:tcBorders>
              <w:top w:val="nil"/>
              <w:left w:val="nil"/>
              <w:bottom w:val="nil"/>
              <w:right w:val="nil"/>
            </w:tcBorders>
            <w:shd w:val="clear" w:color="000000" w:fill="FFFFFF"/>
            <w:noWrap/>
            <w:vAlign w:val="bottom"/>
            <w:hideMark/>
          </w:tcPr>
          <w:p w14:paraId="325C0E6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2228" w:type="dxa"/>
            <w:gridSpan w:val="3"/>
            <w:vMerge/>
            <w:tcBorders>
              <w:top w:val="nil"/>
              <w:left w:val="nil"/>
              <w:bottom w:val="nil"/>
              <w:right w:val="nil"/>
            </w:tcBorders>
            <w:vAlign w:val="center"/>
            <w:hideMark/>
          </w:tcPr>
          <w:p w14:paraId="10A03D83" w14:textId="77777777" w:rsidR="00A32E9B" w:rsidRPr="00F01024" w:rsidRDefault="00A32E9B" w:rsidP="001F78EF">
            <w:pPr>
              <w:spacing w:after="0" w:line="240" w:lineRule="auto"/>
              <w:rPr>
                <w:rFonts w:ascii="Segoe UI" w:eastAsia="Times New Roman" w:hAnsi="Segoe UI" w:cs="Segoe UI"/>
                <w:b/>
                <w:bCs/>
                <w:color w:val="666666"/>
                <w:sz w:val="20"/>
                <w:szCs w:val="20"/>
              </w:rPr>
            </w:pPr>
          </w:p>
        </w:tc>
      </w:tr>
      <w:tr w:rsidR="00A32E9B" w:rsidRPr="00F01024" w14:paraId="73050B25" w14:textId="77777777" w:rsidTr="0065680A">
        <w:trPr>
          <w:trHeight w:val="285"/>
        </w:trPr>
        <w:tc>
          <w:tcPr>
            <w:tcW w:w="3096" w:type="dxa"/>
            <w:tcBorders>
              <w:top w:val="nil"/>
              <w:left w:val="nil"/>
              <w:bottom w:val="single" w:sz="4" w:space="0" w:color="auto"/>
              <w:right w:val="nil"/>
            </w:tcBorders>
            <w:shd w:val="clear" w:color="000000" w:fill="FFFFFF"/>
            <w:noWrap/>
            <w:vAlign w:val="bottom"/>
            <w:hideMark/>
          </w:tcPr>
          <w:p w14:paraId="22788A80"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056627F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96" w:type="dxa"/>
            <w:tcBorders>
              <w:top w:val="nil"/>
              <w:left w:val="nil"/>
              <w:bottom w:val="single" w:sz="4" w:space="0" w:color="auto"/>
              <w:right w:val="nil"/>
            </w:tcBorders>
            <w:shd w:val="clear" w:color="000000" w:fill="FFFFFF"/>
            <w:noWrap/>
            <w:vAlign w:val="bottom"/>
            <w:hideMark/>
          </w:tcPr>
          <w:p w14:paraId="3B17216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0169C9A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c>
          <w:tcPr>
            <w:tcW w:w="116" w:type="dxa"/>
            <w:tcBorders>
              <w:top w:val="nil"/>
              <w:left w:val="nil"/>
              <w:bottom w:val="single" w:sz="4" w:space="0" w:color="auto"/>
              <w:right w:val="nil"/>
            </w:tcBorders>
            <w:shd w:val="clear" w:color="000000" w:fill="FFFFFF"/>
            <w:noWrap/>
            <w:vAlign w:val="bottom"/>
            <w:hideMark/>
          </w:tcPr>
          <w:p w14:paraId="526B00CF" w14:textId="77777777" w:rsidR="00A32E9B" w:rsidRPr="00F01024" w:rsidRDefault="00A32E9B" w:rsidP="001F78EF">
            <w:pPr>
              <w:spacing w:after="0" w:line="240" w:lineRule="auto"/>
              <w:jc w:val="center"/>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6E0AF4E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2014</w:t>
            </w:r>
          </w:p>
        </w:tc>
        <w:tc>
          <w:tcPr>
            <w:tcW w:w="196" w:type="dxa"/>
            <w:tcBorders>
              <w:top w:val="nil"/>
              <w:left w:val="nil"/>
              <w:bottom w:val="single" w:sz="4" w:space="0" w:color="auto"/>
              <w:right w:val="nil"/>
            </w:tcBorders>
            <w:shd w:val="clear" w:color="000000" w:fill="FFFFFF"/>
            <w:noWrap/>
            <w:vAlign w:val="bottom"/>
            <w:hideMark/>
          </w:tcPr>
          <w:p w14:paraId="3562BA0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2786A21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2013</w:t>
            </w:r>
          </w:p>
        </w:tc>
      </w:tr>
      <w:tr w:rsidR="00A32E9B" w:rsidRPr="00F01024" w14:paraId="0C120065" w14:textId="77777777" w:rsidTr="0065680A">
        <w:trPr>
          <w:trHeight w:val="285"/>
        </w:trPr>
        <w:tc>
          <w:tcPr>
            <w:tcW w:w="3096" w:type="dxa"/>
            <w:tcBorders>
              <w:top w:val="nil"/>
              <w:left w:val="nil"/>
              <w:bottom w:val="nil"/>
              <w:right w:val="nil"/>
            </w:tcBorders>
            <w:shd w:val="clear" w:color="000000" w:fill="FFFFFF"/>
            <w:noWrap/>
            <w:vAlign w:val="bottom"/>
            <w:hideMark/>
          </w:tcPr>
          <w:p w14:paraId="23896C86"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Revenue</w:t>
            </w:r>
          </w:p>
        </w:tc>
        <w:tc>
          <w:tcPr>
            <w:tcW w:w="1096" w:type="dxa"/>
            <w:tcBorders>
              <w:top w:val="nil"/>
              <w:left w:val="nil"/>
              <w:bottom w:val="nil"/>
              <w:right w:val="nil"/>
            </w:tcBorders>
            <w:shd w:val="clear" w:color="000000" w:fill="FFFFFF"/>
            <w:noWrap/>
            <w:vAlign w:val="bottom"/>
            <w:hideMark/>
          </w:tcPr>
          <w:p w14:paraId="6A1521A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47B9D140"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E9D513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3441004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CB442B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6A71272C"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1F8AD03"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r>
      <w:tr w:rsidR="00A32E9B" w:rsidRPr="00F01024" w14:paraId="3E12FFB5" w14:textId="77777777" w:rsidTr="0065680A">
        <w:trPr>
          <w:trHeight w:val="315"/>
        </w:trPr>
        <w:tc>
          <w:tcPr>
            <w:tcW w:w="3096" w:type="dxa"/>
            <w:tcBorders>
              <w:top w:val="nil"/>
              <w:left w:val="nil"/>
              <w:bottom w:val="nil"/>
              <w:right w:val="nil"/>
            </w:tcBorders>
            <w:shd w:val="clear" w:color="000000" w:fill="FFFFFF"/>
            <w:noWrap/>
            <w:vAlign w:val="bottom"/>
            <w:hideMark/>
          </w:tcPr>
          <w:p w14:paraId="29A5CDE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Devices and Consumer Licensing</w:t>
            </w:r>
          </w:p>
        </w:tc>
        <w:tc>
          <w:tcPr>
            <w:tcW w:w="1096" w:type="dxa"/>
            <w:tcBorders>
              <w:top w:val="nil"/>
              <w:left w:val="nil"/>
              <w:bottom w:val="nil"/>
              <w:right w:val="nil"/>
            </w:tcBorders>
            <w:shd w:val="clear" w:color="000000" w:fill="FFFFFF"/>
            <w:noWrap/>
            <w:vAlign w:val="bottom"/>
            <w:hideMark/>
          </w:tcPr>
          <w:p w14:paraId="58D9CF8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4,382 </w:t>
            </w:r>
          </w:p>
        </w:tc>
        <w:tc>
          <w:tcPr>
            <w:tcW w:w="196" w:type="dxa"/>
            <w:tcBorders>
              <w:top w:val="nil"/>
              <w:left w:val="nil"/>
              <w:bottom w:val="nil"/>
              <w:right w:val="nil"/>
            </w:tcBorders>
            <w:shd w:val="clear" w:color="000000" w:fill="FFFFFF"/>
            <w:noWrap/>
            <w:vAlign w:val="bottom"/>
            <w:hideMark/>
          </w:tcPr>
          <w:p w14:paraId="36FAF3A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54628C2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4,352 </w:t>
            </w:r>
          </w:p>
        </w:tc>
        <w:tc>
          <w:tcPr>
            <w:tcW w:w="116" w:type="dxa"/>
            <w:tcBorders>
              <w:top w:val="nil"/>
              <w:left w:val="nil"/>
              <w:bottom w:val="nil"/>
              <w:right w:val="nil"/>
            </w:tcBorders>
            <w:shd w:val="clear" w:color="000000" w:fill="FFFFFF"/>
            <w:noWrap/>
            <w:vAlign w:val="bottom"/>
            <w:hideMark/>
          </w:tcPr>
          <w:p w14:paraId="63A6EA3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15740F1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14,109 </w:t>
            </w:r>
          </w:p>
        </w:tc>
        <w:tc>
          <w:tcPr>
            <w:tcW w:w="196" w:type="dxa"/>
            <w:tcBorders>
              <w:top w:val="nil"/>
              <w:left w:val="nil"/>
              <w:bottom w:val="nil"/>
              <w:right w:val="nil"/>
            </w:tcBorders>
            <w:shd w:val="clear" w:color="000000" w:fill="FFFFFF"/>
            <w:noWrap/>
            <w:vAlign w:val="bottom"/>
            <w:hideMark/>
          </w:tcPr>
          <w:p w14:paraId="2074517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2965B66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$14,733 </w:t>
            </w:r>
          </w:p>
        </w:tc>
      </w:tr>
      <w:tr w:rsidR="00A32E9B" w:rsidRPr="00F01024" w14:paraId="7CBFD730" w14:textId="77777777" w:rsidTr="0065680A">
        <w:trPr>
          <w:trHeight w:val="285"/>
        </w:trPr>
        <w:tc>
          <w:tcPr>
            <w:tcW w:w="3096" w:type="dxa"/>
            <w:tcBorders>
              <w:top w:val="nil"/>
              <w:left w:val="nil"/>
              <w:bottom w:val="nil"/>
              <w:right w:val="nil"/>
            </w:tcBorders>
            <w:shd w:val="clear" w:color="000000" w:fill="FFFFFF"/>
            <w:noWrap/>
            <w:vAlign w:val="bottom"/>
            <w:hideMark/>
          </w:tcPr>
          <w:p w14:paraId="79E8936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Devices and Consumer Hardware</w:t>
            </w:r>
          </w:p>
        </w:tc>
        <w:tc>
          <w:tcPr>
            <w:tcW w:w="1096" w:type="dxa"/>
            <w:tcBorders>
              <w:top w:val="nil"/>
              <w:left w:val="nil"/>
              <w:bottom w:val="nil"/>
              <w:right w:val="nil"/>
            </w:tcBorders>
            <w:shd w:val="clear" w:color="000000" w:fill="FFFFFF"/>
            <w:noWrap/>
            <w:vAlign w:val="bottom"/>
            <w:hideMark/>
          </w:tcPr>
          <w:p w14:paraId="6A6AB4C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1,973 </w:t>
            </w:r>
          </w:p>
        </w:tc>
        <w:tc>
          <w:tcPr>
            <w:tcW w:w="196" w:type="dxa"/>
            <w:tcBorders>
              <w:top w:val="nil"/>
              <w:left w:val="nil"/>
              <w:bottom w:val="nil"/>
              <w:right w:val="nil"/>
            </w:tcBorders>
            <w:shd w:val="clear" w:color="000000" w:fill="FFFFFF"/>
            <w:noWrap/>
            <w:vAlign w:val="bottom"/>
            <w:hideMark/>
          </w:tcPr>
          <w:p w14:paraId="1AA6D7B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DAF6181"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1,402 </w:t>
            </w:r>
          </w:p>
        </w:tc>
        <w:tc>
          <w:tcPr>
            <w:tcW w:w="116" w:type="dxa"/>
            <w:tcBorders>
              <w:top w:val="nil"/>
              <w:left w:val="nil"/>
              <w:bottom w:val="nil"/>
              <w:right w:val="nil"/>
            </w:tcBorders>
            <w:shd w:val="clear" w:color="000000" w:fill="FFFFFF"/>
            <w:noWrap/>
            <w:vAlign w:val="bottom"/>
            <w:hideMark/>
          </w:tcPr>
          <w:p w14:paraId="1C3C3E4C"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E2EB86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8,187 </w:t>
            </w:r>
          </w:p>
        </w:tc>
        <w:tc>
          <w:tcPr>
            <w:tcW w:w="196" w:type="dxa"/>
            <w:tcBorders>
              <w:top w:val="nil"/>
              <w:left w:val="nil"/>
              <w:bottom w:val="nil"/>
              <w:right w:val="nil"/>
            </w:tcBorders>
            <w:shd w:val="clear" w:color="000000" w:fill="FFFFFF"/>
            <w:noWrap/>
            <w:vAlign w:val="bottom"/>
            <w:hideMark/>
          </w:tcPr>
          <w:p w14:paraId="7166577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E361B3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5,294 </w:t>
            </w:r>
          </w:p>
        </w:tc>
      </w:tr>
      <w:tr w:rsidR="00A32E9B" w:rsidRPr="00F01024" w14:paraId="097B26F2" w14:textId="77777777" w:rsidTr="0065680A">
        <w:trPr>
          <w:trHeight w:val="285"/>
        </w:trPr>
        <w:tc>
          <w:tcPr>
            <w:tcW w:w="3096" w:type="dxa"/>
            <w:tcBorders>
              <w:top w:val="nil"/>
              <w:left w:val="nil"/>
              <w:bottom w:val="nil"/>
              <w:right w:val="nil"/>
            </w:tcBorders>
            <w:shd w:val="clear" w:color="000000" w:fill="FFFFFF"/>
            <w:noWrap/>
            <w:vAlign w:val="bottom"/>
            <w:hideMark/>
          </w:tcPr>
          <w:p w14:paraId="66AF392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Devices and Consumer Other</w:t>
            </w:r>
          </w:p>
        </w:tc>
        <w:tc>
          <w:tcPr>
            <w:tcW w:w="1096" w:type="dxa"/>
            <w:tcBorders>
              <w:top w:val="nil"/>
              <w:left w:val="nil"/>
              <w:bottom w:val="nil"/>
              <w:right w:val="nil"/>
            </w:tcBorders>
            <w:shd w:val="clear" w:color="000000" w:fill="FFFFFF"/>
            <w:noWrap/>
            <w:vAlign w:val="bottom"/>
            <w:hideMark/>
          </w:tcPr>
          <w:p w14:paraId="6B30A2F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1,950 </w:t>
            </w:r>
          </w:p>
        </w:tc>
        <w:tc>
          <w:tcPr>
            <w:tcW w:w="196" w:type="dxa"/>
            <w:tcBorders>
              <w:top w:val="nil"/>
              <w:left w:val="nil"/>
              <w:bottom w:val="nil"/>
              <w:right w:val="nil"/>
            </w:tcBorders>
            <w:shd w:val="clear" w:color="000000" w:fill="FFFFFF"/>
            <w:noWrap/>
            <w:vAlign w:val="bottom"/>
            <w:hideMark/>
          </w:tcPr>
          <w:p w14:paraId="43E821F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B6AD02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1,656 </w:t>
            </w:r>
          </w:p>
        </w:tc>
        <w:tc>
          <w:tcPr>
            <w:tcW w:w="116" w:type="dxa"/>
            <w:tcBorders>
              <w:top w:val="nil"/>
              <w:left w:val="nil"/>
              <w:bottom w:val="nil"/>
              <w:right w:val="nil"/>
            </w:tcBorders>
            <w:shd w:val="clear" w:color="000000" w:fill="FFFFFF"/>
            <w:noWrap/>
            <w:vAlign w:val="bottom"/>
            <w:hideMark/>
          </w:tcPr>
          <w:p w14:paraId="0BBF309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0B8104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5,378 </w:t>
            </w:r>
          </w:p>
        </w:tc>
        <w:tc>
          <w:tcPr>
            <w:tcW w:w="196" w:type="dxa"/>
            <w:tcBorders>
              <w:top w:val="nil"/>
              <w:left w:val="nil"/>
              <w:bottom w:val="nil"/>
              <w:right w:val="nil"/>
            </w:tcBorders>
            <w:shd w:val="clear" w:color="000000" w:fill="FFFFFF"/>
            <w:noWrap/>
            <w:vAlign w:val="bottom"/>
            <w:hideMark/>
          </w:tcPr>
          <w:p w14:paraId="70567F6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162E1B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5,055 </w:t>
            </w:r>
          </w:p>
        </w:tc>
      </w:tr>
      <w:tr w:rsidR="00A32E9B" w:rsidRPr="00F01024" w14:paraId="54E9EE6B" w14:textId="77777777" w:rsidTr="0065680A">
        <w:trPr>
          <w:trHeight w:val="285"/>
        </w:trPr>
        <w:tc>
          <w:tcPr>
            <w:tcW w:w="3096" w:type="dxa"/>
            <w:tcBorders>
              <w:top w:val="nil"/>
              <w:left w:val="nil"/>
              <w:bottom w:val="nil"/>
              <w:right w:val="nil"/>
            </w:tcBorders>
            <w:shd w:val="clear" w:color="000000" w:fill="FFFFFF"/>
            <w:noWrap/>
            <w:vAlign w:val="bottom"/>
            <w:hideMark/>
          </w:tcPr>
          <w:p w14:paraId="5491BB2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Commercial Licensing</w:t>
            </w:r>
          </w:p>
        </w:tc>
        <w:tc>
          <w:tcPr>
            <w:tcW w:w="1096" w:type="dxa"/>
            <w:tcBorders>
              <w:top w:val="nil"/>
              <w:left w:val="nil"/>
              <w:bottom w:val="nil"/>
              <w:right w:val="nil"/>
            </w:tcBorders>
            <w:shd w:val="clear" w:color="000000" w:fill="FFFFFF"/>
            <w:noWrap/>
            <w:vAlign w:val="bottom"/>
            <w:hideMark/>
          </w:tcPr>
          <w:p w14:paraId="75C490B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10,323 </w:t>
            </w:r>
          </w:p>
        </w:tc>
        <w:tc>
          <w:tcPr>
            <w:tcW w:w="196" w:type="dxa"/>
            <w:tcBorders>
              <w:top w:val="nil"/>
              <w:left w:val="nil"/>
              <w:bottom w:val="nil"/>
              <w:right w:val="nil"/>
            </w:tcBorders>
            <w:shd w:val="clear" w:color="000000" w:fill="FFFFFF"/>
            <w:noWrap/>
            <w:vAlign w:val="bottom"/>
            <w:hideMark/>
          </w:tcPr>
          <w:p w14:paraId="10F0B15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CD14AC5"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9,979 </w:t>
            </w:r>
          </w:p>
        </w:tc>
        <w:tc>
          <w:tcPr>
            <w:tcW w:w="116" w:type="dxa"/>
            <w:tcBorders>
              <w:top w:val="nil"/>
              <w:left w:val="nil"/>
              <w:bottom w:val="nil"/>
              <w:right w:val="nil"/>
            </w:tcBorders>
            <w:shd w:val="clear" w:color="000000" w:fill="FFFFFF"/>
            <w:noWrap/>
            <w:vAlign w:val="bottom"/>
            <w:hideMark/>
          </w:tcPr>
          <w:p w14:paraId="042E6FC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0483548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30,805 </w:t>
            </w:r>
          </w:p>
        </w:tc>
        <w:tc>
          <w:tcPr>
            <w:tcW w:w="196" w:type="dxa"/>
            <w:tcBorders>
              <w:top w:val="nil"/>
              <w:left w:val="nil"/>
              <w:bottom w:val="nil"/>
              <w:right w:val="nil"/>
            </w:tcBorders>
            <w:shd w:val="clear" w:color="000000" w:fill="FFFFFF"/>
            <w:noWrap/>
            <w:vAlign w:val="bottom"/>
            <w:hideMark/>
          </w:tcPr>
          <w:p w14:paraId="3D4F799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CF883E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29,059 </w:t>
            </w:r>
          </w:p>
        </w:tc>
      </w:tr>
      <w:tr w:rsidR="00A32E9B" w:rsidRPr="00F01024" w14:paraId="0866F082" w14:textId="77777777" w:rsidTr="0065680A">
        <w:trPr>
          <w:trHeight w:val="285"/>
        </w:trPr>
        <w:tc>
          <w:tcPr>
            <w:tcW w:w="3096" w:type="dxa"/>
            <w:tcBorders>
              <w:top w:val="nil"/>
              <w:left w:val="nil"/>
              <w:bottom w:val="nil"/>
              <w:right w:val="nil"/>
            </w:tcBorders>
            <w:shd w:val="clear" w:color="000000" w:fill="FFFFFF"/>
            <w:noWrap/>
            <w:vAlign w:val="bottom"/>
            <w:hideMark/>
          </w:tcPr>
          <w:p w14:paraId="2D6C581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Commercial Other</w:t>
            </w:r>
          </w:p>
        </w:tc>
        <w:tc>
          <w:tcPr>
            <w:tcW w:w="1096" w:type="dxa"/>
            <w:tcBorders>
              <w:top w:val="nil"/>
              <w:left w:val="nil"/>
              <w:bottom w:val="nil"/>
              <w:right w:val="nil"/>
            </w:tcBorders>
            <w:shd w:val="clear" w:color="000000" w:fill="FFFFFF"/>
            <w:noWrap/>
            <w:vAlign w:val="bottom"/>
            <w:hideMark/>
          </w:tcPr>
          <w:p w14:paraId="307D10D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1,902 </w:t>
            </w:r>
          </w:p>
        </w:tc>
        <w:tc>
          <w:tcPr>
            <w:tcW w:w="196" w:type="dxa"/>
            <w:tcBorders>
              <w:top w:val="nil"/>
              <w:left w:val="nil"/>
              <w:bottom w:val="nil"/>
              <w:right w:val="nil"/>
            </w:tcBorders>
            <w:shd w:val="clear" w:color="000000" w:fill="FFFFFF"/>
            <w:noWrap/>
            <w:vAlign w:val="bottom"/>
            <w:hideMark/>
          </w:tcPr>
          <w:p w14:paraId="48FB42A6"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A38A58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1,449 </w:t>
            </w:r>
          </w:p>
        </w:tc>
        <w:tc>
          <w:tcPr>
            <w:tcW w:w="116" w:type="dxa"/>
            <w:tcBorders>
              <w:top w:val="nil"/>
              <w:left w:val="nil"/>
              <w:bottom w:val="nil"/>
              <w:right w:val="nil"/>
            </w:tcBorders>
            <w:shd w:val="clear" w:color="000000" w:fill="FFFFFF"/>
            <w:noWrap/>
            <w:vAlign w:val="bottom"/>
            <w:hideMark/>
          </w:tcPr>
          <w:p w14:paraId="1A333A5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3A51A63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5,285 </w:t>
            </w:r>
          </w:p>
        </w:tc>
        <w:tc>
          <w:tcPr>
            <w:tcW w:w="196" w:type="dxa"/>
            <w:tcBorders>
              <w:top w:val="nil"/>
              <w:left w:val="nil"/>
              <w:bottom w:val="nil"/>
              <w:right w:val="nil"/>
            </w:tcBorders>
            <w:shd w:val="clear" w:color="000000" w:fill="FFFFFF"/>
            <w:noWrap/>
            <w:vAlign w:val="bottom"/>
            <w:hideMark/>
          </w:tcPr>
          <w:p w14:paraId="696390C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BB636F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4,086 </w:t>
            </w:r>
          </w:p>
        </w:tc>
      </w:tr>
      <w:tr w:rsidR="00A32E9B" w:rsidRPr="00F01024" w14:paraId="3DA0F909" w14:textId="77777777" w:rsidTr="0065680A">
        <w:trPr>
          <w:trHeight w:val="285"/>
        </w:trPr>
        <w:tc>
          <w:tcPr>
            <w:tcW w:w="3096" w:type="dxa"/>
            <w:tcBorders>
              <w:top w:val="nil"/>
              <w:left w:val="nil"/>
              <w:bottom w:val="single" w:sz="4" w:space="0" w:color="auto"/>
              <w:right w:val="nil"/>
            </w:tcBorders>
            <w:shd w:val="clear" w:color="000000" w:fill="FFFFFF"/>
            <w:noWrap/>
            <w:vAlign w:val="bottom"/>
            <w:hideMark/>
          </w:tcPr>
          <w:p w14:paraId="702551B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Corporate and Other</w:t>
            </w:r>
          </w:p>
        </w:tc>
        <w:tc>
          <w:tcPr>
            <w:tcW w:w="1096" w:type="dxa"/>
            <w:tcBorders>
              <w:top w:val="nil"/>
              <w:left w:val="nil"/>
              <w:bottom w:val="single" w:sz="4" w:space="0" w:color="auto"/>
              <w:right w:val="nil"/>
            </w:tcBorders>
            <w:shd w:val="clear" w:color="000000" w:fill="FFFFFF"/>
            <w:noWrap/>
            <w:vAlign w:val="bottom"/>
            <w:hideMark/>
          </w:tcPr>
          <w:p w14:paraId="62BDA76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(127)</w:t>
            </w:r>
          </w:p>
        </w:tc>
        <w:tc>
          <w:tcPr>
            <w:tcW w:w="196" w:type="dxa"/>
            <w:tcBorders>
              <w:top w:val="nil"/>
              <w:left w:val="nil"/>
              <w:bottom w:val="nil"/>
              <w:right w:val="nil"/>
            </w:tcBorders>
            <w:shd w:val="clear" w:color="000000" w:fill="FFFFFF"/>
            <w:noWrap/>
            <w:vAlign w:val="bottom"/>
            <w:hideMark/>
          </w:tcPr>
          <w:p w14:paraId="20CD3D3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7CB161E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1,651 </w:t>
            </w:r>
          </w:p>
        </w:tc>
        <w:tc>
          <w:tcPr>
            <w:tcW w:w="116" w:type="dxa"/>
            <w:tcBorders>
              <w:top w:val="nil"/>
              <w:left w:val="nil"/>
              <w:bottom w:val="nil"/>
              <w:right w:val="nil"/>
            </w:tcBorders>
            <w:shd w:val="clear" w:color="000000" w:fill="FFFFFF"/>
            <w:noWrap/>
            <w:vAlign w:val="bottom"/>
            <w:hideMark/>
          </w:tcPr>
          <w:p w14:paraId="3C05EAB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4A09EB1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(313)</w:t>
            </w:r>
          </w:p>
        </w:tc>
        <w:tc>
          <w:tcPr>
            <w:tcW w:w="196" w:type="dxa"/>
            <w:tcBorders>
              <w:top w:val="nil"/>
              <w:left w:val="nil"/>
              <w:bottom w:val="nil"/>
              <w:right w:val="nil"/>
            </w:tcBorders>
            <w:shd w:val="clear" w:color="000000" w:fill="FFFFFF"/>
            <w:noWrap/>
            <w:vAlign w:val="bottom"/>
            <w:hideMark/>
          </w:tcPr>
          <w:p w14:paraId="798D645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404F4F46"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(274)</w:t>
            </w:r>
          </w:p>
        </w:tc>
      </w:tr>
      <w:tr w:rsidR="00A32E9B" w:rsidRPr="00F01024" w14:paraId="2E169B06" w14:textId="77777777" w:rsidTr="0065680A">
        <w:trPr>
          <w:trHeight w:val="300"/>
        </w:trPr>
        <w:tc>
          <w:tcPr>
            <w:tcW w:w="3096" w:type="dxa"/>
            <w:tcBorders>
              <w:top w:val="nil"/>
              <w:left w:val="nil"/>
              <w:bottom w:val="nil"/>
              <w:right w:val="nil"/>
            </w:tcBorders>
            <w:shd w:val="clear" w:color="000000" w:fill="FFFFFF"/>
            <w:noWrap/>
            <w:vAlign w:val="bottom"/>
            <w:hideMark/>
          </w:tcPr>
          <w:p w14:paraId="637EA87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revenue</w:t>
            </w:r>
          </w:p>
        </w:tc>
        <w:tc>
          <w:tcPr>
            <w:tcW w:w="1096" w:type="dxa"/>
            <w:tcBorders>
              <w:top w:val="nil"/>
              <w:left w:val="nil"/>
              <w:bottom w:val="single" w:sz="8" w:space="0" w:color="auto"/>
              <w:right w:val="nil"/>
            </w:tcBorders>
            <w:shd w:val="clear" w:color="000000" w:fill="FFFFFF"/>
            <w:noWrap/>
            <w:vAlign w:val="bottom"/>
            <w:hideMark/>
          </w:tcPr>
          <w:p w14:paraId="0D126B3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20,403 </w:t>
            </w:r>
          </w:p>
        </w:tc>
        <w:tc>
          <w:tcPr>
            <w:tcW w:w="196" w:type="dxa"/>
            <w:tcBorders>
              <w:top w:val="nil"/>
              <w:left w:val="nil"/>
              <w:bottom w:val="nil"/>
              <w:right w:val="nil"/>
            </w:tcBorders>
            <w:shd w:val="clear" w:color="000000" w:fill="FFFFFF"/>
            <w:noWrap/>
            <w:vAlign w:val="bottom"/>
            <w:hideMark/>
          </w:tcPr>
          <w:p w14:paraId="16A74850"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2A8DF52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$20,489 </w:t>
            </w:r>
          </w:p>
        </w:tc>
        <w:tc>
          <w:tcPr>
            <w:tcW w:w="116" w:type="dxa"/>
            <w:tcBorders>
              <w:top w:val="nil"/>
              <w:left w:val="nil"/>
              <w:bottom w:val="nil"/>
              <w:right w:val="nil"/>
            </w:tcBorders>
            <w:shd w:val="clear" w:color="000000" w:fill="FFFFFF"/>
            <w:noWrap/>
            <w:vAlign w:val="bottom"/>
            <w:hideMark/>
          </w:tcPr>
          <w:p w14:paraId="2303066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4619757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63,451 </w:t>
            </w:r>
          </w:p>
        </w:tc>
        <w:tc>
          <w:tcPr>
            <w:tcW w:w="196" w:type="dxa"/>
            <w:tcBorders>
              <w:top w:val="nil"/>
              <w:left w:val="nil"/>
              <w:bottom w:val="nil"/>
              <w:right w:val="nil"/>
            </w:tcBorders>
            <w:shd w:val="clear" w:color="000000" w:fill="FFFFFF"/>
            <w:noWrap/>
            <w:vAlign w:val="bottom"/>
            <w:hideMark/>
          </w:tcPr>
          <w:p w14:paraId="59BBF3C0"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1A82FC5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$57,953 </w:t>
            </w:r>
          </w:p>
        </w:tc>
      </w:tr>
      <w:tr w:rsidR="00A32E9B" w:rsidRPr="00F01024" w14:paraId="086E4A76" w14:textId="77777777" w:rsidTr="0065680A">
        <w:trPr>
          <w:trHeight w:val="285"/>
        </w:trPr>
        <w:tc>
          <w:tcPr>
            <w:tcW w:w="3096" w:type="dxa"/>
            <w:tcBorders>
              <w:top w:val="nil"/>
              <w:left w:val="nil"/>
              <w:bottom w:val="nil"/>
              <w:right w:val="nil"/>
            </w:tcBorders>
            <w:shd w:val="clear" w:color="000000" w:fill="FFFFFF"/>
            <w:noWrap/>
            <w:vAlign w:val="bottom"/>
            <w:hideMark/>
          </w:tcPr>
          <w:p w14:paraId="344608BA"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7DC98F59"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388D49FC"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1F5C1DB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2BEDC9A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C5DFE6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1CF4D2F7"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74E0DA4"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r>
      <w:tr w:rsidR="00A32E9B" w:rsidRPr="00F01024" w14:paraId="5C8DAF77" w14:textId="77777777" w:rsidTr="0065680A">
        <w:trPr>
          <w:trHeight w:val="285"/>
        </w:trPr>
        <w:tc>
          <w:tcPr>
            <w:tcW w:w="3096" w:type="dxa"/>
            <w:tcBorders>
              <w:top w:val="nil"/>
              <w:left w:val="nil"/>
              <w:bottom w:val="nil"/>
              <w:right w:val="nil"/>
            </w:tcBorders>
            <w:shd w:val="clear" w:color="000000" w:fill="FFFFFF"/>
            <w:noWrap/>
            <w:vAlign w:val="bottom"/>
            <w:hideMark/>
          </w:tcPr>
          <w:p w14:paraId="0A2B4A57"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Gross Margin</w:t>
            </w:r>
          </w:p>
        </w:tc>
        <w:tc>
          <w:tcPr>
            <w:tcW w:w="1096" w:type="dxa"/>
            <w:tcBorders>
              <w:top w:val="nil"/>
              <w:left w:val="nil"/>
              <w:bottom w:val="nil"/>
              <w:right w:val="nil"/>
            </w:tcBorders>
            <w:shd w:val="clear" w:color="000000" w:fill="FFFFFF"/>
            <w:noWrap/>
            <w:vAlign w:val="bottom"/>
            <w:hideMark/>
          </w:tcPr>
          <w:p w14:paraId="39CFAB4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6EEB4538"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52CB618A"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16" w:type="dxa"/>
            <w:tcBorders>
              <w:top w:val="nil"/>
              <w:left w:val="nil"/>
              <w:bottom w:val="nil"/>
              <w:right w:val="nil"/>
            </w:tcBorders>
            <w:shd w:val="clear" w:color="000000" w:fill="FFFFFF"/>
            <w:noWrap/>
            <w:vAlign w:val="bottom"/>
            <w:hideMark/>
          </w:tcPr>
          <w:p w14:paraId="5F69D00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795FC2F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69C84132"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4279FA8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r>
      <w:tr w:rsidR="00A32E9B" w:rsidRPr="00F01024" w14:paraId="68A875B3" w14:textId="77777777" w:rsidTr="0065680A">
        <w:trPr>
          <w:trHeight w:val="285"/>
        </w:trPr>
        <w:tc>
          <w:tcPr>
            <w:tcW w:w="3096" w:type="dxa"/>
            <w:tcBorders>
              <w:top w:val="nil"/>
              <w:left w:val="nil"/>
              <w:bottom w:val="nil"/>
              <w:right w:val="nil"/>
            </w:tcBorders>
            <w:shd w:val="clear" w:color="000000" w:fill="FFFFFF"/>
            <w:noWrap/>
            <w:vAlign w:val="bottom"/>
            <w:hideMark/>
          </w:tcPr>
          <w:p w14:paraId="42914391"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Devices and Consumer Licensing</w:t>
            </w:r>
          </w:p>
        </w:tc>
        <w:tc>
          <w:tcPr>
            <w:tcW w:w="1096" w:type="dxa"/>
            <w:tcBorders>
              <w:top w:val="nil"/>
              <w:left w:val="nil"/>
              <w:bottom w:val="nil"/>
              <w:right w:val="nil"/>
            </w:tcBorders>
            <w:shd w:val="clear" w:color="000000" w:fill="FFFFFF"/>
            <w:noWrap/>
            <w:vAlign w:val="bottom"/>
            <w:hideMark/>
          </w:tcPr>
          <w:p w14:paraId="59D9FBA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3,906 </w:t>
            </w:r>
          </w:p>
        </w:tc>
        <w:tc>
          <w:tcPr>
            <w:tcW w:w="196" w:type="dxa"/>
            <w:tcBorders>
              <w:top w:val="nil"/>
              <w:left w:val="nil"/>
              <w:bottom w:val="nil"/>
              <w:right w:val="nil"/>
            </w:tcBorders>
            <w:shd w:val="clear" w:color="000000" w:fill="FFFFFF"/>
            <w:noWrap/>
            <w:vAlign w:val="bottom"/>
            <w:hideMark/>
          </w:tcPr>
          <w:p w14:paraId="1A96FCD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2D6DDA0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  3,929 </w:t>
            </w:r>
          </w:p>
        </w:tc>
        <w:tc>
          <w:tcPr>
            <w:tcW w:w="116" w:type="dxa"/>
            <w:tcBorders>
              <w:top w:val="nil"/>
              <w:left w:val="nil"/>
              <w:bottom w:val="nil"/>
              <w:right w:val="nil"/>
            </w:tcBorders>
            <w:shd w:val="clear" w:color="000000" w:fill="FFFFFF"/>
            <w:noWrap/>
            <w:vAlign w:val="bottom"/>
            <w:hideMark/>
          </w:tcPr>
          <w:p w14:paraId="6A5150C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C9491C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12,809 </w:t>
            </w:r>
          </w:p>
        </w:tc>
        <w:tc>
          <w:tcPr>
            <w:tcW w:w="196" w:type="dxa"/>
            <w:tcBorders>
              <w:top w:val="nil"/>
              <w:left w:val="nil"/>
              <w:bottom w:val="nil"/>
              <w:right w:val="nil"/>
            </w:tcBorders>
            <w:shd w:val="clear" w:color="000000" w:fill="FFFFFF"/>
            <w:noWrap/>
            <w:vAlign w:val="bottom"/>
            <w:hideMark/>
          </w:tcPr>
          <w:p w14:paraId="7AAA1F1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B77A95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$13,163 </w:t>
            </w:r>
          </w:p>
        </w:tc>
      </w:tr>
      <w:tr w:rsidR="00A32E9B" w:rsidRPr="00F01024" w14:paraId="3AA6B949" w14:textId="77777777" w:rsidTr="0065680A">
        <w:trPr>
          <w:trHeight w:val="285"/>
        </w:trPr>
        <w:tc>
          <w:tcPr>
            <w:tcW w:w="3096" w:type="dxa"/>
            <w:tcBorders>
              <w:top w:val="nil"/>
              <w:left w:val="nil"/>
              <w:bottom w:val="nil"/>
              <w:right w:val="nil"/>
            </w:tcBorders>
            <w:shd w:val="clear" w:color="000000" w:fill="FFFFFF"/>
            <w:noWrap/>
            <w:vAlign w:val="bottom"/>
            <w:hideMark/>
          </w:tcPr>
          <w:p w14:paraId="21B8410D"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Devices and Consumer Hardware</w:t>
            </w:r>
          </w:p>
        </w:tc>
        <w:tc>
          <w:tcPr>
            <w:tcW w:w="1096" w:type="dxa"/>
            <w:tcBorders>
              <w:top w:val="nil"/>
              <w:left w:val="nil"/>
              <w:bottom w:val="nil"/>
              <w:right w:val="nil"/>
            </w:tcBorders>
            <w:shd w:val="clear" w:color="000000" w:fill="FFFFFF"/>
            <w:noWrap/>
            <w:vAlign w:val="bottom"/>
            <w:hideMark/>
          </w:tcPr>
          <w:p w14:paraId="34A44E3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258 </w:t>
            </w:r>
          </w:p>
        </w:tc>
        <w:tc>
          <w:tcPr>
            <w:tcW w:w="196" w:type="dxa"/>
            <w:tcBorders>
              <w:top w:val="nil"/>
              <w:left w:val="nil"/>
              <w:bottom w:val="nil"/>
              <w:right w:val="nil"/>
            </w:tcBorders>
            <w:shd w:val="clear" w:color="000000" w:fill="FFFFFF"/>
            <w:noWrap/>
            <w:vAlign w:val="bottom"/>
            <w:hideMark/>
          </w:tcPr>
          <w:p w14:paraId="1E595A3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4E5C4D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393 </w:t>
            </w:r>
          </w:p>
        </w:tc>
        <w:tc>
          <w:tcPr>
            <w:tcW w:w="116" w:type="dxa"/>
            <w:tcBorders>
              <w:top w:val="nil"/>
              <w:left w:val="nil"/>
              <w:bottom w:val="nil"/>
              <w:right w:val="nil"/>
            </w:tcBorders>
            <w:shd w:val="clear" w:color="000000" w:fill="FFFFFF"/>
            <w:noWrap/>
            <w:vAlign w:val="bottom"/>
            <w:hideMark/>
          </w:tcPr>
          <w:p w14:paraId="5DBD716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7B45B94"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875 </w:t>
            </w:r>
          </w:p>
        </w:tc>
        <w:tc>
          <w:tcPr>
            <w:tcW w:w="196" w:type="dxa"/>
            <w:tcBorders>
              <w:top w:val="nil"/>
              <w:left w:val="nil"/>
              <w:bottom w:val="nil"/>
              <w:right w:val="nil"/>
            </w:tcBorders>
            <w:shd w:val="clear" w:color="000000" w:fill="FFFFFF"/>
            <w:noWrap/>
            <w:vAlign w:val="bottom"/>
            <w:hideMark/>
          </w:tcPr>
          <w:p w14:paraId="6D2A0A7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00E05EE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1,603 </w:t>
            </w:r>
          </w:p>
        </w:tc>
      </w:tr>
      <w:tr w:rsidR="00A32E9B" w:rsidRPr="00F01024" w14:paraId="56C24C97" w14:textId="77777777" w:rsidTr="0065680A">
        <w:trPr>
          <w:trHeight w:val="315"/>
        </w:trPr>
        <w:tc>
          <w:tcPr>
            <w:tcW w:w="3096" w:type="dxa"/>
            <w:tcBorders>
              <w:top w:val="nil"/>
              <w:left w:val="nil"/>
              <w:bottom w:val="nil"/>
              <w:right w:val="nil"/>
            </w:tcBorders>
            <w:shd w:val="clear" w:color="000000" w:fill="FFFFFF"/>
            <w:noWrap/>
            <w:vAlign w:val="bottom"/>
            <w:hideMark/>
          </w:tcPr>
          <w:p w14:paraId="291F03C8"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Devices and Consumer Other</w:t>
            </w:r>
          </w:p>
        </w:tc>
        <w:tc>
          <w:tcPr>
            <w:tcW w:w="1096" w:type="dxa"/>
            <w:tcBorders>
              <w:top w:val="nil"/>
              <w:left w:val="nil"/>
              <w:bottom w:val="nil"/>
              <w:right w:val="nil"/>
            </w:tcBorders>
            <w:shd w:val="clear" w:color="000000" w:fill="FFFFFF"/>
            <w:noWrap/>
            <w:vAlign w:val="bottom"/>
            <w:hideMark/>
          </w:tcPr>
          <w:p w14:paraId="25E0E1EE"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541 </w:t>
            </w:r>
          </w:p>
        </w:tc>
        <w:tc>
          <w:tcPr>
            <w:tcW w:w="196" w:type="dxa"/>
            <w:tcBorders>
              <w:top w:val="nil"/>
              <w:left w:val="nil"/>
              <w:bottom w:val="nil"/>
              <w:right w:val="nil"/>
            </w:tcBorders>
            <w:shd w:val="clear" w:color="000000" w:fill="FFFFFF"/>
            <w:noWrap/>
            <w:vAlign w:val="bottom"/>
            <w:hideMark/>
          </w:tcPr>
          <w:p w14:paraId="3F482BDF"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4EC7DDA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430 </w:t>
            </w:r>
          </w:p>
        </w:tc>
        <w:tc>
          <w:tcPr>
            <w:tcW w:w="116" w:type="dxa"/>
            <w:tcBorders>
              <w:top w:val="nil"/>
              <w:left w:val="nil"/>
              <w:bottom w:val="nil"/>
              <w:right w:val="nil"/>
            </w:tcBorders>
            <w:shd w:val="clear" w:color="000000" w:fill="FFFFFF"/>
            <w:noWrap/>
            <w:vAlign w:val="bottom"/>
            <w:hideMark/>
          </w:tcPr>
          <w:p w14:paraId="648E5E9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44D0101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1,324 </w:t>
            </w:r>
          </w:p>
        </w:tc>
        <w:tc>
          <w:tcPr>
            <w:tcW w:w="196" w:type="dxa"/>
            <w:tcBorders>
              <w:top w:val="nil"/>
              <w:left w:val="nil"/>
              <w:bottom w:val="nil"/>
              <w:right w:val="nil"/>
            </w:tcBorders>
            <w:shd w:val="clear" w:color="000000" w:fill="FFFFFF"/>
            <w:noWrap/>
            <w:vAlign w:val="bottom"/>
            <w:hideMark/>
          </w:tcPr>
          <w:p w14:paraId="7D06FE0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vertAlign w:val="superscript"/>
              </w:rPr>
              <w:t> </w:t>
            </w:r>
          </w:p>
        </w:tc>
        <w:tc>
          <w:tcPr>
            <w:tcW w:w="936" w:type="dxa"/>
            <w:tcBorders>
              <w:top w:val="nil"/>
              <w:left w:val="nil"/>
              <w:bottom w:val="nil"/>
              <w:right w:val="nil"/>
            </w:tcBorders>
            <w:shd w:val="clear" w:color="000000" w:fill="FFFFFF"/>
            <w:noWrap/>
            <w:vAlign w:val="bottom"/>
            <w:hideMark/>
          </w:tcPr>
          <w:p w14:paraId="104C360D"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1,678 </w:t>
            </w:r>
          </w:p>
        </w:tc>
      </w:tr>
      <w:tr w:rsidR="00A32E9B" w:rsidRPr="00F01024" w14:paraId="744D9640" w14:textId="77777777" w:rsidTr="0065680A">
        <w:trPr>
          <w:trHeight w:val="285"/>
        </w:trPr>
        <w:tc>
          <w:tcPr>
            <w:tcW w:w="3096" w:type="dxa"/>
            <w:tcBorders>
              <w:top w:val="nil"/>
              <w:left w:val="nil"/>
              <w:bottom w:val="nil"/>
              <w:right w:val="nil"/>
            </w:tcBorders>
            <w:shd w:val="clear" w:color="000000" w:fill="FFFFFF"/>
            <w:noWrap/>
            <w:vAlign w:val="bottom"/>
            <w:hideMark/>
          </w:tcPr>
          <w:p w14:paraId="77011BB6"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Commercial Licensing</w:t>
            </w:r>
          </w:p>
        </w:tc>
        <w:tc>
          <w:tcPr>
            <w:tcW w:w="1096" w:type="dxa"/>
            <w:tcBorders>
              <w:top w:val="nil"/>
              <w:left w:val="nil"/>
              <w:bottom w:val="nil"/>
              <w:right w:val="nil"/>
            </w:tcBorders>
            <w:shd w:val="clear" w:color="000000" w:fill="FFFFFF"/>
            <w:noWrap/>
            <w:vAlign w:val="bottom"/>
            <w:hideMark/>
          </w:tcPr>
          <w:p w14:paraId="009113A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9,430 </w:t>
            </w:r>
          </w:p>
        </w:tc>
        <w:tc>
          <w:tcPr>
            <w:tcW w:w="196" w:type="dxa"/>
            <w:tcBorders>
              <w:top w:val="nil"/>
              <w:left w:val="nil"/>
              <w:bottom w:val="nil"/>
              <w:right w:val="nil"/>
            </w:tcBorders>
            <w:shd w:val="clear" w:color="000000" w:fill="FFFFFF"/>
            <w:noWrap/>
            <w:vAlign w:val="bottom"/>
            <w:hideMark/>
          </w:tcPr>
          <w:p w14:paraId="58AC7F61"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C9F9A88"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9,085 </w:t>
            </w:r>
          </w:p>
        </w:tc>
        <w:tc>
          <w:tcPr>
            <w:tcW w:w="116" w:type="dxa"/>
            <w:tcBorders>
              <w:top w:val="nil"/>
              <w:left w:val="nil"/>
              <w:bottom w:val="nil"/>
              <w:right w:val="nil"/>
            </w:tcBorders>
            <w:shd w:val="clear" w:color="000000" w:fill="FFFFFF"/>
            <w:noWrap/>
            <w:vAlign w:val="bottom"/>
            <w:hideMark/>
          </w:tcPr>
          <w:p w14:paraId="41F84719"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6CCC4EF0"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28,308 </w:t>
            </w:r>
          </w:p>
        </w:tc>
        <w:tc>
          <w:tcPr>
            <w:tcW w:w="196" w:type="dxa"/>
            <w:tcBorders>
              <w:top w:val="nil"/>
              <w:left w:val="nil"/>
              <w:bottom w:val="nil"/>
              <w:right w:val="nil"/>
            </w:tcBorders>
            <w:shd w:val="clear" w:color="000000" w:fill="FFFFFF"/>
            <w:noWrap/>
            <w:vAlign w:val="bottom"/>
            <w:hideMark/>
          </w:tcPr>
          <w:p w14:paraId="74FD4A9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34246BF0"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26,594 </w:t>
            </w:r>
          </w:p>
        </w:tc>
      </w:tr>
      <w:tr w:rsidR="00A32E9B" w:rsidRPr="00F01024" w14:paraId="23E30667" w14:textId="77777777" w:rsidTr="0065680A">
        <w:trPr>
          <w:trHeight w:val="285"/>
        </w:trPr>
        <w:tc>
          <w:tcPr>
            <w:tcW w:w="3096" w:type="dxa"/>
            <w:tcBorders>
              <w:top w:val="nil"/>
              <w:left w:val="nil"/>
              <w:bottom w:val="nil"/>
              <w:right w:val="nil"/>
            </w:tcBorders>
            <w:shd w:val="clear" w:color="000000" w:fill="FFFFFF"/>
            <w:noWrap/>
            <w:vAlign w:val="bottom"/>
            <w:hideMark/>
          </w:tcPr>
          <w:p w14:paraId="5F89FAB4"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Commercial Other</w:t>
            </w:r>
          </w:p>
        </w:tc>
        <w:tc>
          <w:tcPr>
            <w:tcW w:w="1096" w:type="dxa"/>
            <w:tcBorders>
              <w:top w:val="nil"/>
              <w:left w:val="nil"/>
              <w:bottom w:val="nil"/>
              <w:right w:val="nil"/>
            </w:tcBorders>
            <w:shd w:val="clear" w:color="000000" w:fill="FFFFFF"/>
            <w:noWrap/>
            <w:vAlign w:val="bottom"/>
            <w:hideMark/>
          </w:tcPr>
          <w:p w14:paraId="4B63A322"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475 </w:t>
            </w:r>
          </w:p>
        </w:tc>
        <w:tc>
          <w:tcPr>
            <w:tcW w:w="196" w:type="dxa"/>
            <w:tcBorders>
              <w:top w:val="nil"/>
              <w:left w:val="nil"/>
              <w:bottom w:val="nil"/>
              <w:right w:val="nil"/>
            </w:tcBorders>
            <w:shd w:val="clear" w:color="000000" w:fill="FFFFFF"/>
            <w:noWrap/>
            <w:vAlign w:val="bottom"/>
            <w:hideMark/>
          </w:tcPr>
          <w:p w14:paraId="48761DBA"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765F4242"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264 </w:t>
            </w:r>
          </w:p>
        </w:tc>
        <w:tc>
          <w:tcPr>
            <w:tcW w:w="116" w:type="dxa"/>
            <w:tcBorders>
              <w:top w:val="nil"/>
              <w:left w:val="nil"/>
              <w:bottom w:val="nil"/>
              <w:right w:val="nil"/>
            </w:tcBorders>
            <w:shd w:val="clear" w:color="000000" w:fill="FFFFFF"/>
            <w:noWrap/>
            <w:vAlign w:val="bottom"/>
            <w:hideMark/>
          </w:tcPr>
          <w:p w14:paraId="3F7DC813"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nil"/>
              <w:right w:val="nil"/>
            </w:tcBorders>
            <w:shd w:val="clear" w:color="000000" w:fill="FFFFFF"/>
            <w:noWrap/>
            <w:vAlign w:val="bottom"/>
            <w:hideMark/>
          </w:tcPr>
          <w:p w14:paraId="57716288"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1,165 </w:t>
            </w:r>
          </w:p>
        </w:tc>
        <w:tc>
          <w:tcPr>
            <w:tcW w:w="196" w:type="dxa"/>
            <w:tcBorders>
              <w:top w:val="nil"/>
              <w:left w:val="nil"/>
              <w:bottom w:val="nil"/>
              <w:right w:val="nil"/>
            </w:tcBorders>
            <w:shd w:val="clear" w:color="000000" w:fill="FFFFFF"/>
            <w:noWrap/>
            <w:vAlign w:val="bottom"/>
            <w:hideMark/>
          </w:tcPr>
          <w:p w14:paraId="33DDEF3F"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nil"/>
              <w:right w:val="nil"/>
            </w:tcBorders>
            <w:shd w:val="clear" w:color="000000" w:fill="FFFFFF"/>
            <w:noWrap/>
            <w:vAlign w:val="bottom"/>
            <w:hideMark/>
          </w:tcPr>
          <w:p w14:paraId="643016A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585 </w:t>
            </w:r>
          </w:p>
        </w:tc>
      </w:tr>
      <w:tr w:rsidR="00A32E9B" w:rsidRPr="00F01024" w14:paraId="582C72A0" w14:textId="77777777" w:rsidTr="0065680A">
        <w:trPr>
          <w:trHeight w:val="285"/>
        </w:trPr>
        <w:tc>
          <w:tcPr>
            <w:tcW w:w="3096" w:type="dxa"/>
            <w:tcBorders>
              <w:top w:val="nil"/>
              <w:left w:val="nil"/>
              <w:bottom w:val="single" w:sz="4" w:space="0" w:color="auto"/>
              <w:right w:val="nil"/>
            </w:tcBorders>
            <w:shd w:val="clear" w:color="000000" w:fill="FFFFFF"/>
            <w:noWrap/>
            <w:vAlign w:val="bottom"/>
            <w:hideMark/>
          </w:tcPr>
          <w:p w14:paraId="57795430"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Corporate and Other</w:t>
            </w:r>
          </w:p>
        </w:tc>
        <w:tc>
          <w:tcPr>
            <w:tcW w:w="1096" w:type="dxa"/>
            <w:tcBorders>
              <w:top w:val="nil"/>
              <w:left w:val="nil"/>
              <w:bottom w:val="single" w:sz="4" w:space="0" w:color="auto"/>
              <w:right w:val="nil"/>
            </w:tcBorders>
            <w:shd w:val="clear" w:color="000000" w:fill="FFFFFF"/>
            <w:noWrap/>
            <w:vAlign w:val="bottom"/>
            <w:hideMark/>
          </w:tcPr>
          <w:p w14:paraId="649FAD2C"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(148)</w:t>
            </w:r>
          </w:p>
        </w:tc>
        <w:tc>
          <w:tcPr>
            <w:tcW w:w="196" w:type="dxa"/>
            <w:tcBorders>
              <w:top w:val="nil"/>
              <w:left w:val="nil"/>
              <w:bottom w:val="nil"/>
              <w:right w:val="nil"/>
            </w:tcBorders>
            <w:shd w:val="clear" w:color="000000" w:fill="FFFFFF"/>
            <w:noWrap/>
            <w:vAlign w:val="bottom"/>
            <w:hideMark/>
          </w:tcPr>
          <w:p w14:paraId="5CC354DD"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4C9B80F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1,601 </w:t>
            </w:r>
          </w:p>
        </w:tc>
        <w:tc>
          <w:tcPr>
            <w:tcW w:w="116" w:type="dxa"/>
            <w:tcBorders>
              <w:top w:val="nil"/>
              <w:left w:val="nil"/>
              <w:bottom w:val="nil"/>
              <w:right w:val="nil"/>
            </w:tcBorders>
            <w:shd w:val="clear" w:color="000000" w:fill="FFFFFF"/>
            <w:noWrap/>
            <w:vAlign w:val="bottom"/>
            <w:hideMark/>
          </w:tcPr>
          <w:p w14:paraId="04B080E5"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single" w:sz="4" w:space="0" w:color="auto"/>
              <w:right w:val="nil"/>
            </w:tcBorders>
            <w:shd w:val="clear" w:color="000000" w:fill="FFFFFF"/>
            <w:noWrap/>
            <w:vAlign w:val="bottom"/>
            <w:hideMark/>
          </w:tcPr>
          <w:p w14:paraId="024D84E5"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(369)</w:t>
            </w:r>
          </w:p>
        </w:tc>
        <w:tc>
          <w:tcPr>
            <w:tcW w:w="196" w:type="dxa"/>
            <w:tcBorders>
              <w:top w:val="nil"/>
              <w:left w:val="nil"/>
              <w:bottom w:val="nil"/>
              <w:right w:val="nil"/>
            </w:tcBorders>
            <w:shd w:val="clear" w:color="000000" w:fill="FFFFFF"/>
            <w:noWrap/>
            <w:vAlign w:val="bottom"/>
            <w:hideMark/>
          </w:tcPr>
          <w:p w14:paraId="72F00567"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000000" w:fill="FFFFFF"/>
            <w:noWrap/>
            <w:vAlign w:val="bottom"/>
            <w:hideMark/>
          </w:tcPr>
          <w:p w14:paraId="7D0C33CE"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(317)</w:t>
            </w:r>
          </w:p>
        </w:tc>
      </w:tr>
      <w:tr w:rsidR="00A32E9B" w:rsidRPr="00F01024" w14:paraId="5CEB2D39" w14:textId="77777777" w:rsidTr="0065680A">
        <w:trPr>
          <w:trHeight w:val="300"/>
        </w:trPr>
        <w:tc>
          <w:tcPr>
            <w:tcW w:w="3096" w:type="dxa"/>
            <w:tcBorders>
              <w:top w:val="nil"/>
              <w:left w:val="nil"/>
              <w:bottom w:val="nil"/>
              <w:right w:val="nil"/>
            </w:tcBorders>
            <w:shd w:val="clear" w:color="000000" w:fill="FFFFFF"/>
            <w:noWrap/>
            <w:vAlign w:val="bottom"/>
            <w:hideMark/>
          </w:tcPr>
          <w:p w14:paraId="3C3649A7"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Total gross margin</w:t>
            </w:r>
          </w:p>
        </w:tc>
        <w:tc>
          <w:tcPr>
            <w:tcW w:w="1096" w:type="dxa"/>
            <w:tcBorders>
              <w:top w:val="nil"/>
              <w:left w:val="nil"/>
              <w:bottom w:val="single" w:sz="8" w:space="0" w:color="auto"/>
              <w:right w:val="nil"/>
            </w:tcBorders>
            <w:shd w:val="clear" w:color="000000" w:fill="FFFFFF"/>
            <w:noWrap/>
            <w:vAlign w:val="bottom"/>
            <w:hideMark/>
          </w:tcPr>
          <w:p w14:paraId="09B46A3B"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14,462 </w:t>
            </w:r>
          </w:p>
        </w:tc>
        <w:tc>
          <w:tcPr>
            <w:tcW w:w="196" w:type="dxa"/>
            <w:tcBorders>
              <w:top w:val="nil"/>
              <w:left w:val="nil"/>
              <w:bottom w:val="nil"/>
              <w:right w:val="nil"/>
            </w:tcBorders>
            <w:shd w:val="clear" w:color="000000" w:fill="FFFFFF"/>
            <w:noWrap/>
            <w:vAlign w:val="bottom"/>
            <w:hideMark/>
          </w:tcPr>
          <w:p w14:paraId="695C15C0"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0CBB490F"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$15,702 </w:t>
            </w:r>
          </w:p>
        </w:tc>
        <w:tc>
          <w:tcPr>
            <w:tcW w:w="116" w:type="dxa"/>
            <w:tcBorders>
              <w:top w:val="nil"/>
              <w:left w:val="nil"/>
              <w:bottom w:val="nil"/>
              <w:right w:val="nil"/>
            </w:tcBorders>
            <w:shd w:val="clear" w:color="000000" w:fill="FFFFFF"/>
            <w:noWrap/>
            <w:vAlign w:val="bottom"/>
            <w:hideMark/>
          </w:tcPr>
          <w:p w14:paraId="07EE83EB" w14:textId="77777777" w:rsidR="00A32E9B" w:rsidRPr="00F01024" w:rsidRDefault="00A32E9B" w:rsidP="001F78EF">
            <w:pPr>
              <w:spacing w:after="0" w:line="240" w:lineRule="auto"/>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w:t>
            </w:r>
          </w:p>
        </w:tc>
        <w:tc>
          <w:tcPr>
            <w:tcW w:w="1096" w:type="dxa"/>
            <w:tcBorders>
              <w:top w:val="nil"/>
              <w:left w:val="nil"/>
              <w:bottom w:val="single" w:sz="8" w:space="0" w:color="auto"/>
              <w:right w:val="nil"/>
            </w:tcBorders>
            <w:shd w:val="clear" w:color="000000" w:fill="FFFFFF"/>
            <w:noWrap/>
            <w:vAlign w:val="bottom"/>
            <w:hideMark/>
          </w:tcPr>
          <w:p w14:paraId="64477C13" w14:textId="77777777" w:rsidR="00A32E9B" w:rsidRPr="00F01024" w:rsidRDefault="00A32E9B" w:rsidP="001F78EF">
            <w:pPr>
              <w:spacing w:after="0" w:line="240" w:lineRule="auto"/>
              <w:jc w:val="right"/>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xml:space="preserve"> $   44,112 </w:t>
            </w:r>
          </w:p>
        </w:tc>
        <w:tc>
          <w:tcPr>
            <w:tcW w:w="196" w:type="dxa"/>
            <w:tcBorders>
              <w:top w:val="nil"/>
              <w:left w:val="nil"/>
              <w:bottom w:val="nil"/>
              <w:right w:val="nil"/>
            </w:tcBorders>
            <w:shd w:val="clear" w:color="000000" w:fill="FFFFFF"/>
            <w:noWrap/>
            <w:vAlign w:val="bottom"/>
            <w:hideMark/>
          </w:tcPr>
          <w:p w14:paraId="256FDD77" w14:textId="77777777" w:rsidR="00A32E9B" w:rsidRPr="00F01024" w:rsidRDefault="00A32E9B" w:rsidP="001F78EF">
            <w:pPr>
              <w:spacing w:after="0" w:line="240" w:lineRule="auto"/>
              <w:rPr>
                <w:rFonts w:ascii="Segoe UI" w:eastAsia="Times New Roman" w:hAnsi="Segoe UI" w:cs="Segoe UI"/>
                <w:b/>
                <w:bCs/>
                <w:color w:val="666666"/>
                <w:sz w:val="20"/>
                <w:szCs w:val="20"/>
              </w:rPr>
            </w:pPr>
            <w:r w:rsidRPr="00F01024">
              <w:rPr>
                <w:rFonts w:ascii="Segoe UI" w:eastAsia="Times New Roman" w:hAnsi="Segoe UI" w:cs="Segoe UI"/>
                <w:b/>
                <w:bCs/>
                <w:color w:val="666666"/>
                <w:sz w:val="20"/>
                <w:szCs w:val="20"/>
              </w:rPr>
              <w:t> </w:t>
            </w:r>
          </w:p>
        </w:tc>
        <w:tc>
          <w:tcPr>
            <w:tcW w:w="936" w:type="dxa"/>
            <w:tcBorders>
              <w:top w:val="nil"/>
              <w:left w:val="nil"/>
              <w:bottom w:val="single" w:sz="8" w:space="0" w:color="auto"/>
              <w:right w:val="nil"/>
            </w:tcBorders>
            <w:shd w:val="clear" w:color="000000" w:fill="FFFFFF"/>
            <w:noWrap/>
            <w:vAlign w:val="bottom"/>
            <w:hideMark/>
          </w:tcPr>
          <w:p w14:paraId="4F8FDBAC" w14:textId="77777777" w:rsidR="00A32E9B" w:rsidRPr="00F01024" w:rsidRDefault="00A32E9B" w:rsidP="001F78EF">
            <w:pPr>
              <w:spacing w:after="0" w:line="240" w:lineRule="auto"/>
              <w:jc w:val="right"/>
              <w:rPr>
                <w:rFonts w:ascii="Segoe UI" w:eastAsia="Times New Roman" w:hAnsi="Segoe UI" w:cs="Segoe UI"/>
                <w:color w:val="666666"/>
                <w:sz w:val="20"/>
                <w:szCs w:val="20"/>
              </w:rPr>
            </w:pPr>
            <w:r w:rsidRPr="00F01024">
              <w:rPr>
                <w:rFonts w:ascii="Segoe UI" w:eastAsia="Times New Roman" w:hAnsi="Segoe UI" w:cs="Segoe UI"/>
                <w:color w:val="666666"/>
                <w:sz w:val="20"/>
                <w:szCs w:val="20"/>
              </w:rPr>
              <w:t xml:space="preserve"> $43,306 </w:t>
            </w:r>
          </w:p>
        </w:tc>
      </w:tr>
    </w:tbl>
    <w:p w14:paraId="5C880533" w14:textId="77777777" w:rsidR="00A32E9B" w:rsidRPr="008C011F" w:rsidRDefault="00A32E9B" w:rsidP="008C011F">
      <w:pPr>
        <w:spacing w:line="280" w:lineRule="exact"/>
        <w:rPr>
          <w:rFonts w:ascii="Segoe UI" w:hAnsi="Segoe UI" w:cs="Segoe UI"/>
          <w:sz w:val="20"/>
          <w:szCs w:val="20"/>
        </w:rPr>
      </w:pPr>
    </w:p>
    <w:sectPr w:rsidR="00A32E9B" w:rsidRPr="008C011F" w:rsidSect="004823D3">
      <w:pgSz w:w="12240" w:h="15840" w:code="1"/>
      <w:pgMar w:top="245"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7D8C2" w14:textId="77777777" w:rsidR="00DC12D8" w:rsidRDefault="00DC12D8" w:rsidP="007D77C0">
      <w:pPr>
        <w:spacing w:after="0" w:line="240" w:lineRule="auto"/>
      </w:pPr>
      <w:r>
        <w:separator/>
      </w:r>
    </w:p>
  </w:endnote>
  <w:endnote w:type="continuationSeparator" w:id="0">
    <w:p w14:paraId="26B5BC1C" w14:textId="77777777" w:rsidR="00DC12D8" w:rsidRDefault="00DC12D8" w:rsidP="007D77C0">
      <w:pPr>
        <w:spacing w:after="0" w:line="240" w:lineRule="auto"/>
      </w:pPr>
      <w:r>
        <w:continuationSeparator/>
      </w:r>
    </w:p>
  </w:endnote>
  <w:endnote w:type="continuationNotice" w:id="1">
    <w:p w14:paraId="4B3E6B60" w14:textId="77777777" w:rsidR="00DC12D8" w:rsidRDefault="00DC1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C4AC" w14:textId="77777777" w:rsidR="00DC12D8" w:rsidRDefault="00DC12D8" w:rsidP="007D77C0">
      <w:pPr>
        <w:spacing w:after="0" w:line="240" w:lineRule="auto"/>
      </w:pPr>
      <w:r>
        <w:separator/>
      </w:r>
    </w:p>
  </w:footnote>
  <w:footnote w:type="continuationSeparator" w:id="0">
    <w:p w14:paraId="5E90EDB6" w14:textId="77777777" w:rsidR="00DC12D8" w:rsidRDefault="00DC12D8" w:rsidP="007D77C0">
      <w:pPr>
        <w:spacing w:after="0" w:line="240" w:lineRule="auto"/>
      </w:pPr>
      <w:r>
        <w:continuationSeparator/>
      </w:r>
    </w:p>
  </w:footnote>
  <w:footnote w:type="continuationNotice" w:id="1">
    <w:p w14:paraId="0240FCBA" w14:textId="77777777" w:rsidR="00DC12D8" w:rsidRDefault="00DC12D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73BD"/>
    <w:multiLevelType w:val="hybridMultilevel"/>
    <w:tmpl w:val="D91C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B7"/>
    <w:rsid w:val="00001DC2"/>
    <w:rsid w:val="00003A63"/>
    <w:rsid w:val="00014359"/>
    <w:rsid w:val="00016B60"/>
    <w:rsid w:val="0001719E"/>
    <w:rsid w:val="00037303"/>
    <w:rsid w:val="00040E87"/>
    <w:rsid w:val="000454E1"/>
    <w:rsid w:val="0005215D"/>
    <w:rsid w:val="00057C3B"/>
    <w:rsid w:val="000679FF"/>
    <w:rsid w:val="00070E26"/>
    <w:rsid w:val="00072A49"/>
    <w:rsid w:val="00074C2F"/>
    <w:rsid w:val="00076CE0"/>
    <w:rsid w:val="00077C6C"/>
    <w:rsid w:val="00086093"/>
    <w:rsid w:val="000A10A4"/>
    <w:rsid w:val="000A51BC"/>
    <w:rsid w:val="000A6A38"/>
    <w:rsid w:val="000A6AEE"/>
    <w:rsid w:val="000B4D69"/>
    <w:rsid w:val="000C1881"/>
    <w:rsid w:val="000C55B6"/>
    <w:rsid w:val="000D4B0E"/>
    <w:rsid w:val="000F67B8"/>
    <w:rsid w:val="00102C9C"/>
    <w:rsid w:val="0010716C"/>
    <w:rsid w:val="001119DC"/>
    <w:rsid w:val="00111A87"/>
    <w:rsid w:val="00120DAB"/>
    <w:rsid w:val="00123413"/>
    <w:rsid w:val="00130F94"/>
    <w:rsid w:val="00132966"/>
    <w:rsid w:val="001348D7"/>
    <w:rsid w:val="00136EC4"/>
    <w:rsid w:val="00143C65"/>
    <w:rsid w:val="001528EE"/>
    <w:rsid w:val="00163E3F"/>
    <w:rsid w:val="00167F3D"/>
    <w:rsid w:val="0017150F"/>
    <w:rsid w:val="00183FF5"/>
    <w:rsid w:val="00190CBB"/>
    <w:rsid w:val="00193730"/>
    <w:rsid w:val="001A44B7"/>
    <w:rsid w:val="001C4FE2"/>
    <w:rsid w:val="001D2807"/>
    <w:rsid w:val="001D7240"/>
    <w:rsid w:val="001E1F01"/>
    <w:rsid w:val="001F1225"/>
    <w:rsid w:val="001F4F2C"/>
    <w:rsid w:val="001F62C7"/>
    <w:rsid w:val="00202C72"/>
    <w:rsid w:val="00211318"/>
    <w:rsid w:val="00211A45"/>
    <w:rsid w:val="00221C10"/>
    <w:rsid w:val="00237776"/>
    <w:rsid w:val="00240527"/>
    <w:rsid w:val="002406C8"/>
    <w:rsid w:val="00245A26"/>
    <w:rsid w:val="00246138"/>
    <w:rsid w:val="00256982"/>
    <w:rsid w:val="00256E04"/>
    <w:rsid w:val="00261D2B"/>
    <w:rsid w:val="00263E49"/>
    <w:rsid w:val="0026535D"/>
    <w:rsid w:val="00277E93"/>
    <w:rsid w:val="00281386"/>
    <w:rsid w:val="00287F19"/>
    <w:rsid w:val="00293F7E"/>
    <w:rsid w:val="002A087A"/>
    <w:rsid w:val="002A177F"/>
    <w:rsid w:val="002A4181"/>
    <w:rsid w:val="002B267A"/>
    <w:rsid w:val="002B6AB3"/>
    <w:rsid w:val="002C0EAA"/>
    <w:rsid w:val="002C10E4"/>
    <w:rsid w:val="002D5792"/>
    <w:rsid w:val="002E1DC7"/>
    <w:rsid w:val="002E4531"/>
    <w:rsid w:val="002F21A3"/>
    <w:rsid w:val="002F2A02"/>
    <w:rsid w:val="00311523"/>
    <w:rsid w:val="00311EEA"/>
    <w:rsid w:val="00313AA1"/>
    <w:rsid w:val="00323D1A"/>
    <w:rsid w:val="0032604C"/>
    <w:rsid w:val="003272B1"/>
    <w:rsid w:val="00327742"/>
    <w:rsid w:val="0034678F"/>
    <w:rsid w:val="00347581"/>
    <w:rsid w:val="00355B8E"/>
    <w:rsid w:val="003572E7"/>
    <w:rsid w:val="0036725F"/>
    <w:rsid w:val="003709E3"/>
    <w:rsid w:val="00370E42"/>
    <w:rsid w:val="00370F68"/>
    <w:rsid w:val="00371B3A"/>
    <w:rsid w:val="003856B8"/>
    <w:rsid w:val="00390E0B"/>
    <w:rsid w:val="0039111F"/>
    <w:rsid w:val="003B6990"/>
    <w:rsid w:val="003C26CA"/>
    <w:rsid w:val="003E0170"/>
    <w:rsid w:val="003F0FF8"/>
    <w:rsid w:val="003F35B6"/>
    <w:rsid w:val="003F520B"/>
    <w:rsid w:val="00410A8A"/>
    <w:rsid w:val="00432A2F"/>
    <w:rsid w:val="00437919"/>
    <w:rsid w:val="00443512"/>
    <w:rsid w:val="004464A8"/>
    <w:rsid w:val="00454768"/>
    <w:rsid w:val="00455EF6"/>
    <w:rsid w:val="00472251"/>
    <w:rsid w:val="00473FB8"/>
    <w:rsid w:val="00475E76"/>
    <w:rsid w:val="00476EAF"/>
    <w:rsid w:val="00477731"/>
    <w:rsid w:val="004823D3"/>
    <w:rsid w:val="00485E26"/>
    <w:rsid w:val="004A215B"/>
    <w:rsid w:val="004A255F"/>
    <w:rsid w:val="004A2FA7"/>
    <w:rsid w:val="004B17FA"/>
    <w:rsid w:val="004C1BE2"/>
    <w:rsid w:val="004C44F2"/>
    <w:rsid w:val="004C553E"/>
    <w:rsid w:val="004C638F"/>
    <w:rsid w:val="004D5757"/>
    <w:rsid w:val="004E18E7"/>
    <w:rsid w:val="004F3992"/>
    <w:rsid w:val="004F426F"/>
    <w:rsid w:val="0050632B"/>
    <w:rsid w:val="0050764B"/>
    <w:rsid w:val="00515523"/>
    <w:rsid w:val="00517957"/>
    <w:rsid w:val="005241B7"/>
    <w:rsid w:val="0052719F"/>
    <w:rsid w:val="00530AC5"/>
    <w:rsid w:val="00541658"/>
    <w:rsid w:val="00542236"/>
    <w:rsid w:val="005436C7"/>
    <w:rsid w:val="00543D8F"/>
    <w:rsid w:val="00545222"/>
    <w:rsid w:val="00547043"/>
    <w:rsid w:val="005515BB"/>
    <w:rsid w:val="00555B45"/>
    <w:rsid w:val="00560CEF"/>
    <w:rsid w:val="00561724"/>
    <w:rsid w:val="00562BF8"/>
    <w:rsid w:val="005643A4"/>
    <w:rsid w:val="005658C2"/>
    <w:rsid w:val="00572BC6"/>
    <w:rsid w:val="0057559B"/>
    <w:rsid w:val="005771EF"/>
    <w:rsid w:val="0058222D"/>
    <w:rsid w:val="00597270"/>
    <w:rsid w:val="005A121C"/>
    <w:rsid w:val="005A465F"/>
    <w:rsid w:val="005B2DD6"/>
    <w:rsid w:val="005B5E50"/>
    <w:rsid w:val="005C08C2"/>
    <w:rsid w:val="005C5AD4"/>
    <w:rsid w:val="005C61D4"/>
    <w:rsid w:val="005C6392"/>
    <w:rsid w:val="005C7152"/>
    <w:rsid w:val="005D5B2D"/>
    <w:rsid w:val="005D7F36"/>
    <w:rsid w:val="005E0784"/>
    <w:rsid w:val="005E13E7"/>
    <w:rsid w:val="005E3AE3"/>
    <w:rsid w:val="005E54C6"/>
    <w:rsid w:val="005E693F"/>
    <w:rsid w:val="005E6CE8"/>
    <w:rsid w:val="005F01A9"/>
    <w:rsid w:val="005F24F2"/>
    <w:rsid w:val="005F3B66"/>
    <w:rsid w:val="005F3D11"/>
    <w:rsid w:val="005F4025"/>
    <w:rsid w:val="005F450F"/>
    <w:rsid w:val="005F544D"/>
    <w:rsid w:val="006017A3"/>
    <w:rsid w:val="00603012"/>
    <w:rsid w:val="006054CF"/>
    <w:rsid w:val="0061268E"/>
    <w:rsid w:val="006147D1"/>
    <w:rsid w:val="00617958"/>
    <w:rsid w:val="006201C7"/>
    <w:rsid w:val="006319DC"/>
    <w:rsid w:val="0065323B"/>
    <w:rsid w:val="0065680A"/>
    <w:rsid w:val="00656B82"/>
    <w:rsid w:val="006579DF"/>
    <w:rsid w:val="00666131"/>
    <w:rsid w:val="00666FC3"/>
    <w:rsid w:val="006764AE"/>
    <w:rsid w:val="00680875"/>
    <w:rsid w:val="00690442"/>
    <w:rsid w:val="006A1FEC"/>
    <w:rsid w:val="006A316B"/>
    <w:rsid w:val="006A4C75"/>
    <w:rsid w:val="006A7846"/>
    <w:rsid w:val="006B10C8"/>
    <w:rsid w:val="006C68D1"/>
    <w:rsid w:val="006D0A7B"/>
    <w:rsid w:val="006D66B4"/>
    <w:rsid w:val="006E0A9C"/>
    <w:rsid w:val="006F1BB7"/>
    <w:rsid w:val="00700044"/>
    <w:rsid w:val="00700ED3"/>
    <w:rsid w:val="007032E6"/>
    <w:rsid w:val="007142A0"/>
    <w:rsid w:val="00715818"/>
    <w:rsid w:val="007371A5"/>
    <w:rsid w:val="00741FA4"/>
    <w:rsid w:val="007420D3"/>
    <w:rsid w:val="007453DB"/>
    <w:rsid w:val="007469B6"/>
    <w:rsid w:val="00756AA6"/>
    <w:rsid w:val="00756E54"/>
    <w:rsid w:val="00764F5E"/>
    <w:rsid w:val="00767404"/>
    <w:rsid w:val="00773B60"/>
    <w:rsid w:val="00781C36"/>
    <w:rsid w:val="00783C1A"/>
    <w:rsid w:val="00793476"/>
    <w:rsid w:val="00796182"/>
    <w:rsid w:val="007A046D"/>
    <w:rsid w:val="007C5304"/>
    <w:rsid w:val="007C705A"/>
    <w:rsid w:val="007D09C0"/>
    <w:rsid w:val="007D0FD5"/>
    <w:rsid w:val="007D2DB4"/>
    <w:rsid w:val="007D3227"/>
    <w:rsid w:val="007D4E25"/>
    <w:rsid w:val="007D4EAA"/>
    <w:rsid w:val="007D637F"/>
    <w:rsid w:val="007D77C0"/>
    <w:rsid w:val="007E4811"/>
    <w:rsid w:val="007F3916"/>
    <w:rsid w:val="0080577C"/>
    <w:rsid w:val="00812D78"/>
    <w:rsid w:val="0081521F"/>
    <w:rsid w:val="00815C21"/>
    <w:rsid w:val="00816258"/>
    <w:rsid w:val="008242AB"/>
    <w:rsid w:val="00830527"/>
    <w:rsid w:val="008345FA"/>
    <w:rsid w:val="00837EDA"/>
    <w:rsid w:val="00853F00"/>
    <w:rsid w:val="0085587C"/>
    <w:rsid w:val="00860680"/>
    <w:rsid w:val="00862D52"/>
    <w:rsid w:val="008630F6"/>
    <w:rsid w:val="00863107"/>
    <w:rsid w:val="00863BF9"/>
    <w:rsid w:val="00877A00"/>
    <w:rsid w:val="0088325E"/>
    <w:rsid w:val="00885DAC"/>
    <w:rsid w:val="00895F26"/>
    <w:rsid w:val="008960F9"/>
    <w:rsid w:val="008A3765"/>
    <w:rsid w:val="008A4848"/>
    <w:rsid w:val="008A7FD7"/>
    <w:rsid w:val="008B5772"/>
    <w:rsid w:val="008C011F"/>
    <w:rsid w:val="008C0446"/>
    <w:rsid w:val="008C6FEB"/>
    <w:rsid w:val="008D4964"/>
    <w:rsid w:val="008D6434"/>
    <w:rsid w:val="008E35B7"/>
    <w:rsid w:val="008E4A1E"/>
    <w:rsid w:val="008E583F"/>
    <w:rsid w:val="008E5F28"/>
    <w:rsid w:val="008F7B1A"/>
    <w:rsid w:val="00904E87"/>
    <w:rsid w:val="00906E50"/>
    <w:rsid w:val="00911829"/>
    <w:rsid w:val="00921FB6"/>
    <w:rsid w:val="00932899"/>
    <w:rsid w:val="0094029E"/>
    <w:rsid w:val="0094112B"/>
    <w:rsid w:val="00941917"/>
    <w:rsid w:val="00943AC6"/>
    <w:rsid w:val="00945B57"/>
    <w:rsid w:val="00945F59"/>
    <w:rsid w:val="00946183"/>
    <w:rsid w:val="0095150B"/>
    <w:rsid w:val="00953F52"/>
    <w:rsid w:val="00953F71"/>
    <w:rsid w:val="0096258B"/>
    <w:rsid w:val="00964FC5"/>
    <w:rsid w:val="0096501D"/>
    <w:rsid w:val="00971DCB"/>
    <w:rsid w:val="00983CBE"/>
    <w:rsid w:val="009843EC"/>
    <w:rsid w:val="00987896"/>
    <w:rsid w:val="00992517"/>
    <w:rsid w:val="009947AC"/>
    <w:rsid w:val="009954CE"/>
    <w:rsid w:val="00997489"/>
    <w:rsid w:val="009A0BF2"/>
    <w:rsid w:val="009B086D"/>
    <w:rsid w:val="009C4E50"/>
    <w:rsid w:val="009C504A"/>
    <w:rsid w:val="009E26E8"/>
    <w:rsid w:val="009F06AE"/>
    <w:rsid w:val="009F2C99"/>
    <w:rsid w:val="009F79DE"/>
    <w:rsid w:val="00A14AFA"/>
    <w:rsid w:val="00A16EB0"/>
    <w:rsid w:val="00A25771"/>
    <w:rsid w:val="00A32E9B"/>
    <w:rsid w:val="00A34010"/>
    <w:rsid w:val="00A35BF1"/>
    <w:rsid w:val="00A44DA9"/>
    <w:rsid w:val="00A46567"/>
    <w:rsid w:val="00A511A3"/>
    <w:rsid w:val="00A55440"/>
    <w:rsid w:val="00A5608D"/>
    <w:rsid w:val="00A60425"/>
    <w:rsid w:val="00A609D9"/>
    <w:rsid w:val="00A634DC"/>
    <w:rsid w:val="00A70A0D"/>
    <w:rsid w:val="00A71F0B"/>
    <w:rsid w:val="00A85FC4"/>
    <w:rsid w:val="00AA56B0"/>
    <w:rsid w:val="00AA70F1"/>
    <w:rsid w:val="00AB06BB"/>
    <w:rsid w:val="00AB3571"/>
    <w:rsid w:val="00AC011A"/>
    <w:rsid w:val="00AC63C1"/>
    <w:rsid w:val="00AD1F09"/>
    <w:rsid w:val="00AD49C5"/>
    <w:rsid w:val="00AD4B2C"/>
    <w:rsid w:val="00AE1673"/>
    <w:rsid w:val="00AE20E1"/>
    <w:rsid w:val="00AE5744"/>
    <w:rsid w:val="00AF1B7E"/>
    <w:rsid w:val="00AF5C4A"/>
    <w:rsid w:val="00B06738"/>
    <w:rsid w:val="00B07909"/>
    <w:rsid w:val="00B11B5D"/>
    <w:rsid w:val="00B13586"/>
    <w:rsid w:val="00B2771F"/>
    <w:rsid w:val="00B33178"/>
    <w:rsid w:val="00B35E24"/>
    <w:rsid w:val="00B35EA8"/>
    <w:rsid w:val="00B41818"/>
    <w:rsid w:val="00B41E8F"/>
    <w:rsid w:val="00B44064"/>
    <w:rsid w:val="00B44528"/>
    <w:rsid w:val="00B47BCF"/>
    <w:rsid w:val="00B50B03"/>
    <w:rsid w:val="00B5515B"/>
    <w:rsid w:val="00B65758"/>
    <w:rsid w:val="00B71C2B"/>
    <w:rsid w:val="00B7741A"/>
    <w:rsid w:val="00B83B00"/>
    <w:rsid w:val="00B84544"/>
    <w:rsid w:val="00B86365"/>
    <w:rsid w:val="00BA1513"/>
    <w:rsid w:val="00BA1B05"/>
    <w:rsid w:val="00BA3529"/>
    <w:rsid w:val="00BB10FA"/>
    <w:rsid w:val="00BB5A6C"/>
    <w:rsid w:val="00BC0D97"/>
    <w:rsid w:val="00BC5C0E"/>
    <w:rsid w:val="00BD521A"/>
    <w:rsid w:val="00BF7F27"/>
    <w:rsid w:val="00C00364"/>
    <w:rsid w:val="00C03385"/>
    <w:rsid w:val="00C050B3"/>
    <w:rsid w:val="00C06519"/>
    <w:rsid w:val="00C13841"/>
    <w:rsid w:val="00C15D3A"/>
    <w:rsid w:val="00C15EF6"/>
    <w:rsid w:val="00C30DA8"/>
    <w:rsid w:val="00C32ECC"/>
    <w:rsid w:val="00C35E23"/>
    <w:rsid w:val="00C43D49"/>
    <w:rsid w:val="00C44F1D"/>
    <w:rsid w:val="00C55025"/>
    <w:rsid w:val="00C60C0D"/>
    <w:rsid w:val="00C72F99"/>
    <w:rsid w:val="00C730A7"/>
    <w:rsid w:val="00C75F23"/>
    <w:rsid w:val="00C76AB1"/>
    <w:rsid w:val="00C90491"/>
    <w:rsid w:val="00CA4787"/>
    <w:rsid w:val="00CA482E"/>
    <w:rsid w:val="00CB3C92"/>
    <w:rsid w:val="00CB5B88"/>
    <w:rsid w:val="00CB7C7D"/>
    <w:rsid w:val="00CC0168"/>
    <w:rsid w:val="00CC55D8"/>
    <w:rsid w:val="00CD1BBE"/>
    <w:rsid w:val="00CD42FE"/>
    <w:rsid w:val="00CE6100"/>
    <w:rsid w:val="00CF2CEE"/>
    <w:rsid w:val="00CF3F9C"/>
    <w:rsid w:val="00CF49EB"/>
    <w:rsid w:val="00D00AF4"/>
    <w:rsid w:val="00D115B7"/>
    <w:rsid w:val="00D160D8"/>
    <w:rsid w:val="00D212A1"/>
    <w:rsid w:val="00D22131"/>
    <w:rsid w:val="00D46028"/>
    <w:rsid w:val="00D50D75"/>
    <w:rsid w:val="00D5324C"/>
    <w:rsid w:val="00D53B73"/>
    <w:rsid w:val="00D54081"/>
    <w:rsid w:val="00D56F8D"/>
    <w:rsid w:val="00D67647"/>
    <w:rsid w:val="00D82126"/>
    <w:rsid w:val="00D860EB"/>
    <w:rsid w:val="00D90816"/>
    <w:rsid w:val="00D91269"/>
    <w:rsid w:val="00D94CB2"/>
    <w:rsid w:val="00DA1F95"/>
    <w:rsid w:val="00DB173D"/>
    <w:rsid w:val="00DB1A57"/>
    <w:rsid w:val="00DC12D8"/>
    <w:rsid w:val="00DC24A2"/>
    <w:rsid w:val="00DD1FEE"/>
    <w:rsid w:val="00DD23D2"/>
    <w:rsid w:val="00DD4EBB"/>
    <w:rsid w:val="00DE48BB"/>
    <w:rsid w:val="00E0693D"/>
    <w:rsid w:val="00E0697C"/>
    <w:rsid w:val="00E159BE"/>
    <w:rsid w:val="00E17180"/>
    <w:rsid w:val="00E2119D"/>
    <w:rsid w:val="00E41CB2"/>
    <w:rsid w:val="00E4301A"/>
    <w:rsid w:val="00E541C4"/>
    <w:rsid w:val="00E62AA0"/>
    <w:rsid w:val="00E7249E"/>
    <w:rsid w:val="00E81789"/>
    <w:rsid w:val="00E96B86"/>
    <w:rsid w:val="00EA3AB5"/>
    <w:rsid w:val="00EA509B"/>
    <w:rsid w:val="00EA6C8B"/>
    <w:rsid w:val="00EB195F"/>
    <w:rsid w:val="00EB1ACD"/>
    <w:rsid w:val="00EB2A39"/>
    <w:rsid w:val="00EB75C9"/>
    <w:rsid w:val="00EC3539"/>
    <w:rsid w:val="00ED519A"/>
    <w:rsid w:val="00ED7A27"/>
    <w:rsid w:val="00EE0010"/>
    <w:rsid w:val="00EE52B8"/>
    <w:rsid w:val="00EE69FA"/>
    <w:rsid w:val="00EF0219"/>
    <w:rsid w:val="00EF248B"/>
    <w:rsid w:val="00EF7F5B"/>
    <w:rsid w:val="00F002E1"/>
    <w:rsid w:val="00F0041F"/>
    <w:rsid w:val="00F07BDE"/>
    <w:rsid w:val="00F1063C"/>
    <w:rsid w:val="00F12BDC"/>
    <w:rsid w:val="00F12DCC"/>
    <w:rsid w:val="00F21251"/>
    <w:rsid w:val="00F317EA"/>
    <w:rsid w:val="00F4450C"/>
    <w:rsid w:val="00F57571"/>
    <w:rsid w:val="00F65BE7"/>
    <w:rsid w:val="00F71CA5"/>
    <w:rsid w:val="00F761B4"/>
    <w:rsid w:val="00F82972"/>
    <w:rsid w:val="00FA23EB"/>
    <w:rsid w:val="00FA5191"/>
    <w:rsid w:val="00FB43F0"/>
    <w:rsid w:val="00FB6090"/>
    <w:rsid w:val="00FB7561"/>
    <w:rsid w:val="00FC2702"/>
    <w:rsid w:val="00FD0A3F"/>
    <w:rsid w:val="00FD4EBB"/>
    <w:rsid w:val="00FD52B9"/>
    <w:rsid w:val="00FD7470"/>
    <w:rsid w:val="00FF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2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link w:val="NormalWebChar"/>
    <w:uiPriority w:val="99"/>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3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4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983CB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A509B"/>
    <w:rPr>
      <w:sz w:val="16"/>
      <w:szCs w:val="16"/>
    </w:rPr>
  </w:style>
  <w:style w:type="paragraph" w:styleId="CommentText">
    <w:name w:val="annotation text"/>
    <w:basedOn w:val="Normal"/>
    <w:link w:val="CommentTextChar"/>
    <w:uiPriority w:val="99"/>
    <w:semiHidden/>
    <w:unhideWhenUsed/>
    <w:rsid w:val="00EA509B"/>
    <w:pPr>
      <w:spacing w:line="240" w:lineRule="auto"/>
    </w:pPr>
    <w:rPr>
      <w:sz w:val="20"/>
      <w:szCs w:val="20"/>
    </w:rPr>
  </w:style>
  <w:style w:type="character" w:customStyle="1" w:styleId="CommentTextChar">
    <w:name w:val="Comment Text Char"/>
    <w:basedOn w:val="DefaultParagraphFont"/>
    <w:link w:val="CommentText"/>
    <w:uiPriority w:val="99"/>
    <w:semiHidden/>
    <w:rsid w:val="00EA509B"/>
    <w:rPr>
      <w:sz w:val="20"/>
      <w:szCs w:val="20"/>
    </w:rPr>
  </w:style>
  <w:style w:type="paragraph" w:styleId="CommentSubject">
    <w:name w:val="annotation subject"/>
    <w:basedOn w:val="CommentText"/>
    <w:next w:val="CommentText"/>
    <w:link w:val="CommentSubjectChar"/>
    <w:uiPriority w:val="99"/>
    <w:semiHidden/>
    <w:unhideWhenUsed/>
    <w:rsid w:val="00EA509B"/>
    <w:rPr>
      <w:b/>
      <w:bCs/>
    </w:rPr>
  </w:style>
  <w:style w:type="character" w:customStyle="1" w:styleId="CommentSubjectChar">
    <w:name w:val="Comment Subject Char"/>
    <w:basedOn w:val="CommentTextChar"/>
    <w:link w:val="CommentSubject"/>
    <w:uiPriority w:val="99"/>
    <w:semiHidden/>
    <w:rsid w:val="00EA509B"/>
    <w:rPr>
      <w:b/>
      <w:bCs/>
      <w:sz w:val="20"/>
      <w:szCs w:val="20"/>
    </w:rPr>
  </w:style>
  <w:style w:type="paragraph" w:styleId="Revision">
    <w:name w:val="Revision"/>
    <w:hidden/>
    <w:uiPriority w:val="99"/>
    <w:semiHidden/>
    <w:rsid w:val="000F6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63">
      <w:bodyDiv w:val="1"/>
      <w:marLeft w:val="0"/>
      <w:marRight w:val="0"/>
      <w:marTop w:val="0"/>
      <w:marBottom w:val="0"/>
      <w:divBdr>
        <w:top w:val="none" w:sz="0" w:space="0" w:color="auto"/>
        <w:left w:val="none" w:sz="0" w:space="0" w:color="auto"/>
        <w:bottom w:val="none" w:sz="0" w:space="0" w:color="auto"/>
        <w:right w:val="none" w:sz="0" w:space="0" w:color="auto"/>
      </w:divBdr>
    </w:div>
    <w:div w:id="20667543">
      <w:bodyDiv w:val="1"/>
      <w:marLeft w:val="0"/>
      <w:marRight w:val="0"/>
      <w:marTop w:val="0"/>
      <w:marBottom w:val="0"/>
      <w:divBdr>
        <w:top w:val="none" w:sz="0" w:space="0" w:color="auto"/>
        <w:left w:val="none" w:sz="0" w:space="0" w:color="auto"/>
        <w:bottom w:val="none" w:sz="0" w:space="0" w:color="auto"/>
        <w:right w:val="none" w:sz="0" w:space="0" w:color="auto"/>
      </w:divBdr>
    </w:div>
    <w:div w:id="58292577">
      <w:bodyDiv w:val="1"/>
      <w:marLeft w:val="0"/>
      <w:marRight w:val="0"/>
      <w:marTop w:val="0"/>
      <w:marBottom w:val="0"/>
      <w:divBdr>
        <w:top w:val="none" w:sz="0" w:space="0" w:color="auto"/>
        <w:left w:val="none" w:sz="0" w:space="0" w:color="auto"/>
        <w:bottom w:val="none" w:sz="0" w:space="0" w:color="auto"/>
        <w:right w:val="none" w:sz="0" w:space="0" w:color="auto"/>
      </w:divBdr>
    </w:div>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54685607">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06644714">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246156881">
      <w:bodyDiv w:val="1"/>
      <w:marLeft w:val="0"/>
      <w:marRight w:val="0"/>
      <w:marTop w:val="0"/>
      <w:marBottom w:val="0"/>
      <w:divBdr>
        <w:top w:val="none" w:sz="0" w:space="0" w:color="auto"/>
        <w:left w:val="none" w:sz="0" w:space="0" w:color="auto"/>
        <w:bottom w:val="none" w:sz="0" w:space="0" w:color="auto"/>
        <w:right w:val="none" w:sz="0" w:space="0" w:color="auto"/>
      </w:divBdr>
    </w:div>
    <w:div w:id="252321991">
      <w:bodyDiv w:val="1"/>
      <w:marLeft w:val="0"/>
      <w:marRight w:val="0"/>
      <w:marTop w:val="0"/>
      <w:marBottom w:val="0"/>
      <w:divBdr>
        <w:top w:val="none" w:sz="0" w:space="0" w:color="auto"/>
        <w:left w:val="none" w:sz="0" w:space="0" w:color="auto"/>
        <w:bottom w:val="none" w:sz="0" w:space="0" w:color="auto"/>
        <w:right w:val="none" w:sz="0" w:space="0" w:color="auto"/>
      </w:divBdr>
    </w:div>
    <w:div w:id="253441192">
      <w:bodyDiv w:val="1"/>
      <w:marLeft w:val="0"/>
      <w:marRight w:val="0"/>
      <w:marTop w:val="0"/>
      <w:marBottom w:val="0"/>
      <w:divBdr>
        <w:top w:val="none" w:sz="0" w:space="0" w:color="auto"/>
        <w:left w:val="none" w:sz="0" w:space="0" w:color="auto"/>
        <w:bottom w:val="none" w:sz="0" w:space="0" w:color="auto"/>
        <w:right w:val="none" w:sz="0" w:space="0" w:color="auto"/>
      </w:divBdr>
    </w:div>
    <w:div w:id="260070466">
      <w:bodyDiv w:val="1"/>
      <w:marLeft w:val="0"/>
      <w:marRight w:val="0"/>
      <w:marTop w:val="0"/>
      <w:marBottom w:val="0"/>
      <w:divBdr>
        <w:top w:val="none" w:sz="0" w:space="0" w:color="auto"/>
        <w:left w:val="none" w:sz="0" w:space="0" w:color="auto"/>
        <w:bottom w:val="none" w:sz="0" w:space="0" w:color="auto"/>
        <w:right w:val="none" w:sz="0" w:space="0" w:color="auto"/>
      </w:divBdr>
    </w:div>
    <w:div w:id="303850702">
      <w:bodyDiv w:val="1"/>
      <w:marLeft w:val="0"/>
      <w:marRight w:val="0"/>
      <w:marTop w:val="0"/>
      <w:marBottom w:val="0"/>
      <w:divBdr>
        <w:top w:val="none" w:sz="0" w:space="0" w:color="auto"/>
        <w:left w:val="none" w:sz="0" w:space="0" w:color="auto"/>
        <w:bottom w:val="none" w:sz="0" w:space="0" w:color="auto"/>
        <w:right w:val="none" w:sz="0" w:space="0" w:color="auto"/>
      </w:divBdr>
    </w:div>
    <w:div w:id="382100881">
      <w:bodyDiv w:val="1"/>
      <w:marLeft w:val="0"/>
      <w:marRight w:val="0"/>
      <w:marTop w:val="0"/>
      <w:marBottom w:val="0"/>
      <w:divBdr>
        <w:top w:val="none" w:sz="0" w:space="0" w:color="auto"/>
        <w:left w:val="none" w:sz="0" w:space="0" w:color="auto"/>
        <w:bottom w:val="none" w:sz="0" w:space="0" w:color="auto"/>
        <w:right w:val="none" w:sz="0" w:space="0" w:color="auto"/>
      </w:divBdr>
    </w:div>
    <w:div w:id="387532204">
      <w:bodyDiv w:val="1"/>
      <w:marLeft w:val="0"/>
      <w:marRight w:val="0"/>
      <w:marTop w:val="0"/>
      <w:marBottom w:val="0"/>
      <w:divBdr>
        <w:top w:val="none" w:sz="0" w:space="0" w:color="auto"/>
        <w:left w:val="none" w:sz="0" w:space="0" w:color="auto"/>
        <w:bottom w:val="none" w:sz="0" w:space="0" w:color="auto"/>
        <w:right w:val="none" w:sz="0" w:space="0" w:color="auto"/>
      </w:divBdr>
    </w:div>
    <w:div w:id="435518993">
      <w:bodyDiv w:val="1"/>
      <w:marLeft w:val="0"/>
      <w:marRight w:val="0"/>
      <w:marTop w:val="0"/>
      <w:marBottom w:val="0"/>
      <w:divBdr>
        <w:top w:val="none" w:sz="0" w:space="0" w:color="auto"/>
        <w:left w:val="none" w:sz="0" w:space="0" w:color="auto"/>
        <w:bottom w:val="none" w:sz="0" w:space="0" w:color="auto"/>
        <w:right w:val="none" w:sz="0" w:space="0" w:color="auto"/>
      </w:divBdr>
    </w:div>
    <w:div w:id="437913509">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450788042">
      <w:bodyDiv w:val="1"/>
      <w:marLeft w:val="0"/>
      <w:marRight w:val="0"/>
      <w:marTop w:val="0"/>
      <w:marBottom w:val="0"/>
      <w:divBdr>
        <w:top w:val="none" w:sz="0" w:space="0" w:color="auto"/>
        <w:left w:val="none" w:sz="0" w:space="0" w:color="auto"/>
        <w:bottom w:val="none" w:sz="0" w:space="0" w:color="auto"/>
        <w:right w:val="none" w:sz="0" w:space="0" w:color="auto"/>
      </w:divBdr>
    </w:div>
    <w:div w:id="471364447">
      <w:bodyDiv w:val="1"/>
      <w:marLeft w:val="0"/>
      <w:marRight w:val="0"/>
      <w:marTop w:val="0"/>
      <w:marBottom w:val="0"/>
      <w:divBdr>
        <w:top w:val="none" w:sz="0" w:space="0" w:color="auto"/>
        <w:left w:val="none" w:sz="0" w:space="0" w:color="auto"/>
        <w:bottom w:val="none" w:sz="0" w:space="0" w:color="auto"/>
        <w:right w:val="none" w:sz="0" w:space="0" w:color="auto"/>
      </w:divBdr>
    </w:div>
    <w:div w:id="472673727">
      <w:bodyDiv w:val="1"/>
      <w:marLeft w:val="0"/>
      <w:marRight w:val="0"/>
      <w:marTop w:val="0"/>
      <w:marBottom w:val="0"/>
      <w:divBdr>
        <w:top w:val="none" w:sz="0" w:space="0" w:color="auto"/>
        <w:left w:val="none" w:sz="0" w:space="0" w:color="auto"/>
        <w:bottom w:val="none" w:sz="0" w:space="0" w:color="auto"/>
        <w:right w:val="none" w:sz="0" w:space="0" w:color="auto"/>
      </w:divBdr>
    </w:div>
    <w:div w:id="474954213">
      <w:bodyDiv w:val="1"/>
      <w:marLeft w:val="0"/>
      <w:marRight w:val="0"/>
      <w:marTop w:val="0"/>
      <w:marBottom w:val="0"/>
      <w:divBdr>
        <w:top w:val="none" w:sz="0" w:space="0" w:color="auto"/>
        <w:left w:val="none" w:sz="0" w:space="0" w:color="auto"/>
        <w:bottom w:val="none" w:sz="0" w:space="0" w:color="auto"/>
        <w:right w:val="none" w:sz="0" w:space="0" w:color="auto"/>
      </w:divBdr>
    </w:div>
    <w:div w:id="502470788">
      <w:bodyDiv w:val="1"/>
      <w:marLeft w:val="0"/>
      <w:marRight w:val="0"/>
      <w:marTop w:val="0"/>
      <w:marBottom w:val="0"/>
      <w:divBdr>
        <w:top w:val="none" w:sz="0" w:space="0" w:color="auto"/>
        <w:left w:val="none" w:sz="0" w:space="0" w:color="auto"/>
        <w:bottom w:val="none" w:sz="0" w:space="0" w:color="auto"/>
        <w:right w:val="none" w:sz="0" w:space="0" w:color="auto"/>
      </w:divBdr>
    </w:div>
    <w:div w:id="509175042">
      <w:bodyDiv w:val="1"/>
      <w:marLeft w:val="0"/>
      <w:marRight w:val="0"/>
      <w:marTop w:val="0"/>
      <w:marBottom w:val="0"/>
      <w:divBdr>
        <w:top w:val="none" w:sz="0" w:space="0" w:color="auto"/>
        <w:left w:val="none" w:sz="0" w:space="0" w:color="auto"/>
        <w:bottom w:val="none" w:sz="0" w:space="0" w:color="auto"/>
        <w:right w:val="none" w:sz="0" w:space="0" w:color="auto"/>
      </w:divBdr>
    </w:div>
    <w:div w:id="541552357">
      <w:bodyDiv w:val="1"/>
      <w:marLeft w:val="0"/>
      <w:marRight w:val="0"/>
      <w:marTop w:val="0"/>
      <w:marBottom w:val="0"/>
      <w:divBdr>
        <w:top w:val="none" w:sz="0" w:space="0" w:color="auto"/>
        <w:left w:val="none" w:sz="0" w:space="0" w:color="auto"/>
        <w:bottom w:val="none" w:sz="0" w:space="0" w:color="auto"/>
        <w:right w:val="none" w:sz="0" w:space="0" w:color="auto"/>
      </w:divBdr>
    </w:div>
    <w:div w:id="570509049">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656884581">
      <w:bodyDiv w:val="1"/>
      <w:marLeft w:val="0"/>
      <w:marRight w:val="0"/>
      <w:marTop w:val="0"/>
      <w:marBottom w:val="0"/>
      <w:divBdr>
        <w:top w:val="none" w:sz="0" w:space="0" w:color="auto"/>
        <w:left w:val="none" w:sz="0" w:space="0" w:color="auto"/>
        <w:bottom w:val="none" w:sz="0" w:space="0" w:color="auto"/>
        <w:right w:val="none" w:sz="0" w:space="0" w:color="auto"/>
      </w:divBdr>
    </w:div>
    <w:div w:id="681591271">
      <w:bodyDiv w:val="1"/>
      <w:marLeft w:val="0"/>
      <w:marRight w:val="0"/>
      <w:marTop w:val="0"/>
      <w:marBottom w:val="0"/>
      <w:divBdr>
        <w:top w:val="none" w:sz="0" w:space="0" w:color="auto"/>
        <w:left w:val="none" w:sz="0" w:space="0" w:color="auto"/>
        <w:bottom w:val="none" w:sz="0" w:space="0" w:color="auto"/>
        <w:right w:val="none" w:sz="0" w:space="0" w:color="auto"/>
      </w:divBdr>
    </w:div>
    <w:div w:id="715741430">
      <w:bodyDiv w:val="1"/>
      <w:marLeft w:val="0"/>
      <w:marRight w:val="0"/>
      <w:marTop w:val="0"/>
      <w:marBottom w:val="0"/>
      <w:divBdr>
        <w:top w:val="none" w:sz="0" w:space="0" w:color="auto"/>
        <w:left w:val="none" w:sz="0" w:space="0" w:color="auto"/>
        <w:bottom w:val="none" w:sz="0" w:space="0" w:color="auto"/>
        <w:right w:val="none" w:sz="0" w:space="0" w:color="auto"/>
      </w:divBdr>
    </w:div>
    <w:div w:id="752550686">
      <w:bodyDiv w:val="1"/>
      <w:marLeft w:val="0"/>
      <w:marRight w:val="0"/>
      <w:marTop w:val="0"/>
      <w:marBottom w:val="0"/>
      <w:divBdr>
        <w:top w:val="none" w:sz="0" w:space="0" w:color="auto"/>
        <w:left w:val="none" w:sz="0" w:space="0" w:color="auto"/>
        <w:bottom w:val="none" w:sz="0" w:space="0" w:color="auto"/>
        <w:right w:val="none" w:sz="0" w:space="0" w:color="auto"/>
      </w:divBdr>
    </w:div>
    <w:div w:id="760218716">
      <w:bodyDiv w:val="1"/>
      <w:marLeft w:val="0"/>
      <w:marRight w:val="0"/>
      <w:marTop w:val="0"/>
      <w:marBottom w:val="0"/>
      <w:divBdr>
        <w:top w:val="none" w:sz="0" w:space="0" w:color="auto"/>
        <w:left w:val="none" w:sz="0" w:space="0" w:color="auto"/>
        <w:bottom w:val="none" w:sz="0" w:space="0" w:color="auto"/>
        <w:right w:val="none" w:sz="0" w:space="0" w:color="auto"/>
      </w:divBdr>
    </w:div>
    <w:div w:id="823089413">
      <w:bodyDiv w:val="1"/>
      <w:marLeft w:val="0"/>
      <w:marRight w:val="0"/>
      <w:marTop w:val="0"/>
      <w:marBottom w:val="0"/>
      <w:divBdr>
        <w:top w:val="none" w:sz="0" w:space="0" w:color="auto"/>
        <w:left w:val="none" w:sz="0" w:space="0" w:color="auto"/>
        <w:bottom w:val="none" w:sz="0" w:space="0" w:color="auto"/>
        <w:right w:val="none" w:sz="0" w:space="0" w:color="auto"/>
      </w:divBdr>
    </w:div>
    <w:div w:id="836842245">
      <w:bodyDiv w:val="1"/>
      <w:marLeft w:val="0"/>
      <w:marRight w:val="0"/>
      <w:marTop w:val="0"/>
      <w:marBottom w:val="0"/>
      <w:divBdr>
        <w:top w:val="none" w:sz="0" w:space="0" w:color="auto"/>
        <w:left w:val="none" w:sz="0" w:space="0" w:color="auto"/>
        <w:bottom w:val="none" w:sz="0" w:space="0" w:color="auto"/>
        <w:right w:val="none" w:sz="0" w:space="0" w:color="auto"/>
      </w:divBdr>
    </w:div>
    <w:div w:id="870653259">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08419532">
      <w:bodyDiv w:val="1"/>
      <w:marLeft w:val="0"/>
      <w:marRight w:val="0"/>
      <w:marTop w:val="0"/>
      <w:marBottom w:val="0"/>
      <w:divBdr>
        <w:top w:val="none" w:sz="0" w:space="0" w:color="auto"/>
        <w:left w:val="none" w:sz="0" w:space="0" w:color="auto"/>
        <w:bottom w:val="none" w:sz="0" w:space="0" w:color="auto"/>
        <w:right w:val="none" w:sz="0" w:space="0" w:color="auto"/>
      </w:divBdr>
    </w:div>
    <w:div w:id="913317996">
      <w:bodyDiv w:val="1"/>
      <w:marLeft w:val="0"/>
      <w:marRight w:val="0"/>
      <w:marTop w:val="0"/>
      <w:marBottom w:val="0"/>
      <w:divBdr>
        <w:top w:val="none" w:sz="0" w:space="0" w:color="auto"/>
        <w:left w:val="none" w:sz="0" w:space="0" w:color="auto"/>
        <w:bottom w:val="none" w:sz="0" w:space="0" w:color="auto"/>
        <w:right w:val="none" w:sz="0" w:space="0" w:color="auto"/>
      </w:divBdr>
    </w:div>
    <w:div w:id="957880596">
      <w:bodyDiv w:val="1"/>
      <w:marLeft w:val="0"/>
      <w:marRight w:val="0"/>
      <w:marTop w:val="0"/>
      <w:marBottom w:val="0"/>
      <w:divBdr>
        <w:top w:val="none" w:sz="0" w:space="0" w:color="auto"/>
        <w:left w:val="none" w:sz="0" w:space="0" w:color="auto"/>
        <w:bottom w:val="none" w:sz="0" w:space="0" w:color="auto"/>
        <w:right w:val="none" w:sz="0" w:space="0" w:color="auto"/>
      </w:divBdr>
    </w:div>
    <w:div w:id="976715327">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72241022">
      <w:bodyDiv w:val="1"/>
      <w:marLeft w:val="0"/>
      <w:marRight w:val="0"/>
      <w:marTop w:val="0"/>
      <w:marBottom w:val="0"/>
      <w:divBdr>
        <w:top w:val="none" w:sz="0" w:space="0" w:color="auto"/>
        <w:left w:val="none" w:sz="0" w:space="0" w:color="auto"/>
        <w:bottom w:val="none" w:sz="0" w:space="0" w:color="auto"/>
        <w:right w:val="none" w:sz="0" w:space="0" w:color="auto"/>
      </w:divBdr>
    </w:div>
    <w:div w:id="1077244780">
      <w:bodyDiv w:val="1"/>
      <w:marLeft w:val="0"/>
      <w:marRight w:val="0"/>
      <w:marTop w:val="0"/>
      <w:marBottom w:val="0"/>
      <w:divBdr>
        <w:top w:val="none" w:sz="0" w:space="0" w:color="auto"/>
        <w:left w:val="none" w:sz="0" w:space="0" w:color="auto"/>
        <w:bottom w:val="none" w:sz="0" w:space="0" w:color="auto"/>
        <w:right w:val="none" w:sz="0" w:space="0" w:color="auto"/>
      </w:divBdr>
    </w:div>
    <w:div w:id="1092504266">
      <w:bodyDiv w:val="1"/>
      <w:marLeft w:val="0"/>
      <w:marRight w:val="0"/>
      <w:marTop w:val="0"/>
      <w:marBottom w:val="0"/>
      <w:divBdr>
        <w:top w:val="none" w:sz="0" w:space="0" w:color="auto"/>
        <w:left w:val="none" w:sz="0" w:space="0" w:color="auto"/>
        <w:bottom w:val="none" w:sz="0" w:space="0" w:color="auto"/>
        <w:right w:val="none" w:sz="0" w:space="0" w:color="auto"/>
      </w:divBdr>
    </w:div>
    <w:div w:id="1165701194">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277760305">
      <w:bodyDiv w:val="1"/>
      <w:marLeft w:val="0"/>
      <w:marRight w:val="0"/>
      <w:marTop w:val="0"/>
      <w:marBottom w:val="0"/>
      <w:divBdr>
        <w:top w:val="none" w:sz="0" w:space="0" w:color="auto"/>
        <w:left w:val="none" w:sz="0" w:space="0" w:color="auto"/>
        <w:bottom w:val="none" w:sz="0" w:space="0" w:color="auto"/>
        <w:right w:val="none" w:sz="0" w:space="0" w:color="auto"/>
      </w:divBdr>
    </w:div>
    <w:div w:id="1306161138">
      <w:bodyDiv w:val="1"/>
      <w:marLeft w:val="0"/>
      <w:marRight w:val="0"/>
      <w:marTop w:val="0"/>
      <w:marBottom w:val="0"/>
      <w:divBdr>
        <w:top w:val="none" w:sz="0" w:space="0" w:color="auto"/>
        <w:left w:val="none" w:sz="0" w:space="0" w:color="auto"/>
        <w:bottom w:val="none" w:sz="0" w:space="0" w:color="auto"/>
        <w:right w:val="none" w:sz="0" w:space="0" w:color="auto"/>
      </w:divBdr>
    </w:div>
    <w:div w:id="1333141444">
      <w:bodyDiv w:val="1"/>
      <w:marLeft w:val="0"/>
      <w:marRight w:val="0"/>
      <w:marTop w:val="0"/>
      <w:marBottom w:val="0"/>
      <w:divBdr>
        <w:top w:val="none" w:sz="0" w:space="0" w:color="auto"/>
        <w:left w:val="none" w:sz="0" w:space="0" w:color="auto"/>
        <w:bottom w:val="none" w:sz="0" w:space="0" w:color="auto"/>
        <w:right w:val="none" w:sz="0" w:space="0" w:color="auto"/>
      </w:divBdr>
    </w:div>
    <w:div w:id="1341273445">
      <w:bodyDiv w:val="1"/>
      <w:marLeft w:val="0"/>
      <w:marRight w:val="0"/>
      <w:marTop w:val="0"/>
      <w:marBottom w:val="0"/>
      <w:divBdr>
        <w:top w:val="none" w:sz="0" w:space="0" w:color="auto"/>
        <w:left w:val="none" w:sz="0" w:space="0" w:color="auto"/>
        <w:bottom w:val="none" w:sz="0" w:space="0" w:color="auto"/>
        <w:right w:val="none" w:sz="0" w:space="0" w:color="auto"/>
      </w:divBdr>
    </w:div>
    <w:div w:id="1357925216">
      <w:bodyDiv w:val="1"/>
      <w:marLeft w:val="0"/>
      <w:marRight w:val="0"/>
      <w:marTop w:val="0"/>
      <w:marBottom w:val="0"/>
      <w:divBdr>
        <w:top w:val="none" w:sz="0" w:space="0" w:color="auto"/>
        <w:left w:val="none" w:sz="0" w:space="0" w:color="auto"/>
        <w:bottom w:val="none" w:sz="0" w:space="0" w:color="auto"/>
        <w:right w:val="none" w:sz="0" w:space="0" w:color="auto"/>
      </w:divBdr>
    </w:div>
    <w:div w:id="1419058589">
      <w:bodyDiv w:val="1"/>
      <w:marLeft w:val="0"/>
      <w:marRight w:val="0"/>
      <w:marTop w:val="0"/>
      <w:marBottom w:val="0"/>
      <w:divBdr>
        <w:top w:val="none" w:sz="0" w:space="0" w:color="auto"/>
        <w:left w:val="none" w:sz="0" w:space="0" w:color="auto"/>
        <w:bottom w:val="none" w:sz="0" w:space="0" w:color="auto"/>
        <w:right w:val="none" w:sz="0" w:space="0" w:color="auto"/>
      </w:divBdr>
    </w:div>
    <w:div w:id="1431468030">
      <w:bodyDiv w:val="1"/>
      <w:marLeft w:val="0"/>
      <w:marRight w:val="0"/>
      <w:marTop w:val="0"/>
      <w:marBottom w:val="0"/>
      <w:divBdr>
        <w:top w:val="none" w:sz="0" w:space="0" w:color="auto"/>
        <w:left w:val="none" w:sz="0" w:space="0" w:color="auto"/>
        <w:bottom w:val="none" w:sz="0" w:space="0" w:color="auto"/>
        <w:right w:val="none" w:sz="0" w:space="0" w:color="auto"/>
      </w:divBdr>
    </w:div>
    <w:div w:id="1452087807">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30090307">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656299270">
      <w:bodyDiv w:val="1"/>
      <w:marLeft w:val="0"/>
      <w:marRight w:val="0"/>
      <w:marTop w:val="0"/>
      <w:marBottom w:val="0"/>
      <w:divBdr>
        <w:top w:val="none" w:sz="0" w:space="0" w:color="auto"/>
        <w:left w:val="none" w:sz="0" w:space="0" w:color="auto"/>
        <w:bottom w:val="none" w:sz="0" w:space="0" w:color="auto"/>
        <w:right w:val="none" w:sz="0" w:space="0" w:color="auto"/>
      </w:divBdr>
    </w:div>
    <w:div w:id="1691757962">
      <w:bodyDiv w:val="1"/>
      <w:marLeft w:val="0"/>
      <w:marRight w:val="0"/>
      <w:marTop w:val="0"/>
      <w:marBottom w:val="0"/>
      <w:divBdr>
        <w:top w:val="none" w:sz="0" w:space="0" w:color="auto"/>
        <w:left w:val="none" w:sz="0" w:space="0" w:color="auto"/>
        <w:bottom w:val="none" w:sz="0" w:space="0" w:color="auto"/>
        <w:right w:val="none" w:sz="0" w:space="0" w:color="auto"/>
      </w:divBdr>
    </w:div>
    <w:div w:id="1708867504">
      <w:bodyDiv w:val="1"/>
      <w:marLeft w:val="0"/>
      <w:marRight w:val="0"/>
      <w:marTop w:val="0"/>
      <w:marBottom w:val="0"/>
      <w:divBdr>
        <w:top w:val="none" w:sz="0" w:space="0" w:color="auto"/>
        <w:left w:val="none" w:sz="0" w:space="0" w:color="auto"/>
        <w:bottom w:val="none" w:sz="0" w:space="0" w:color="auto"/>
        <w:right w:val="none" w:sz="0" w:space="0" w:color="auto"/>
      </w:divBdr>
    </w:div>
    <w:div w:id="1726029802">
      <w:bodyDiv w:val="1"/>
      <w:marLeft w:val="0"/>
      <w:marRight w:val="0"/>
      <w:marTop w:val="0"/>
      <w:marBottom w:val="0"/>
      <w:divBdr>
        <w:top w:val="none" w:sz="0" w:space="0" w:color="auto"/>
        <w:left w:val="none" w:sz="0" w:space="0" w:color="auto"/>
        <w:bottom w:val="none" w:sz="0" w:space="0" w:color="auto"/>
        <w:right w:val="none" w:sz="0" w:space="0" w:color="auto"/>
      </w:divBdr>
    </w:div>
    <w:div w:id="1728605067">
      <w:bodyDiv w:val="1"/>
      <w:marLeft w:val="0"/>
      <w:marRight w:val="0"/>
      <w:marTop w:val="0"/>
      <w:marBottom w:val="0"/>
      <w:divBdr>
        <w:top w:val="none" w:sz="0" w:space="0" w:color="auto"/>
        <w:left w:val="none" w:sz="0" w:space="0" w:color="auto"/>
        <w:bottom w:val="none" w:sz="0" w:space="0" w:color="auto"/>
        <w:right w:val="none" w:sz="0" w:space="0" w:color="auto"/>
      </w:divBdr>
    </w:div>
    <w:div w:id="1769619327">
      <w:bodyDiv w:val="1"/>
      <w:marLeft w:val="0"/>
      <w:marRight w:val="0"/>
      <w:marTop w:val="0"/>
      <w:marBottom w:val="0"/>
      <w:divBdr>
        <w:top w:val="none" w:sz="0" w:space="0" w:color="auto"/>
        <w:left w:val="none" w:sz="0" w:space="0" w:color="auto"/>
        <w:bottom w:val="none" w:sz="0" w:space="0" w:color="auto"/>
        <w:right w:val="none" w:sz="0" w:space="0" w:color="auto"/>
      </w:divBdr>
    </w:div>
    <w:div w:id="1806967657">
      <w:bodyDiv w:val="1"/>
      <w:marLeft w:val="0"/>
      <w:marRight w:val="0"/>
      <w:marTop w:val="0"/>
      <w:marBottom w:val="0"/>
      <w:divBdr>
        <w:top w:val="none" w:sz="0" w:space="0" w:color="auto"/>
        <w:left w:val="none" w:sz="0" w:space="0" w:color="auto"/>
        <w:bottom w:val="none" w:sz="0" w:space="0" w:color="auto"/>
        <w:right w:val="none" w:sz="0" w:space="0" w:color="auto"/>
      </w:divBdr>
    </w:div>
    <w:div w:id="1824353894">
      <w:bodyDiv w:val="1"/>
      <w:marLeft w:val="0"/>
      <w:marRight w:val="0"/>
      <w:marTop w:val="0"/>
      <w:marBottom w:val="0"/>
      <w:divBdr>
        <w:top w:val="none" w:sz="0" w:space="0" w:color="auto"/>
        <w:left w:val="none" w:sz="0" w:space="0" w:color="auto"/>
        <w:bottom w:val="none" w:sz="0" w:space="0" w:color="auto"/>
        <w:right w:val="none" w:sz="0" w:space="0" w:color="auto"/>
      </w:divBdr>
    </w:div>
    <w:div w:id="1832676231">
      <w:bodyDiv w:val="1"/>
      <w:marLeft w:val="0"/>
      <w:marRight w:val="0"/>
      <w:marTop w:val="0"/>
      <w:marBottom w:val="0"/>
      <w:divBdr>
        <w:top w:val="none" w:sz="0" w:space="0" w:color="auto"/>
        <w:left w:val="none" w:sz="0" w:space="0" w:color="auto"/>
        <w:bottom w:val="none" w:sz="0" w:space="0" w:color="auto"/>
        <w:right w:val="none" w:sz="0" w:space="0" w:color="auto"/>
      </w:divBdr>
    </w:div>
    <w:div w:id="1840077977">
      <w:bodyDiv w:val="1"/>
      <w:marLeft w:val="0"/>
      <w:marRight w:val="0"/>
      <w:marTop w:val="0"/>
      <w:marBottom w:val="0"/>
      <w:divBdr>
        <w:top w:val="none" w:sz="0" w:space="0" w:color="auto"/>
        <w:left w:val="none" w:sz="0" w:space="0" w:color="auto"/>
        <w:bottom w:val="none" w:sz="0" w:space="0" w:color="auto"/>
        <w:right w:val="none" w:sz="0" w:space="0" w:color="auto"/>
      </w:divBdr>
    </w:div>
    <w:div w:id="1876382064">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883667801">
      <w:bodyDiv w:val="1"/>
      <w:marLeft w:val="0"/>
      <w:marRight w:val="0"/>
      <w:marTop w:val="0"/>
      <w:marBottom w:val="0"/>
      <w:divBdr>
        <w:top w:val="none" w:sz="0" w:space="0" w:color="auto"/>
        <w:left w:val="none" w:sz="0" w:space="0" w:color="auto"/>
        <w:bottom w:val="none" w:sz="0" w:space="0" w:color="auto"/>
        <w:right w:val="none" w:sz="0" w:space="0" w:color="auto"/>
      </w:divBdr>
    </w:div>
    <w:div w:id="1968507582">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28868590">
      <w:bodyDiv w:val="1"/>
      <w:marLeft w:val="0"/>
      <w:marRight w:val="0"/>
      <w:marTop w:val="0"/>
      <w:marBottom w:val="0"/>
      <w:divBdr>
        <w:top w:val="none" w:sz="0" w:space="0" w:color="auto"/>
        <w:left w:val="none" w:sz="0" w:space="0" w:color="auto"/>
        <w:bottom w:val="none" w:sz="0" w:space="0" w:color="auto"/>
        <w:right w:val="none" w:sz="0" w:space="0" w:color="auto"/>
      </w:divBdr>
    </w:div>
    <w:div w:id="2053728710">
      <w:bodyDiv w:val="1"/>
      <w:marLeft w:val="0"/>
      <w:marRight w:val="0"/>
      <w:marTop w:val="0"/>
      <w:marBottom w:val="0"/>
      <w:divBdr>
        <w:top w:val="none" w:sz="0" w:space="0" w:color="auto"/>
        <w:left w:val="none" w:sz="0" w:space="0" w:color="auto"/>
        <w:bottom w:val="none" w:sz="0" w:space="0" w:color="auto"/>
        <w:right w:val="none" w:sz="0" w:space="0" w:color="auto"/>
      </w:divBdr>
    </w:div>
    <w:div w:id="2065130216">
      <w:bodyDiv w:val="1"/>
      <w:marLeft w:val="0"/>
      <w:marRight w:val="0"/>
      <w:marTop w:val="0"/>
      <w:marBottom w:val="0"/>
      <w:divBdr>
        <w:top w:val="none" w:sz="0" w:space="0" w:color="auto"/>
        <w:left w:val="none" w:sz="0" w:space="0" w:color="auto"/>
        <w:bottom w:val="none" w:sz="0" w:space="0" w:color="auto"/>
        <w:right w:val="none" w:sz="0" w:space="0" w:color="auto"/>
      </w:divBdr>
    </w:div>
    <w:div w:id="2074428192">
      <w:bodyDiv w:val="1"/>
      <w:marLeft w:val="0"/>
      <w:marRight w:val="0"/>
      <w:marTop w:val="0"/>
      <w:marBottom w:val="0"/>
      <w:divBdr>
        <w:top w:val="none" w:sz="0" w:space="0" w:color="auto"/>
        <w:left w:val="none" w:sz="0" w:space="0" w:color="auto"/>
        <w:bottom w:val="none" w:sz="0" w:space="0" w:color="auto"/>
        <w:right w:val="none" w:sz="0" w:space="0" w:color="auto"/>
      </w:divBdr>
    </w:div>
    <w:div w:id="2093505493">
      <w:bodyDiv w:val="1"/>
      <w:marLeft w:val="0"/>
      <w:marRight w:val="0"/>
      <w:marTop w:val="0"/>
      <w:marBottom w:val="0"/>
      <w:divBdr>
        <w:top w:val="none" w:sz="0" w:space="0" w:color="auto"/>
        <w:left w:val="none" w:sz="0" w:space="0" w:color="auto"/>
        <w:bottom w:val="none" w:sz="0" w:space="0" w:color="auto"/>
        <w:right w:val="none" w:sz="0" w:space="0" w:color="auto"/>
      </w:divBdr>
    </w:div>
    <w:div w:id="2102988871">
      <w:bodyDiv w:val="1"/>
      <w:marLeft w:val="0"/>
      <w:marRight w:val="0"/>
      <w:marTop w:val="0"/>
      <w:marBottom w:val="0"/>
      <w:divBdr>
        <w:top w:val="none" w:sz="0" w:space="0" w:color="auto"/>
        <w:left w:val="none" w:sz="0" w:space="0" w:color="auto"/>
        <w:bottom w:val="none" w:sz="0" w:space="0" w:color="auto"/>
        <w:right w:val="none" w:sz="0" w:space="0" w:color="auto"/>
      </w:divBdr>
    </w:div>
    <w:div w:id="21471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t@waggeneredstr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inves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investor" TargetMode="External"/><Relationship Id="rId5" Type="http://schemas.openxmlformats.org/officeDocument/2006/relationships/numbering" Target="numbering.xml"/><Relationship Id="rId15" Type="http://schemas.openxmlformats.org/officeDocument/2006/relationships/hyperlink" Target="http://www.microsoft.com/investo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CE4F8-D704-4347-9CFB-A532D2E4D274}"/>
</file>

<file path=customXml/itemProps2.xml><?xml version="1.0" encoding="utf-8"?>
<ds:datastoreItem xmlns:ds="http://schemas.openxmlformats.org/officeDocument/2006/customXml" ds:itemID="{978D957A-B4E7-4FC1-A9E4-95174B586FE3}"/>
</file>

<file path=customXml/itemProps3.xml><?xml version="1.0" encoding="utf-8"?>
<ds:datastoreItem xmlns:ds="http://schemas.openxmlformats.org/officeDocument/2006/customXml" ds:itemID="{9F9A6C89-D6F0-4861-B3D9-C43D054298D7}"/>
</file>

<file path=customXml/itemProps4.xml><?xml version="1.0" encoding="utf-8"?>
<ds:datastoreItem xmlns:ds="http://schemas.openxmlformats.org/officeDocument/2006/customXml" ds:itemID="{587A41AA-8DEA-46B3-A3FA-639FC89C6763}"/>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2014-04-24T02:17:00Z</dcterms:created>
  <dcterms:modified xsi:type="dcterms:W3CDTF">2014-04-24T16:10:00Z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_DocHome">
    <vt:i4>-1148023779</vt:i4>
  </property>
  <property fmtid="{D5CDD505-2E9C-101B-9397-08002B2CF9AE}" pid="4" name="_dlc_DocIdItemGuid">
    <vt:lpwstr>efa59d86-4e65-4f43-982c-e027cd15472e</vt:lpwstr>
  </property>
  <property fmtid="{D5CDD505-2E9C-101B-9397-08002B2CF9AE}" pid="5" name="_dlc_policyId">
    <vt:lpwstr/>
  </property>
  <property fmtid="{D5CDD505-2E9C-101B-9397-08002B2CF9AE}" pid="6" name="Owner">
    <vt:lpwstr>141;#Debi Kampton</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