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1FAF5" w14:textId="77777777" w:rsidR="005F1E87" w:rsidRPr="0080771D" w:rsidRDefault="005F1E87" w:rsidP="005F1E87">
      <w:pPr>
        <w:spacing w:after="0" w:line="320" w:lineRule="exact"/>
        <w:rPr>
          <w:rFonts w:ascii="Segoe UI" w:hAnsi="Segoe UI" w:cs="Segoe UI"/>
          <w:color w:val="595959" w:themeColor="text1" w:themeTint="A6"/>
          <w:sz w:val="26"/>
          <w:szCs w:val="26"/>
        </w:rPr>
      </w:pPr>
      <w:r w:rsidRPr="0080771D">
        <w:rPr>
          <w:rFonts w:ascii="Segoe UI" w:hAnsi="Segoe UI" w:cs="Segoe UI"/>
          <w:color w:val="595959" w:themeColor="text1" w:themeTint="A6"/>
          <w:sz w:val="26"/>
          <w:szCs w:val="26"/>
        </w:rPr>
        <w:t>Strength in Microsoft Cloud Highlights Q3 Results</w:t>
      </w:r>
    </w:p>
    <w:p w14:paraId="690565EA" w14:textId="77777777" w:rsidR="005F1E87" w:rsidRPr="0080771D" w:rsidRDefault="005F1E87" w:rsidP="005F1E87">
      <w:pPr>
        <w:spacing w:after="0" w:line="320" w:lineRule="exact"/>
        <w:rPr>
          <w:rFonts w:ascii="Segoe UI" w:hAnsi="Segoe UI" w:cs="Segoe UI"/>
          <w:i/>
          <w:color w:val="595959" w:themeColor="text1" w:themeTint="A6"/>
          <w:sz w:val="20"/>
          <w:szCs w:val="20"/>
        </w:rPr>
      </w:pPr>
      <w:r w:rsidRPr="0080771D">
        <w:rPr>
          <w:rFonts w:ascii="Segoe UI" w:hAnsi="Segoe UI" w:cs="Segoe UI"/>
          <w:i/>
          <w:color w:val="595959" w:themeColor="text1" w:themeTint="A6"/>
          <w:sz w:val="20"/>
          <w:szCs w:val="20"/>
        </w:rPr>
        <w:t>Increasing usage of Microsoft Azure, Office 365, Bing and Xbox Live contributes to Q3 growth</w:t>
      </w:r>
    </w:p>
    <w:p w14:paraId="0F23A4D7" w14:textId="77777777" w:rsidR="005F1E87" w:rsidRPr="00635402" w:rsidRDefault="005F1E87" w:rsidP="005F1E87">
      <w:pPr>
        <w:spacing w:after="0" w:line="320" w:lineRule="exact"/>
        <w:rPr>
          <w:rFonts w:ascii="Segoe UI" w:hAnsi="Segoe UI" w:cs="Segoe UI"/>
          <w:i/>
          <w:color w:val="666666"/>
          <w:sz w:val="18"/>
          <w:szCs w:val="18"/>
        </w:rPr>
      </w:pPr>
    </w:p>
    <w:p w14:paraId="657795FC" w14:textId="77777777" w:rsidR="005F1E87" w:rsidRDefault="005F1E87" w:rsidP="005F1E87">
      <w:pPr>
        <w:spacing w:line="280" w:lineRule="exact"/>
        <w:rPr>
          <w:rFonts w:ascii="Segoe UI" w:hAnsi="Segoe UI" w:cs="Segoe UI"/>
          <w:color w:val="666666"/>
          <w:sz w:val="20"/>
          <w:szCs w:val="20"/>
        </w:rPr>
      </w:pPr>
      <w:r w:rsidRPr="00391E57">
        <w:rPr>
          <w:rFonts w:ascii="Segoe UI" w:hAnsi="Segoe UI" w:cs="Segoe UI"/>
          <w:b/>
          <w:color w:val="666666"/>
          <w:sz w:val="20"/>
          <w:szCs w:val="20"/>
        </w:rPr>
        <w:t xml:space="preserve">REDMOND, Wash. — </w:t>
      </w:r>
      <w:r>
        <w:rPr>
          <w:rFonts w:ascii="Segoe UI" w:hAnsi="Segoe UI" w:cs="Segoe UI"/>
          <w:b/>
          <w:color w:val="666666"/>
          <w:sz w:val="20"/>
          <w:szCs w:val="20"/>
        </w:rPr>
        <w:t>April 23, 2015</w:t>
      </w:r>
      <w:r w:rsidRPr="00391E57">
        <w:rPr>
          <w:rFonts w:ascii="Segoe UI" w:hAnsi="Segoe UI" w:cs="Segoe UI"/>
          <w:b/>
          <w:color w:val="666666"/>
          <w:sz w:val="20"/>
          <w:szCs w:val="20"/>
        </w:rPr>
        <w:t xml:space="preserve"> —</w:t>
      </w:r>
      <w:r w:rsidRPr="00391E57">
        <w:rPr>
          <w:rFonts w:ascii="Segoe UI" w:hAnsi="Segoe UI" w:cs="Segoe UI"/>
          <w:color w:val="666666"/>
          <w:sz w:val="20"/>
          <w:szCs w:val="20"/>
        </w:rPr>
        <w:t xml:space="preserve"> Microso</w:t>
      </w:r>
      <w:r>
        <w:rPr>
          <w:rFonts w:ascii="Segoe UI" w:hAnsi="Segoe UI" w:cs="Segoe UI"/>
          <w:color w:val="666666"/>
          <w:sz w:val="20"/>
          <w:szCs w:val="20"/>
        </w:rPr>
        <w:t xml:space="preserve">ft Corp. today announced that revenues for the quarter ended March 31, 2015 grew to </w:t>
      </w:r>
      <w:r w:rsidRPr="00CD2770">
        <w:rPr>
          <w:rFonts w:ascii="Segoe UI" w:hAnsi="Segoe UI" w:cs="Segoe UI"/>
          <w:color w:val="666666"/>
          <w:sz w:val="20"/>
          <w:szCs w:val="20"/>
        </w:rPr>
        <w:t xml:space="preserve">$21.7 </w:t>
      </w:r>
      <w:r>
        <w:rPr>
          <w:rFonts w:ascii="Segoe UI" w:hAnsi="Segoe UI" w:cs="Segoe UI"/>
          <w:color w:val="666666"/>
          <w:sz w:val="20"/>
          <w:szCs w:val="20"/>
        </w:rPr>
        <w:t xml:space="preserve">billion.  </w:t>
      </w:r>
      <w:r w:rsidRPr="00391E57">
        <w:rPr>
          <w:rFonts w:ascii="Segoe UI" w:hAnsi="Segoe UI" w:cs="Segoe UI"/>
          <w:color w:val="666666"/>
          <w:sz w:val="20"/>
          <w:szCs w:val="20"/>
        </w:rPr>
        <w:t>Gross margin, operating</w:t>
      </w:r>
      <w:r w:rsidRPr="00E06C86">
        <w:rPr>
          <w:rFonts w:ascii="Segoe UI" w:hAnsi="Segoe UI" w:cs="Segoe UI"/>
          <w:color w:val="666666"/>
          <w:sz w:val="20"/>
          <w:szCs w:val="20"/>
        </w:rPr>
        <w:t xml:space="preserve"> </w:t>
      </w:r>
      <w:r w:rsidRPr="00CF6CE0">
        <w:rPr>
          <w:rFonts w:ascii="Segoe UI" w:hAnsi="Segoe UI" w:cs="Segoe UI"/>
          <w:color w:val="666666"/>
          <w:sz w:val="20"/>
          <w:szCs w:val="20"/>
        </w:rPr>
        <w:t>income, and diluted earnings per share (“EPS”) for the quarter were $14.6 billion, $6.6 billion, and $0.61 per share, respectively.</w:t>
      </w:r>
    </w:p>
    <w:p w14:paraId="37C1C222" w14:textId="77777777" w:rsidR="005F1E87" w:rsidRDefault="005F1E87" w:rsidP="005F1E87">
      <w:pPr>
        <w:spacing w:line="280" w:lineRule="exact"/>
        <w:rPr>
          <w:rFonts w:ascii="Segoe UI" w:hAnsi="Segoe UI" w:cs="Segoe UI"/>
          <w:color w:val="666666"/>
          <w:sz w:val="20"/>
          <w:szCs w:val="20"/>
        </w:rPr>
      </w:pPr>
      <w:r w:rsidRPr="00D63833">
        <w:rPr>
          <w:rFonts w:ascii="Segoe UI" w:hAnsi="Segoe UI" w:cs="Segoe UI"/>
          <w:color w:val="666666"/>
          <w:sz w:val="20"/>
          <w:szCs w:val="20"/>
        </w:rPr>
        <w:t xml:space="preserve">These financial results </w:t>
      </w:r>
      <w:r w:rsidRPr="00CF6CE0">
        <w:rPr>
          <w:rFonts w:ascii="Segoe UI" w:hAnsi="Segoe UI" w:cs="Segoe UI"/>
          <w:color w:val="666666"/>
          <w:sz w:val="20"/>
          <w:szCs w:val="20"/>
        </w:rPr>
        <w:t xml:space="preserve">include $190 million of integration and restructuring expenses, or a $0.01 per share negative impact, related to Microsoft’s restructuring plan announced in July 2014 and the </w:t>
      </w:r>
      <w:r w:rsidRPr="00D63833">
        <w:rPr>
          <w:rFonts w:ascii="Segoe UI" w:hAnsi="Segoe UI" w:cs="Segoe UI"/>
          <w:color w:val="666666"/>
          <w:sz w:val="20"/>
          <w:szCs w:val="20"/>
        </w:rPr>
        <w:t>ongoing integration of the Nokia Devices and Services (“NDS”) business</w:t>
      </w:r>
      <w:r>
        <w:rPr>
          <w:rFonts w:ascii="Segoe UI" w:hAnsi="Segoe UI" w:cs="Segoe UI"/>
          <w:color w:val="666666"/>
          <w:sz w:val="20"/>
          <w:szCs w:val="20"/>
        </w:rPr>
        <w:t>.</w:t>
      </w:r>
    </w:p>
    <w:p w14:paraId="1F41672C" w14:textId="77777777" w:rsidR="005F1E87" w:rsidRDefault="005F1E87" w:rsidP="005F1E87">
      <w:pPr>
        <w:spacing w:line="280" w:lineRule="exact"/>
        <w:rPr>
          <w:rFonts w:ascii="Segoe UI" w:hAnsi="Segoe UI" w:cs="Segoe UI"/>
          <w:color w:val="666666"/>
          <w:sz w:val="20"/>
          <w:szCs w:val="20"/>
        </w:rPr>
      </w:pPr>
      <w:r>
        <w:rPr>
          <w:rFonts w:ascii="Segoe UI" w:hAnsi="Segoe UI" w:cs="Segoe UI"/>
          <w:color w:val="666666"/>
          <w:sz w:val="20"/>
          <w:szCs w:val="20"/>
        </w:rPr>
        <w:t xml:space="preserve">During the quarter, Microsoft </w:t>
      </w:r>
      <w:r w:rsidRPr="00CF6CE0">
        <w:rPr>
          <w:rFonts w:ascii="Segoe UI" w:hAnsi="Segoe UI" w:cs="Segoe UI"/>
          <w:color w:val="666666"/>
          <w:sz w:val="20"/>
          <w:szCs w:val="20"/>
        </w:rPr>
        <w:t xml:space="preserve">returned </w:t>
      </w:r>
      <w:r w:rsidRPr="002D1127">
        <w:rPr>
          <w:rFonts w:ascii="Segoe UI" w:hAnsi="Segoe UI" w:cs="Segoe UI"/>
          <w:color w:val="666666"/>
          <w:sz w:val="20"/>
          <w:szCs w:val="20"/>
        </w:rPr>
        <w:t>$7.5</w:t>
      </w:r>
      <w:r w:rsidRPr="00CF6CE0">
        <w:rPr>
          <w:rFonts w:ascii="Segoe UI" w:hAnsi="Segoe UI" w:cs="Segoe UI"/>
          <w:color w:val="666666"/>
          <w:sz w:val="20"/>
          <w:szCs w:val="20"/>
        </w:rPr>
        <w:t xml:space="preserve"> billion </w:t>
      </w:r>
      <w:r>
        <w:rPr>
          <w:rFonts w:ascii="Segoe UI" w:hAnsi="Segoe UI" w:cs="Segoe UI"/>
          <w:color w:val="666666"/>
          <w:sz w:val="20"/>
          <w:szCs w:val="20"/>
        </w:rPr>
        <w:t xml:space="preserve">to shareholders in the form of share repurchases and dividends.    </w:t>
      </w:r>
    </w:p>
    <w:p w14:paraId="2B1FCE24" w14:textId="77777777" w:rsidR="005F1E87" w:rsidRPr="00D63833" w:rsidRDefault="005F1E87" w:rsidP="005F1E87">
      <w:pPr>
        <w:spacing w:line="280" w:lineRule="exact"/>
        <w:rPr>
          <w:rFonts w:ascii="Segoe UI" w:hAnsi="Segoe UI" w:cs="Segoe UI"/>
          <w:color w:val="666666"/>
          <w:sz w:val="20"/>
          <w:szCs w:val="20"/>
        </w:rPr>
      </w:pPr>
      <w:r w:rsidRPr="00D63833">
        <w:rPr>
          <w:rFonts w:ascii="Segoe UI" w:hAnsi="Segoe UI" w:cs="Segoe UI"/>
          <w:color w:val="666666"/>
          <w:sz w:val="20"/>
          <w:szCs w:val="20"/>
        </w:rPr>
        <w:t>The following table notes the impact of the integration and restructuring expenses on the company’s financial performance (“Noted Items”)</w:t>
      </w:r>
      <w:r>
        <w:rPr>
          <w:rFonts w:ascii="Segoe UI" w:hAnsi="Segoe UI" w:cs="Segoe UI"/>
          <w:color w:val="666666"/>
          <w:sz w:val="20"/>
          <w:szCs w:val="20"/>
        </w:rPr>
        <w:t xml:space="preserve">.  </w:t>
      </w:r>
      <w:r w:rsidRPr="00D63833">
        <w:rPr>
          <w:rFonts w:ascii="Segoe UI" w:hAnsi="Segoe UI" w:cs="Segoe UI"/>
          <w:color w:val="666666"/>
          <w:sz w:val="20"/>
          <w:szCs w:val="20"/>
        </w:rPr>
        <w:t>This financial information is provided to aid investors in better understanding the company’s performance. All growth comparisons relate to the corresponding period in the last fiscal year.</w:t>
      </w:r>
    </w:p>
    <w:tbl>
      <w:tblPr>
        <w:tblW w:w="7928" w:type="dxa"/>
        <w:tblLook w:val="04A0" w:firstRow="1" w:lastRow="0" w:firstColumn="1" w:lastColumn="0" w:noHBand="0" w:noVBand="1"/>
      </w:tblPr>
      <w:tblGrid>
        <w:gridCol w:w="3320"/>
        <w:gridCol w:w="1152"/>
        <w:gridCol w:w="1152"/>
        <w:gridCol w:w="1152"/>
        <w:gridCol w:w="1152"/>
      </w:tblGrid>
      <w:tr w:rsidR="005F1E87" w:rsidRPr="00CD4005" w14:paraId="71CCFC0D" w14:textId="77777777" w:rsidTr="00571F01">
        <w:trPr>
          <w:trHeight w:val="340"/>
        </w:trPr>
        <w:tc>
          <w:tcPr>
            <w:tcW w:w="3320" w:type="dxa"/>
            <w:tcBorders>
              <w:top w:val="nil"/>
              <w:left w:val="nil"/>
              <w:bottom w:val="single" w:sz="8" w:space="0" w:color="auto"/>
              <w:right w:val="nil"/>
            </w:tcBorders>
            <w:vAlign w:val="center"/>
          </w:tcPr>
          <w:p w14:paraId="7E33F5AB" w14:textId="77777777" w:rsidR="005F1E87" w:rsidRPr="00CD4005" w:rsidRDefault="005F1E87" w:rsidP="00571F01">
            <w:pPr>
              <w:spacing w:after="0" w:line="240" w:lineRule="auto"/>
              <w:rPr>
                <w:rFonts w:ascii="Segoe UI" w:eastAsia="Times New Roman" w:hAnsi="Segoe UI" w:cs="Segoe UI"/>
                <w:color w:val="666666"/>
                <w:sz w:val="16"/>
                <w:szCs w:val="16"/>
              </w:rPr>
            </w:pPr>
          </w:p>
        </w:tc>
        <w:tc>
          <w:tcPr>
            <w:tcW w:w="4608" w:type="dxa"/>
            <w:gridSpan w:val="4"/>
            <w:tcBorders>
              <w:top w:val="nil"/>
              <w:left w:val="nil"/>
              <w:bottom w:val="single" w:sz="8" w:space="0" w:color="auto"/>
              <w:right w:val="nil"/>
            </w:tcBorders>
          </w:tcPr>
          <w:p w14:paraId="2A64A2F9"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 31</w:t>
            </w:r>
            <w:r w:rsidRPr="00CD4005">
              <w:rPr>
                <w:rFonts w:ascii="Segoe UI" w:eastAsia="Times New Roman" w:hAnsi="Segoe UI" w:cs="Segoe UI"/>
                <w:b/>
                <w:bCs/>
                <w:color w:val="666666"/>
                <w:sz w:val="16"/>
                <w:szCs w:val="16"/>
              </w:rPr>
              <w:t>,</w:t>
            </w:r>
          </w:p>
        </w:tc>
      </w:tr>
      <w:tr w:rsidR="005F1E87" w:rsidRPr="00CD4005" w14:paraId="44E7A2AD" w14:textId="77777777" w:rsidTr="00571F01">
        <w:trPr>
          <w:trHeight w:val="468"/>
        </w:trPr>
        <w:tc>
          <w:tcPr>
            <w:tcW w:w="3320" w:type="dxa"/>
            <w:tcBorders>
              <w:top w:val="nil"/>
              <w:left w:val="nil"/>
              <w:bottom w:val="single" w:sz="8" w:space="0" w:color="auto"/>
              <w:right w:val="nil"/>
            </w:tcBorders>
            <w:vAlign w:val="center"/>
            <w:hideMark/>
          </w:tcPr>
          <w:p w14:paraId="5FEE7781" w14:textId="77777777" w:rsidR="005F1E87" w:rsidRPr="00CD4005" w:rsidRDefault="005F1E87" w:rsidP="00571F01">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millions, except per share amounts)</w:t>
            </w:r>
          </w:p>
        </w:tc>
        <w:tc>
          <w:tcPr>
            <w:tcW w:w="1152" w:type="dxa"/>
            <w:tcBorders>
              <w:top w:val="nil"/>
              <w:left w:val="nil"/>
              <w:bottom w:val="single" w:sz="8" w:space="0" w:color="auto"/>
              <w:right w:val="nil"/>
            </w:tcBorders>
            <w:vAlign w:val="center"/>
          </w:tcPr>
          <w:p w14:paraId="5A6B8892"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4</w:t>
            </w:r>
            <w:r w:rsidRPr="00CD4005">
              <w:rPr>
                <w:rFonts w:ascii="Segoe UI" w:eastAsia="Times New Roman" w:hAnsi="Segoe UI" w:cs="Segoe UI"/>
                <w:b/>
                <w:bCs/>
                <w:color w:val="666666"/>
                <w:sz w:val="16"/>
                <w:szCs w:val="16"/>
              </w:rPr>
              <w:t xml:space="preserve"> As Reported (GAAP)</w:t>
            </w:r>
          </w:p>
        </w:tc>
        <w:tc>
          <w:tcPr>
            <w:tcW w:w="1152" w:type="dxa"/>
            <w:tcBorders>
              <w:top w:val="nil"/>
              <w:left w:val="nil"/>
              <w:bottom w:val="single" w:sz="8" w:space="0" w:color="auto"/>
              <w:right w:val="nil"/>
            </w:tcBorders>
            <w:vAlign w:val="center"/>
          </w:tcPr>
          <w:p w14:paraId="6A633AC7"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5</w:t>
            </w:r>
            <w:r w:rsidRPr="00CD4005">
              <w:rPr>
                <w:rFonts w:ascii="Segoe UI" w:eastAsia="Times New Roman" w:hAnsi="Segoe UI" w:cs="Segoe UI"/>
                <w:b/>
                <w:bCs/>
                <w:color w:val="666666"/>
                <w:sz w:val="16"/>
                <w:szCs w:val="16"/>
              </w:rPr>
              <w:t xml:space="preserve"> As Reported (GAAP)</w:t>
            </w:r>
          </w:p>
        </w:tc>
        <w:tc>
          <w:tcPr>
            <w:tcW w:w="1152" w:type="dxa"/>
            <w:tcBorders>
              <w:top w:val="nil"/>
              <w:left w:val="nil"/>
              <w:bottom w:val="single" w:sz="8" w:space="0" w:color="auto"/>
              <w:right w:val="nil"/>
            </w:tcBorders>
            <w:vAlign w:val="center"/>
          </w:tcPr>
          <w:p w14:paraId="7BD2DA27"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 xml:space="preserve"> </w:t>
            </w:r>
            <w:r w:rsidRPr="00CD4005">
              <w:rPr>
                <w:rFonts w:ascii="Segoe UI" w:eastAsia="Times New Roman" w:hAnsi="Segoe UI" w:cs="Segoe UI"/>
                <w:b/>
                <w:bCs/>
                <w:color w:val="666666"/>
                <w:sz w:val="16"/>
                <w:szCs w:val="16"/>
              </w:rPr>
              <w:t>Y/Y (GAAP)</w:t>
            </w:r>
          </w:p>
        </w:tc>
        <w:tc>
          <w:tcPr>
            <w:tcW w:w="1152" w:type="dxa"/>
            <w:tcBorders>
              <w:top w:val="nil"/>
              <w:left w:val="nil"/>
              <w:bottom w:val="single" w:sz="8" w:space="0" w:color="auto"/>
              <w:right w:val="nil"/>
            </w:tcBorders>
            <w:vAlign w:val="center"/>
          </w:tcPr>
          <w:p w14:paraId="6307FFA7"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 Impact of Noted Items</w:t>
            </w:r>
          </w:p>
        </w:tc>
      </w:tr>
      <w:tr w:rsidR="005F1E87" w:rsidRPr="00305CCE" w14:paraId="6D8AC031" w14:textId="77777777" w:rsidTr="00571F01">
        <w:trPr>
          <w:trHeight w:val="288"/>
        </w:trPr>
        <w:tc>
          <w:tcPr>
            <w:tcW w:w="3320" w:type="dxa"/>
            <w:tcBorders>
              <w:top w:val="nil"/>
              <w:left w:val="nil"/>
              <w:bottom w:val="single" w:sz="4" w:space="0" w:color="auto"/>
              <w:right w:val="nil"/>
            </w:tcBorders>
            <w:noWrap/>
            <w:vAlign w:val="center"/>
          </w:tcPr>
          <w:p w14:paraId="0558AE1A" w14:textId="77777777" w:rsidR="005F1E87"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Revenue</w:t>
            </w:r>
          </w:p>
        </w:tc>
        <w:tc>
          <w:tcPr>
            <w:tcW w:w="1152" w:type="dxa"/>
            <w:tcBorders>
              <w:top w:val="nil"/>
              <w:left w:val="nil"/>
              <w:bottom w:val="single" w:sz="4" w:space="0" w:color="auto"/>
              <w:right w:val="nil"/>
            </w:tcBorders>
            <w:vAlign w:val="center"/>
          </w:tcPr>
          <w:p w14:paraId="361BDA76"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$20,403</w:t>
            </w:r>
          </w:p>
        </w:tc>
        <w:tc>
          <w:tcPr>
            <w:tcW w:w="1152" w:type="dxa"/>
            <w:tcBorders>
              <w:top w:val="nil"/>
              <w:left w:val="nil"/>
              <w:bottom w:val="single" w:sz="4" w:space="0" w:color="auto"/>
              <w:right w:val="nil"/>
            </w:tcBorders>
            <w:vAlign w:val="center"/>
          </w:tcPr>
          <w:p w14:paraId="6598B17D"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$21,729</w:t>
            </w:r>
          </w:p>
        </w:tc>
        <w:tc>
          <w:tcPr>
            <w:tcW w:w="1152" w:type="dxa"/>
            <w:tcBorders>
              <w:top w:val="nil"/>
              <w:left w:val="nil"/>
              <w:bottom w:val="single" w:sz="4" w:space="0" w:color="auto"/>
              <w:right w:val="nil"/>
            </w:tcBorders>
            <w:vAlign w:val="center"/>
          </w:tcPr>
          <w:p w14:paraId="2DDDF356"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6%</w:t>
            </w:r>
          </w:p>
        </w:tc>
        <w:tc>
          <w:tcPr>
            <w:tcW w:w="1152" w:type="dxa"/>
            <w:tcBorders>
              <w:top w:val="nil"/>
              <w:left w:val="nil"/>
              <w:bottom w:val="single" w:sz="4" w:space="0" w:color="auto"/>
              <w:right w:val="nil"/>
            </w:tcBorders>
            <w:vAlign w:val="center"/>
          </w:tcPr>
          <w:p w14:paraId="36CCE570" w14:textId="77777777" w:rsidR="005F1E87" w:rsidRDefault="005F1E87" w:rsidP="00571F01">
            <w:pPr>
              <w:spacing w:after="0" w:line="240" w:lineRule="auto"/>
              <w:jc w:val="right"/>
              <w:rPr>
                <w:rFonts w:ascii="Segoe UI" w:eastAsia="Times New Roman" w:hAnsi="Segoe UI" w:cs="Segoe UI"/>
                <w:b/>
                <w:bCs/>
                <w:color w:val="666666"/>
                <w:sz w:val="16"/>
                <w:szCs w:val="16"/>
              </w:rPr>
            </w:pPr>
            <w:r w:rsidRPr="00305CCE">
              <w:rPr>
                <w:rFonts w:ascii="Segoe UI" w:eastAsia="Times New Roman" w:hAnsi="Segoe UI" w:cs="Segoe UI"/>
                <w:b/>
                <w:bCs/>
                <w:color w:val="595959" w:themeColor="text1" w:themeTint="A6"/>
                <w:sz w:val="16"/>
                <w:szCs w:val="16"/>
              </w:rPr>
              <w:t>-</w:t>
            </w:r>
          </w:p>
        </w:tc>
      </w:tr>
      <w:tr w:rsidR="005F1E87" w:rsidRPr="00305CCE" w14:paraId="1BC508C9" w14:textId="77777777" w:rsidTr="00571F01">
        <w:trPr>
          <w:trHeight w:val="288"/>
        </w:trPr>
        <w:tc>
          <w:tcPr>
            <w:tcW w:w="3320" w:type="dxa"/>
            <w:tcBorders>
              <w:top w:val="nil"/>
              <w:left w:val="nil"/>
              <w:bottom w:val="single" w:sz="4" w:space="0" w:color="auto"/>
              <w:right w:val="nil"/>
            </w:tcBorders>
            <w:noWrap/>
            <w:vAlign w:val="center"/>
          </w:tcPr>
          <w:p w14:paraId="7EFC1514" w14:textId="77777777" w:rsidR="005F1E87"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Gross Margin</w:t>
            </w:r>
          </w:p>
        </w:tc>
        <w:tc>
          <w:tcPr>
            <w:tcW w:w="1152" w:type="dxa"/>
            <w:tcBorders>
              <w:top w:val="nil"/>
              <w:left w:val="nil"/>
              <w:bottom w:val="single" w:sz="4" w:space="0" w:color="auto"/>
              <w:right w:val="nil"/>
            </w:tcBorders>
            <w:vAlign w:val="center"/>
          </w:tcPr>
          <w:p w14:paraId="27C19515"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$14,425</w:t>
            </w:r>
          </w:p>
        </w:tc>
        <w:tc>
          <w:tcPr>
            <w:tcW w:w="1152" w:type="dxa"/>
            <w:tcBorders>
              <w:top w:val="nil"/>
              <w:left w:val="nil"/>
              <w:bottom w:val="single" w:sz="4" w:space="0" w:color="auto"/>
              <w:right w:val="nil"/>
            </w:tcBorders>
            <w:vAlign w:val="center"/>
          </w:tcPr>
          <w:p w14:paraId="488100FF"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$14,568</w:t>
            </w:r>
          </w:p>
        </w:tc>
        <w:tc>
          <w:tcPr>
            <w:tcW w:w="1152" w:type="dxa"/>
            <w:tcBorders>
              <w:top w:val="nil"/>
              <w:left w:val="nil"/>
              <w:bottom w:val="single" w:sz="4" w:space="0" w:color="auto"/>
              <w:right w:val="nil"/>
            </w:tcBorders>
            <w:vAlign w:val="center"/>
          </w:tcPr>
          <w:p w14:paraId="18102396"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1%</w:t>
            </w:r>
          </w:p>
        </w:tc>
        <w:tc>
          <w:tcPr>
            <w:tcW w:w="1152" w:type="dxa"/>
            <w:tcBorders>
              <w:top w:val="nil"/>
              <w:left w:val="nil"/>
              <w:bottom w:val="single" w:sz="4" w:space="0" w:color="auto"/>
              <w:right w:val="nil"/>
            </w:tcBorders>
            <w:vAlign w:val="center"/>
          </w:tcPr>
          <w:p w14:paraId="3E31E904"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r>
      <w:tr w:rsidR="005F1E87" w:rsidRPr="00305CCE" w14:paraId="69979813" w14:textId="77777777" w:rsidTr="00571F01">
        <w:trPr>
          <w:trHeight w:val="288"/>
        </w:trPr>
        <w:tc>
          <w:tcPr>
            <w:tcW w:w="3320" w:type="dxa"/>
            <w:tcBorders>
              <w:top w:val="nil"/>
              <w:left w:val="nil"/>
              <w:bottom w:val="single" w:sz="4" w:space="0" w:color="auto"/>
              <w:right w:val="nil"/>
            </w:tcBorders>
            <w:noWrap/>
            <w:vAlign w:val="center"/>
          </w:tcPr>
          <w:p w14:paraId="70EEC1B0" w14:textId="77777777" w:rsidR="005F1E87" w:rsidRPr="00CD4005"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Operating Income</w:t>
            </w:r>
          </w:p>
        </w:tc>
        <w:tc>
          <w:tcPr>
            <w:tcW w:w="1152" w:type="dxa"/>
            <w:tcBorders>
              <w:top w:val="nil"/>
              <w:left w:val="nil"/>
              <w:bottom w:val="single" w:sz="4" w:space="0" w:color="auto"/>
              <w:right w:val="nil"/>
            </w:tcBorders>
            <w:vAlign w:val="center"/>
          </w:tcPr>
          <w:p w14:paraId="12895F65"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$6,974</w:t>
            </w:r>
          </w:p>
        </w:tc>
        <w:tc>
          <w:tcPr>
            <w:tcW w:w="1152" w:type="dxa"/>
            <w:tcBorders>
              <w:top w:val="nil"/>
              <w:left w:val="nil"/>
              <w:bottom w:val="single" w:sz="4" w:space="0" w:color="auto"/>
              <w:right w:val="nil"/>
            </w:tcBorders>
            <w:vAlign w:val="center"/>
          </w:tcPr>
          <w:p w14:paraId="3B1D733E"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$6</w:t>
            </w:r>
            <w:r>
              <w:rPr>
                <w:rFonts w:ascii="Segoe UI" w:eastAsia="Times New Roman" w:hAnsi="Segoe UI" w:cs="Segoe UI"/>
                <w:b/>
                <w:bCs/>
                <w:color w:val="595959" w:themeColor="text1" w:themeTint="A6"/>
                <w:sz w:val="16"/>
                <w:szCs w:val="16"/>
              </w:rPr>
              <w:t>,</w:t>
            </w:r>
            <w:r w:rsidRPr="00305CCE">
              <w:rPr>
                <w:rFonts w:ascii="Segoe UI" w:eastAsia="Times New Roman" w:hAnsi="Segoe UI" w:cs="Segoe UI"/>
                <w:b/>
                <w:bCs/>
                <w:color w:val="595959" w:themeColor="text1" w:themeTint="A6"/>
                <w:sz w:val="16"/>
                <w:szCs w:val="16"/>
              </w:rPr>
              <w:t>594</w:t>
            </w:r>
          </w:p>
        </w:tc>
        <w:tc>
          <w:tcPr>
            <w:tcW w:w="1152" w:type="dxa"/>
            <w:tcBorders>
              <w:top w:val="nil"/>
              <w:left w:val="nil"/>
              <w:bottom w:val="single" w:sz="4" w:space="0" w:color="auto"/>
              <w:right w:val="nil"/>
            </w:tcBorders>
            <w:vAlign w:val="center"/>
          </w:tcPr>
          <w:p w14:paraId="73DAEB49"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(5)%</w:t>
            </w:r>
          </w:p>
        </w:tc>
        <w:tc>
          <w:tcPr>
            <w:tcW w:w="1152" w:type="dxa"/>
            <w:tcBorders>
              <w:top w:val="nil"/>
              <w:left w:val="nil"/>
              <w:bottom w:val="single" w:sz="4" w:space="0" w:color="auto"/>
              <w:right w:val="nil"/>
            </w:tcBorders>
            <w:vAlign w:val="center"/>
          </w:tcPr>
          <w:p w14:paraId="30814096"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$(190)</w:t>
            </w:r>
          </w:p>
        </w:tc>
      </w:tr>
      <w:tr w:rsidR="005F1E87" w:rsidRPr="00CD4005" w14:paraId="7DA86C78" w14:textId="77777777" w:rsidTr="00571F01">
        <w:trPr>
          <w:trHeight w:val="288"/>
        </w:trPr>
        <w:tc>
          <w:tcPr>
            <w:tcW w:w="3320" w:type="dxa"/>
            <w:tcBorders>
              <w:top w:val="nil"/>
              <w:left w:val="nil"/>
              <w:bottom w:val="single" w:sz="4" w:space="0" w:color="auto"/>
              <w:right w:val="nil"/>
            </w:tcBorders>
            <w:noWrap/>
            <w:vAlign w:val="center"/>
            <w:hideMark/>
          </w:tcPr>
          <w:p w14:paraId="77B20C15" w14:textId="77777777" w:rsidR="005F1E87" w:rsidRPr="00CD4005"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Diluted EPS</w:t>
            </w:r>
          </w:p>
        </w:tc>
        <w:tc>
          <w:tcPr>
            <w:tcW w:w="1152" w:type="dxa"/>
            <w:tcBorders>
              <w:top w:val="nil"/>
              <w:left w:val="nil"/>
              <w:bottom w:val="single" w:sz="4" w:space="0" w:color="auto"/>
              <w:right w:val="nil"/>
            </w:tcBorders>
            <w:vAlign w:val="center"/>
          </w:tcPr>
          <w:p w14:paraId="04867326"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$0.68</w:t>
            </w:r>
          </w:p>
        </w:tc>
        <w:tc>
          <w:tcPr>
            <w:tcW w:w="1152" w:type="dxa"/>
            <w:tcBorders>
              <w:top w:val="nil"/>
              <w:left w:val="nil"/>
              <w:bottom w:val="single" w:sz="4" w:space="0" w:color="auto"/>
              <w:right w:val="nil"/>
            </w:tcBorders>
            <w:vAlign w:val="center"/>
          </w:tcPr>
          <w:p w14:paraId="34FC3379"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sidRPr="00305CCE">
              <w:rPr>
                <w:rFonts w:ascii="Segoe UI" w:eastAsia="Times New Roman" w:hAnsi="Segoe UI" w:cs="Segoe UI"/>
                <w:b/>
                <w:bCs/>
                <w:color w:val="595959" w:themeColor="text1" w:themeTint="A6"/>
                <w:sz w:val="16"/>
                <w:szCs w:val="16"/>
              </w:rPr>
              <w:t>$0.61</w:t>
            </w:r>
          </w:p>
        </w:tc>
        <w:tc>
          <w:tcPr>
            <w:tcW w:w="1152" w:type="dxa"/>
            <w:tcBorders>
              <w:top w:val="nil"/>
              <w:left w:val="nil"/>
              <w:bottom w:val="single" w:sz="4" w:space="0" w:color="auto"/>
              <w:right w:val="nil"/>
            </w:tcBorders>
            <w:vAlign w:val="center"/>
          </w:tcPr>
          <w:p w14:paraId="4A4F8B6A"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sidRPr="00305CCE">
              <w:rPr>
                <w:rFonts w:ascii="Segoe UI" w:eastAsia="Times New Roman" w:hAnsi="Segoe UI" w:cs="Segoe UI"/>
                <w:b/>
                <w:bCs/>
                <w:color w:val="595959" w:themeColor="text1" w:themeTint="A6"/>
                <w:sz w:val="16"/>
                <w:szCs w:val="16"/>
              </w:rPr>
              <w:t>(10)%</w:t>
            </w:r>
          </w:p>
        </w:tc>
        <w:tc>
          <w:tcPr>
            <w:tcW w:w="1152" w:type="dxa"/>
            <w:tcBorders>
              <w:top w:val="nil"/>
              <w:left w:val="nil"/>
              <w:bottom w:val="single" w:sz="4" w:space="0" w:color="auto"/>
              <w:right w:val="nil"/>
            </w:tcBorders>
            <w:vAlign w:val="center"/>
          </w:tcPr>
          <w:p w14:paraId="68A42EE8"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$(0.01)</w:t>
            </w:r>
          </w:p>
        </w:tc>
      </w:tr>
    </w:tbl>
    <w:p w14:paraId="415630E7" w14:textId="77777777" w:rsidR="005F1E87" w:rsidRDefault="005F1E87" w:rsidP="005F1E87">
      <w:pPr>
        <w:spacing w:after="160" w:line="256" w:lineRule="auto"/>
        <w:rPr>
          <w:rFonts w:ascii="Segoe UI" w:eastAsiaTheme="minorHAnsi" w:hAnsi="Segoe UI" w:cs="Segoe UI"/>
          <w:color w:val="666666"/>
          <w:sz w:val="20"/>
          <w:szCs w:val="20"/>
        </w:rPr>
      </w:pPr>
    </w:p>
    <w:p w14:paraId="229EEAC2" w14:textId="77777777" w:rsidR="005F1E87" w:rsidRPr="0043635C" w:rsidRDefault="005F1E87" w:rsidP="005F1E87">
      <w:pPr>
        <w:spacing w:line="280" w:lineRule="exact"/>
        <w:rPr>
          <w:rFonts w:ascii="Segoe UI" w:hAnsi="Segoe UI" w:cs="Segoe UI"/>
          <w:color w:val="666666"/>
          <w:sz w:val="20"/>
          <w:szCs w:val="20"/>
        </w:rPr>
      </w:pPr>
      <w:r w:rsidRPr="00120414">
        <w:rPr>
          <w:rFonts w:ascii="Segoe UI" w:hAnsi="Segoe UI" w:cs="Segoe UI"/>
          <w:color w:val="666666"/>
          <w:sz w:val="20"/>
          <w:szCs w:val="20"/>
        </w:rPr>
        <w:lastRenderedPageBreak/>
        <w:t>The strengthening of the U.S. dollar compared to foreign currencies had a significant impact on results in the</w:t>
      </w:r>
      <w:r>
        <w:rPr>
          <w:rFonts w:ascii="Segoe UI" w:hAnsi="Segoe UI" w:cs="Segoe UI"/>
          <w:color w:val="666666"/>
          <w:sz w:val="20"/>
          <w:szCs w:val="20"/>
        </w:rPr>
        <w:t xml:space="preserve"> quarter</w:t>
      </w:r>
      <w:r w:rsidRPr="00120414">
        <w:rPr>
          <w:rFonts w:ascii="Segoe UI" w:hAnsi="Segoe UI" w:cs="Segoe UI"/>
          <w:color w:val="666666"/>
          <w:sz w:val="20"/>
          <w:szCs w:val="20"/>
        </w:rPr>
        <w:t xml:space="preserve">. </w:t>
      </w:r>
      <w:r>
        <w:rPr>
          <w:rFonts w:ascii="Segoe UI" w:hAnsi="Segoe UI" w:cs="Segoe UI"/>
          <w:color w:val="666666"/>
          <w:sz w:val="20"/>
          <w:szCs w:val="20"/>
        </w:rPr>
        <w:t xml:space="preserve">Excluding the effect of foreign exchange rate changes on the GAAP amounts, on a constant currency basis, revenue and gross margin would have grown 9% and 4%, respectively, and operating income and EPS would have declined 4% and 7%, respectively. </w:t>
      </w:r>
    </w:p>
    <w:p w14:paraId="45A0C9FA" w14:textId="77777777" w:rsidR="005F1E87" w:rsidRPr="00717CC5" w:rsidRDefault="005F1E87" w:rsidP="005F1E87">
      <w:pPr>
        <w:rPr>
          <w:rFonts w:ascii="Segoe UI" w:hAnsi="Segoe UI" w:cs="Segoe UI"/>
          <w:color w:val="666666"/>
          <w:sz w:val="20"/>
          <w:szCs w:val="20"/>
        </w:rPr>
      </w:pPr>
      <w:r w:rsidRPr="00717CC5">
        <w:rPr>
          <w:rFonts w:ascii="Segoe UI" w:hAnsi="Segoe UI" w:cs="Segoe UI"/>
          <w:color w:val="666666"/>
          <w:sz w:val="20"/>
          <w:szCs w:val="20"/>
        </w:rPr>
        <w:t xml:space="preserve">"Customers continue to choose Microsoft to transform their business and as a result we saw incredible growth across our cloud services this quarter," said Satya Nadella, </w:t>
      </w:r>
      <w:r>
        <w:rPr>
          <w:rFonts w:ascii="Segoe UI" w:hAnsi="Segoe UI" w:cs="Segoe UI"/>
          <w:color w:val="666666"/>
          <w:sz w:val="20"/>
          <w:szCs w:val="20"/>
        </w:rPr>
        <w:t>chief executive officer</w:t>
      </w:r>
      <w:r w:rsidRPr="00717CC5">
        <w:rPr>
          <w:rFonts w:ascii="Segoe UI" w:hAnsi="Segoe UI" w:cs="Segoe UI"/>
          <w:color w:val="666666"/>
          <w:sz w:val="20"/>
          <w:szCs w:val="20"/>
        </w:rPr>
        <w:t xml:space="preserve"> </w:t>
      </w:r>
      <w:r>
        <w:rPr>
          <w:rFonts w:ascii="Segoe UI" w:hAnsi="Segoe UI" w:cs="Segoe UI"/>
          <w:color w:val="666666"/>
          <w:sz w:val="20"/>
          <w:szCs w:val="20"/>
        </w:rPr>
        <w:t>at</w:t>
      </w:r>
      <w:r w:rsidRPr="00717CC5">
        <w:rPr>
          <w:rFonts w:ascii="Segoe UI" w:hAnsi="Segoe UI" w:cs="Segoe UI"/>
          <w:color w:val="666666"/>
          <w:sz w:val="20"/>
          <w:szCs w:val="20"/>
        </w:rPr>
        <w:t xml:space="preserve"> Microsoft. "Next week at Build we're excited to share more about how we're empowering every individual and organization on the planet to achieve more with the next generation of </w:t>
      </w:r>
      <w:r>
        <w:rPr>
          <w:rFonts w:ascii="Segoe UI" w:hAnsi="Segoe UI" w:cs="Segoe UI"/>
          <w:color w:val="666666"/>
          <w:sz w:val="20"/>
          <w:szCs w:val="20"/>
        </w:rPr>
        <w:t>our platforms</w:t>
      </w:r>
      <w:r w:rsidRPr="00717CC5">
        <w:rPr>
          <w:rFonts w:ascii="Segoe UI" w:hAnsi="Segoe UI" w:cs="Segoe UI"/>
          <w:color w:val="666666"/>
          <w:sz w:val="20"/>
          <w:szCs w:val="20"/>
        </w:rPr>
        <w:t>."</w:t>
      </w:r>
    </w:p>
    <w:p w14:paraId="447149D2" w14:textId="77777777" w:rsidR="005F1E87" w:rsidRPr="0043635C" w:rsidRDefault="005F1E87" w:rsidP="005F1E87">
      <w:pPr>
        <w:spacing w:line="280" w:lineRule="exact"/>
        <w:rPr>
          <w:rFonts w:ascii="Segoe UI" w:hAnsi="Segoe UI" w:cs="Segoe UI"/>
          <w:color w:val="666666"/>
          <w:sz w:val="20"/>
          <w:szCs w:val="20"/>
        </w:rPr>
      </w:pPr>
      <w:r w:rsidRPr="0043635C">
        <w:rPr>
          <w:rFonts w:ascii="Segoe UI" w:hAnsi="Segoe UI" w:cs="Segoe UI"/>
          <w:color w:val="666666"/>
          <w:sz w:val="20"/>
          <w:szCs w:val="20"/>
        </w:rPr>
        <w:t xml:space="preserve">“We executed with strong operational and financial discipline again this quarter, and are seeing </w:t>
      </w:r>
      <w:r>
        <w:rPr>
          <w:rFonts w:ascii="Segoe UI" w:hAnsi="Segoe UI" w:cs="Segoe UI"/>
          <w:color w:val="666666"/>
          <w:sz w:val="20"/>
          <w:szCs w:val="20"/>
        </w:rPr>
        <w:t>positive impact from our</w:t>
      </w:r>
      <w:r w:rsidRPr="0043635C">
        <w:rPr>
          <w:rFonts w:ascii="Segoe UI" w:hAnsi="Segoe UI" w:cs="Segoe UI"/>
          <w:color w:val="666666"/>
          <w:sz w:val="20"/>
          <w:szCs w:val="20"/>
        </w:rPr>
        <w:t xml:space="preserve"> investments in key growth areas,” said Amy Hood,</w:t>
      </w:r>
      <w:r>
        <w:rPr>
          <w:rFonts w:ascii="Segoe UI" w:hAnsi="Segoe UI" w:cs="Segoe UI"/>
          <w:color w:val="666666"/>
          <w:sz w:val="20"/>
          <w:szCs w:val="20"/>
        </w:rPr>
        <w:t xml:space="preserve"> </w:t>
      </w:r>
      <w:r w:rsidRPr="0043635C">
        <w:rPr>
          <w:rFonts w:ascii="Segoe UI" w:hAnsi="Segoe UI" w:cs="Segoe UI"/>
          <w:color w:val="666666"/>
          <w:sz w:val="20"/>
          <w:szCs w:val="20"/>
        </w:rPr>
        <w:t>chief financial officer</w:t>
      </w:r>
      <w:r>
        <w:rPr>
          <w:rFonts w:ascii="Segoe UI" w:hAnsi="Segoe UI" w:cs="Segoe UI"/>
          <w:color w:val="666666"/>
          <w:sz w:val="20"/>
          <w:szCs w:val="20"/>
        </w:rPr>
        <w:t xml:space="preserve"> at Microsoft</w:t>
      </w:r>
      <w:r w:rsidRPr="0043635C">
        <w:rPr>
          <w:rFonts w:ascii="Segoe UI" w:hAnsi="Segoe UI" w:cs="Segoe UI"/>
          <w:color w:val="666666"/>
          <w:sz w:val="20"/>
          <w:szCs w:val="20"/>
        </w:rPr>
        <w:t xml:space="preserve">.  “We remain focused on maximizing shareholder value and again increased our overall </w:t>
      </w:r>
      <w:r>
        <w:rPr>
          <w:rFonts w:ascii="Segoe UI" w:hAnsi="Segoe UI" w:cs="Segoe UI"/>
          <w:color w:val="666666"/>
          <w:sz w:val="20"/>
          <w:szCs w:val="20"/>
        </w:rPr>
        <w:t>return of capital to shareholders</w:t>
      </w:r>
      <w:r w:rsidRPr="0043635C">
        <w:rPr>
          <w:rFonts w:ascii="Segoe UI" w:hAnsi="Segoe UI" w:cs="Segoe UI"/>
          <w:color w:val="666666"/>
          <w:sz w:val="20"/>
          <w:szCs w:val="20"/>
        </w:rPr>
        <w:t>.”</w:t>
      </w:r>
    </w:p>
    <w:p w14:paraId="4929DA80" w14:textId="77777777" w:rsidR="005F1E87" w:rsidRPr="00EA786C" w:rsidRDefault="005F1E87" w:rsidP="005F1E87">
      <w:p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Devices and Consumer revenue grew </w:t>
      </w:r>
      <w:r w:rsidRPr="00305CCE">
        <w:rPr>
          <w:rFonts w:ascii="Segoe UI" w:hAnsi="Segoe UI" w:cs="Segoe UI"/>
          <w:color w:val="666666"/>
          <w:sz w:val="20"/>
          <w:szCs w:val="20"/>
        </w:rPr>
        <w:t>8</w:t>
      </w:r>
      <w:r w:rsidRPr="00EA786C">
        <w:rPr>
          <w:rFonts w:ascii="Segoe UI" w:hAnsi="Segoe UI" w:cs="Segoe UI"/>
          <w:color w:val="666666"/>
          <w:sz w:val="20"/>
          <w:szCs w:val="20"/>
        </w:rPr>
        <w:t>%</w:t>
      </w:r>
      <w:r>
        <w:rPr>
          <w:rFonts w:ascii="Segoe UI" w:hAnsi="Segoe UI" w:cs="Segoe UI"/>
          <w:color w:val="666666"/>
          <w:sz w:val="20"/>
          <w:szCs w:val="20"/>
        </w:rPr>
        <w:t xml:space="preserve"> (up </w:t>
      </w:r>
      <w:r w:rsidRPr="00305CCE">
        <w:rPr>
          <w:rFonts w:ascii="Segoe UI" w:hAnsi="Segoe UI" w:cs="Segoe UI"/>
          <w:color w:val="666666"/>
          <w:sz w:val="20"/>
          <w:szCs w:val="20"/>
        </w:rPr>
        <w:t>1</w:t>
      </w:r>
      <w:r>
        <w:rPr>
          <w:rFonts w:ascii="Segoe UI" w:hAnsi="Segoe UI" w:cs="Segoe UI"/>
          <w:color w:val="666666"/>
          <w:sz w:val="20"/>
          <w:szCs w:val="20"/>
        </w:rPr>
        <w:t>1% in constant currency)</w:t>
      </w:r>
      <w:r w:rsidRPr="00EA786C">
        <w:rPr>
          <w:rFonts w:ascii="Segoe UI" w:hAnsi="Segoe UI" w:cs="Segoe UI"/>
          <w:color w:val="666666"/>
          <w:sz w:val="20"/>
          <w:szCs w:val="20"/>
        </w:rPr>
        <w:t xml:space="preserve"> to $</w:t>
      </w:r>
      <w:r w:rsidRPr="00305CCE">
        <w:rPr>
          <w:rFonts w:ascii="Segoe UI" w:hAnsi="Segoe UI" w:cs="Segoe UI"/>
          <w:color w:val="666666"/>
          <w:sz w:val="20"/>
          <w:szCs w:val="20"/>
        </w:rPr>
        <w:t xml:space="preserve">9.0 </w:t>
      </w:r>
      <w:r w:rsidRPr="00EA786C">
        <w:rPr>
          <w:rFonts w:ascii="Segoe UI" w:hAnsi="Segoe UI" w:cs="Segoe UI"/>
          <w:color w:val="666666"/>
          <w:sz w:val="20"/>
          <w:szCs w:val="20"/>
        </w:rPr>
        <w:t>billion, with the following business highlights:</w:t>
      </w:r>
    </w:p>
    <w:p w14:paraId="65B038D7"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Office 365 </w:t>
      </w:r>
      <w:r>
        <w:rPr>
          <w:rFonts w:ascii="Segoe UI" w:hAnsi="Segoe UI" w:cs="Segoe UI"/>
          <w:color w:val="666666"/>
          <w:sz w:val="20"/>
          <w:szCs w:val="20"/>
        </w:rPr>
        <w:t xml:space="preserve">Consumer </w:t>
      </w:r>
      <w:r w:rsidRPr="00EA786C">
        <w:rPr>
          <w:rFonts w:ascii="Segoe UI" w:hAnsi="Segoe UI" w:cs="Segoe UI"/>
          <w:color w:val="666666"/>
          <w:sz w:val="20"/>
          <w:szCs w:val="20"/>
        </w:rPr>
        <w:t xml:space="preserve">subscribers increased to over </w:t>
      </w:r>
      <w:r w:rsidRPr="00F77474">
        <w:rPr>
          <w:rFonts w:ascii="Segoe UI" w:hAnsi="Segoe UI" w:cs="Segoe UI"/>
          <w:color w:val="666666"/>
          <w:sz w:val="20"/>
          <w:szCs w:val="20"/>
        </w:rPr>
        <w:t xml:space="preserve">12.4 </w:t>
      </w:r>
      <w:r>
        <w:rPr>
          <w:rFonts w:ascii="Segoe UI" w:hAnsi="Segoe UI" w:cs="Segoe UI"/>
          <w:color w:val="666666"/>
          <w:sz w:val="20"/>
          <w:szCs w:val="20"/>
        </w:rPr>
        <w:t xml:space="preserve">million, up </w:t>
      </w:r>
      <w:r w:rsidRPr="00F77474">
        <w:rPr>
          <w:rFonts w:ascii="Segoe UI" w:hAnsi="Segoe UI" w:cs="Segoe UI"/>
          <w:color w:val="666666"/>
          <w:sz w:val="20"/>
          <w:szCs w:val="20"/>
        </w:rPr>
        <w:t>35</w:t>
      </w:r>
      <w:r w:rsidRPr="00EA786C">
        <w:rPr>
          <w:rFonts w:ascii="Segoe UI" w:hAnsi="Segoe UI" w:cs="Segoe UI"/>
          <w:color w:val="666666"/>
          <w:sz w:val="20"/>
          <w:szCs w:val="20"/>
        </w:rPr>
        <w:t xml:space="preserve">% sequentially </w:t>
      </w:r>
    </w:p>
    <w:p w14:paraId="34816FDD" w14:textId="77777777" w:rsidR="005F1E87" w:rsidRPr="00F86705" w:rsidRDefault="005F1E87" w:rsidP="005F1E87">
      <w:pPr>
        <w:pStyle w:val="ListParagraph"/>
        <w:numPr>
          <w:ilvl w:val="0"/>
          <w:numId w:val="2"/>
        </w:numPr>
        <w:spacing w:line="280" w:lineRule="exact"/>
        <w:rPr>
          <w:rFonts w:ascii="Segoe UI" w:hAnsi="Segoe UI" w:cs="Segoe UI"/>
          <w:color w:val="666666"/>
          <w:sz w:val="20"/>
          <w:szCs w:val="20"/>
        </w:rPr>
      </w:pPr>
      <w:r w:rsidRPr="00F86705">
        <w:rPr>
          <w:rFonts w:ascii="Segoe UI" w:hAnsi="Segoe UI" w:cs="Segoe UI"/>
          <w:color w:val="666666"/>
          <w:sz w:val="20"/>
          <w:szCs w:val="20"/>
        </w:rPr>
        <w:t xml:space="preserve">Windows OEM Pro revenue declined 19%, </w:t>
      </w:r>
      <w:r>
        <w:rPr>
          <w:rFonts w:ascii="Segoe UI" w:hAnsi="Segoe UI" w:cs="Segoe UI"/>
          <w:color w:val="666666"/>
          <w:sz w:val="20"/>
          <w:szCs w:val="20"/>
        </w:rPr>
        <w:t xml:space="preserve">as </w:t>
      </w:r>
      <w:r w:rsidRPr="00F86705">
        <w:rPr>
          <w:rFonts w:ascii="Segoe UI" w:hAnsi="Segoe UI" w:cs="Segoe UI"/>
          <w:color w:val="666666"/>
          <w:sz w:val="20"/>
          <w:szCs w:val="20"/>
        </w:rPr>
        <w:t xml:space="preserve">Pro mix </w:t>
      </w:r>
      <w:r>
        <w:rPr>
          <w:rFonts w:ascii="Segoe UI" w:hAnsi="Segoe UI" w:cs="Segoe UI"/>
          <w:color w:val="666666"/>
          <w:sz w:val="20"/>
          <w:szCs w:val="20"/>
        </w:rPr>
        <w:t>returned</w:t>
      </w:r>
      <w:r w:rsidRPr="00F86705">
        <w:rPr>
          <w:rFonts w:ascii="Segoe UI" w:hAnsi="Segoe UI" w:cs="Segoe UI"/>
          <w:color w:val="666666"/>
          <w:sz w:val="20"/>
          <w:szCs w:val="20"/>
        </w:rPr>
        <w:t xml:space="preserve"> </w:t>
      </w:r>
      <w:r>
        <w:rPr>
          <w:rFonts w:ascii="Segoe UI" w:hAnsi="Segoe UI" w:cs="Segoe UI"/>
          <w:color w:val="666666"/>
          <w:sz w:val="20"/>
          <w:szCs w:val="20"/>
        </w:rPr>
        <w:t>to pre-Windows XP end-of-</w:t>
      </w:r>
      <w:r w:rsidRPr="00F86705">
        <w:rPr>
          <w:rFonts w:ascii="Segoe UI" w:hAnsi="Segoe UI" w:cs="Segoe UI"/>
          <w:color w:val="666666"/>
          <w:sz w:val="20"/>
          <w:szCs w:val="20"/>
        </w:rPr>
        <w:t xml:space="preserve">support levels </w:t>
      </w:r>
      <w:r>
        <w:rPr>
          <w:rFonts w:ascii="Segoe UI" w:hAnsi="Segoe UI" w:cs="Segoe UI"/>
          <w:color w:val="666666"/>
          <w:sz w:val="20"/>
          <w:szCs w:val="20"/>
        </w:rPr>
        <w:t>and the business PC market declined</w:t>
      </w:r>
    </w:p>
    <w:p w14:paraId="64AD505E" w14:textId="77777777" w:rsidR="005F1E87" w:rsidRPr="00F86705" w:rsidRDefault="005F1E87" w:rsidP="005F1E87">
      <w:pPr>
        <w:pStyle w:val="ListParagraph"/>
        <w:numPr>
          <w:ilvl w:val="0"/>
          <w:numId w:val="2"/>
        </w:numPr>
        <w:spacing w:line="280" w:lineRule="exact"/>
        <w:rPr>
          <w:rFonts w:ascii="Segoe UI" w:hAnsi="Segoe UI" w:cs="Segoe UI"/>
          <w:color w:val="666666"/>
          <w:sz w:val="20"/>
          <w:szCs w:val="20"/>
        </w:rPr>
      </w:pPr>
      <w:r w:rsidRPr="00F86705">
        <w:rPr>
          <w:rFonts w:ascii="Segoe UI" w:hAnsi="Segoe UI" w:cs="Segoe UI"/>
          <w:color w:val="666666"/>
          <w:sz w:val="20"/>
          <w:szCs w:val="20"/>
        </w:rPr>
        <w:t xml:space="preserve">Windows OEM non-Pro revenue declined 26%, primarily </w:t>
      </w:r>
      <w:r>
        <w:rPr>
          <w:rFonts w:ascii="Segoe UI" w:hAnsi="Segoe UI" w:cs="Segoe UI"/>
          <w:color w:val="666666"/>
          <w:sz w:val="20"/>
          <w:szCs w:val="20"/>
        </w:rPr>
        <w:t xml:space="preserve">due to </w:t>
      </w:r>
      <w:r w:rsidRPr="00F86705">
        <w:rPr>
          <w:rFonts w:ascii="Segoe UI" w:hAnsi="Segoe UI" w:cs="Segoe UI"/>
          <w:color w:val="666666"/>
          <w:sz w:val="20"/>
          <w:szCs w:val="20"/>
        </w:rPr>
        <w:t xml:space="preserve">channel inventory </w:t>
      </w:r>
      <w:r>
        <w:rPr>
          <w:rFonts w:ascii="Segoe UI" w:hAnsi="Segoe UI" w:cs="Segoe UI"/>
          <w:color w:val="666666"/>
          <w:sz w:val="20"/>
          <w:szCs w:val="20"/>
        </w:rPr>
        <w:t>drawdown</w:t>
      </w:r>
      <w:r w:rsidRPr="00F86705">
        <w:rPr>
          <w:rFonts w:ascii="Segoe UI" w:hAnsi="Segoe UI" w:cs="Segoe UI"/>
          <w:color w:val="666666"/>
          <w:sz w:val="20"/>
          <w:szCs w:val="20"/>
        </w:rPr>
        <w:t xml:space="preserve"> and ongoing mix shift to opening price point devices</w:t>
      </w:r>
    </w:p>
    <w:p w14:paraId="67F1133E"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Search advertising revenue grew </w:t>
      </w:r>
      <w:r>
        <w:rPr>
          <w:rFonts w:ascii="Segoe UI" w:hAnsi="Segoe UI" w:cs="Segoe UI"/>
          <w:color w:val="666666"/>
          <w:sz w:val="20"/>
          <w:szCs w:val="20"/>
        </w:rPr>
        <w:t>21</w:t>
      </w:r>
      <w:r w:rsidRPr="00EA786C">
        <w:rPr>
          <w:rFonts w:ascii="Segoe UI" w:hAnsi="Segoe UI" w:cs="Segoe UI"/>
          <w:color w:val="666666"/>
          <w:sz w:val="20"/>
          <w:szCs w:val="20"/>
        </w:rPr>
        <w:t>%</w:t>
      </w:r>
      <w:r>
        <w:rPr>
          <w:rFonts w:ascii="Segoe UI" w:hAnsi="Segoe UI" w:cs="Segoe UI"/>
          <w:color w:val="666666"/>
          <w:sz w:val="20"/>
          <w:szCs w:val="20"/>
        </w:rPr>
        <w:t xml:space="preserve"> (up 24% in constant currency)</w:t>
      </w:r>
      <w:r w:rsidRPr="00EA786C">
        <w:rPr>
          <w:rFonts w:ascii="Segoe UI" w:hAnsi="Segoe UI" w:cs="Segoe UI"/>
          <w:color w:val="666666"/>
          <w:sz w:val="20"/>
          <w:szCs w:val="20"/>
        </w:rPr>
        <w:t xml:space="preserve">, with Bing U.S. market share at </w:t>
      </w:r>
      <w:r w:rsidRPr="002D1127">
        <w:rPr>
          <w:rFonts w:ascii="Segoe UI" w:hAnsi="Segoe UI" w:cs="Segoe UI"/>
          <w:color w:val="666666"/>
          <w:sz w:val="20"/>
          <w:szCs w:val="20"/>
        </w:rPr>
        <w:t>20.1</w:t>
      </w:r>
      <w:r w:rsidRPr="00EA786C">
        <w:rPr>
          <w:rFonts w:ascii="Segoe UI" w:hAnsi="Segoe UI" w:cs="Segoe UI"/>
          <w:color w:val="666666"/>
          <w:sz w:val="20"/>
          <w:szCs w:val="20"/>
        </w:rPr>
        <w:t xml:space="preserve">%, up </w:t>
      </w:r>
      <w:r w:rsidRPr="002D1127">
        <w:rPr>
          <w:rFonts w:ascii="Segoe UI" w:hAnsi="Segoe UI" w:cs="Segoe UI"/>
          <w:color w:val="666666"/>
          <w:sz w:val="20"/>
          <w:szCs w:val="20"/>
        </w:rPr>
        <w:t xml:space="preserve">150 </w:t>
      </w:r>
      <w:r w:rsidRPr="00EA786C">
        <w:rPr>
          <w:rFonts w:ascii="Segoe UI" w:hAnsi="Segoe UI" w:cs="Segoe UI"/>
          <w:color w:val="666666"/>
          <w:sz w:val="20"/>
          <w:szCs w:val="20"/>
        </w:rPr>
        <w:t>basis points over prior year</w:t>
      </w:r>
    </w:p>
    <w:p w14:paraId="267C1D59"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Pr>
          <w:rFonts w:ascii="Segoe UI" w:hAnsi="Segoe UI" w:cs="Segoe UI"/>
          <w:color w:val="666666"/>
          <w:sz w:val="20"/>
          <w:szCs w:val="20"/>
        </w:rPr>
        <w:lastRenderedPageBreak/>
        <w:t>Xbox Live usage grew over 30%, driven by increased users and deeper user engagement</w:t>
      </w:r>
    </w:p>
    <w:p w14:paraId="027EA16C" w14:textId="77777777" w:rsidR="005F1E87"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Surface revenue of $</w:t>
      </w:r>
      <w:r w:rsidRPr="00EC0DC7">
        <w:rPr>
          <w:rFonts w:ascii="Segoe UI" w:hAnsi="Segoe UI" w:cs="Segoe UI"/>
          <w:color w:val="666666"/>
          <w:sz w:val="20"/>
          <w:szCs w:val="20"/>
        </w:rPr>
        <w:t xml:space="preserve">713 </w:t>
      </w:r>
      <w:r>
        <w:rPr>
          <w:rFonts w:ascii="Segoe UI" w:hAnsi="Segoe UI" w:cs="Segoe UI"/>
          <w:color w:val="666666"/>
          <w:sz w:val="20"/>
          <w:szCs w:val="20"/>
        </w:rPr>
        <w:t>million</w:t>
      </w:r>
      <w:r w:rsidRPr="00EA786C">
        <w:rPr>
          <w:rFonts w:ascii="Segoe UI" w:hAnsi="Segoe UI" w:cs="Segoe UI"/>
          <w:color w:val="666666"/>
          <w:sz w:val="20"/>
          <w:szCs w:val="20"/>
        </w:rPr>
        <w:t xml:space="preserve">, up </w:t>
      </w:r>
      <w:r w:rsidRPr="00EC0DC7">
        <w:rPr>
          <w:rFonts w:ascii="Segoe UI" w:hAnsi="Segoe UI" w:cs="Segoe UI"/>
          <w:color w:val="666666"/>
          <w:sz w:val="20"/>
          <w:szCs w:val="20"/>
        </w:rPr>
        <w:t>44</w:t>
      </w:r>
      <w:r w:rsidRPr="00EA786C">
        <w:rPr>
          <w:rFonts w:ascii="Segoe UI" w:hAnsi="Segoe UI" w:cs="Segoe UI"/>
          <w:color w:val="666666"/>
          <w:sz w:val="20"/>
          <w:szCs w:val="20"/>
        </w:rPr>
        <w:t>%</w:t>
      </w:r>
      <w:r>
        <w:rPr>
          <w:rFonts w:ascii="Segoe UI" w:hAnsi="Segoe UI" w:cs="Segoe UI"/>
          <w:color w:val="666666"/>
          <w:sz w:val="20"/>
          <w:szCs w:val="20"/>
        </w:rPr>
        <w:t xml:space="preserve"> (up 53% in constant currency)</w:t>
      </w:r>
      <w:r w:rsidRPr="00EA786C">
        <w:rPr>
          <w:rFonts w:ascii="Segoe UI" w:hAnsi="Segoe UI" w:cs="Segoe UI"/>
          <w:color w:val="666666"/>
          <w:sz w:val="20"/>
          <w:szCs w:val="20"/>
        </w:rPr>
        <w:t xml:space="preserve"> driven </w:t>
      </w:r>
      <w:r>
        <w:rPr>
          <w:rFonts w:ascii="Segoe UI" w:hAnsi="Segoe UI" w:cs="Segoe UI"/>
          <w:color w:val="666666"/>
          <w:sz w:val="20"/>
          <w:szCs w:val="20"/>
        </w:rPr>
        <w:t>by Surface Pro 3</w:t>
      </w:r>
    </w:p>
    <w:p w14:paraId="4F0367A7" w14:textId="77777777" w:rsidR="005F1E87" w:rsidRPr="00BE794B"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Phone Hardware revenue of $</w:t>
      </w:r>
      <w:r w:rsidRPr="00C56947">
        <w:rPr>
          <w:rFonts w:ascii="Segoe UI" w:hAnsi="Segoe UI" w:cs="Segoe UI"/>
          <w:color w:val="666666"/>
          <w:sz w:val="20"/>
          <w:szCs w:val="20"/>
        </w:rPr>
        <w:t xml:space="preserve">1.4 </w:t>
      </w:r>
      <w:r w:rsidRPr="00EA786C">
        <w:rPr>
          <w:rFonts w:ascii="Segoe UI" w:hAnsi="Segoe UI" w:cs="Segoe UI"/>
          <w:color w:val="666666"/>
          <w:sz w:val="20"/>
          <w:szCs w:val="20"/>
        </w:rPr>
        <w:t xml:space="preserve">billion, with </w:t>
      </w:r>
      <w:r w:rsidRPr="00C56947">
        <w:rPr>
          <w:rFonts w:ascii="Segoe UI" w:hAnsi="Segoe UI" w:cs="Segoe UI"/>
          <w:color w:val="666666"/>
          <w:sz w:val="20"/>
          <w:szCs w:val="20"/>
        </w:rPr>
        <w:t xml:space="preserve">8.6 </w:t>
      </w:r>
      <w:r w:rsidRPr="00EA786C">
        <w:rPr>
          <w:rFonts w:ascii="Segoe UI" w:hAnsi="Segoe UI" w:cs="Segoe UI"/>
          <w:color w:val="666666"/>
          <w:sz w:val="20"/>
          <w:szCs w:val="20"/>
        </w:rPr>
        <w:t xml:space="preserve">million Lumia units sold </w:t>
      </w:r>
    </w:p>
    <w:p w14:paraId="50AC4D15" w14:textId="77777777" w:rsidR="005F1E87" w:rsidRPr="00EA786C" w:rsidRDefault="005F1E87" w:rsidP="005F1E87">
      <w:p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Commercial revenue grew </w:t>
      </w:r>
      <w:r w:rsidRPr="008F3A37">
        <w:rPr>
          <w:rFonts w:ascii="Segoe UI" w:hAnsi="Segoe UI" w:cs="Segoe UI"/>
          <w:color w:val="666666"/>
          <w:sz w:val="20"/>
          <w:szCs w:val="20"/>
        </w:rPr>
        <w:t>5</w:t>
      </w:r>
      <w:r w:rsidRPr="00EA786C">
        <w:rPr>
          <w:rFonts w:ascii="Segoe UI" w:hAnsi="Segoe UI" w:cs="Segoe UI"/>
          <w:color w:val="666666"/>
          <w:sz w:val="20"/>
          <w:szCs w:val="20"/>
        </w:rPr>
        <w:t xml:space="preserve">% </w:t>
      </w:r>
      <w:r>
        <w:rPr>
          <w:rFonts w:ascii="Segoe UI" w:hAnsi="Segoe UI" w:cs="Segoe UI"/>
          <w:color w:val="666666"/>
          <w:sz w:val="20"/>
          <w:szCs w:val="20"/>
        </w:rPr>
        <w:t xml:space="preserve">(up </w:t>
      </w:r>
      <w:r w:rsidRPr="008F3A37">
        <w:rPr>
          <w:rFonts w:ascii="Segoe UI" w:hAnsi="Segoe UI" w:cs="Segoe UI"/>
          <w:color w:val="666666"/>
          <w:sz w:val="20"/>
          <w:szCs w:val="20"/>
        </w:rPr>
        <w:t>7</w:t>
      </w:r>
      <w:r>
        <w:rPr>
          <w:rFonts w:ascii="Segoe UI" w:hAnsi="Segoe UI" w:cs="Segoe UI"/>
          <w:color w:val="666666"/>
          <w:sz w:val="20"/>
          <w:szCs w:val="20"/>
        </w:rPr>
        <w:t xml:space="preserve">% in constant currency) </w:t>
      </w:r>
      <w:r w:rsidRPr="00EA786C">
        <w:rPr>
          <w:rFonts w:ascii="Segoe UI" w:hAnsi="Segoe UI" w:cs="Segoe UI"/>
          <w:color w:val="666666"/>
          <w:sz w:val="20"/>
          <w:szCs w:val="20"/>
        </w:rPr>
        <w:t>to $</w:t>
      </w:r>
      <w:r w:rsidRPr="008F3A37">
        <w:rPr>
          <w:rFonts w:ascii="Segoe UI" w:hAnsi="Segoe UI" w:cs="Segoe UI"/>
          <w:color w:val="666666"/>
          <w:sz w:val="20"/>
          <w:szCs w:val="20"/>
        </w:rPr>
        <w:t xml:space="preserve">12.8 </w:t>
      </w:r>
      <w:r w:rsidRPr="00EA786C">
        <w:rPr>
          <w:rFonts w:ascii="Segoe UI" w:hAnsi="Segoe UI" w:cs="Segoe UI"/>
          <w:color w:val="666666"/>
          <w:sz w:val="20"/>
          <w:szCs w:val="20"/>
        </w:rPr>
        <w:t>billion, with the following business highlights:</w:t>
      </w:r>
    </w:p>
    <w:p w14:paraId="7D16002F"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Commercial cloud revenue grew </w:t>
      </w:r>
      <w:r w:rsidRPr="008F3A37">
        <w:rPr>
          <w:rFonts w:ascii="Segoe UI" w:hAnsi="Segoe UI" w:cs="Segoe UI"/>
          <w:color w:val="666666"/>
          <w:sz w:val="20"/>
          <w:szCs w:val="20"/>
        </w:rPr>
        <w:t>106</w:t>
      </w:r>
      <w:r w:rsidRPr="00EA786C">
        <w:rPr>
          <w:rFonts w:ascii="Segoe UI" w:hAnsi="Segoe UI" w:cs="Segoe UI"/>
          <w:color w:val="666666"/>
          <w:sz w:val="20"/>
          <w:szCs w:val="20"/>
        </w:rPr>
        <w:t xml:space="preserve">% </w:t>
      </w:r>
      <w:r>
        <w:rPr>
          <w:rFonts w:ascii="Segoe UI" w:hAnsi="Segoe UI" w:cs="Segoe UI"/>
          <w:color w:val="666666"/>
          <w:sz w:val="20"/>
          <w:szCs w:val="20"/>
        </w:rPr>
        <w:t xml:space="preserve">(up 111% in constant currency) </w:t>
      </w:r>
      <w:r w:rsidRPr="00EA786C">
        <w:rPr>
          <w:rFonts w:ascii="Segoe UI" w:hAnsi="Segoe UI" w:cs="Segoe UI"/>
          <w:color w:val="666666"/>
          <w:sz w:val="20"/>
          <w:szCs w:val="20"/>
        </w:rPr>
        <w:t>driven by Office 365, Azure and Dynamics CRM Online, and is now on an annualized revenue run rate of $</w:t>
      </w:r>
      <w:r w:rsidRPr="008F3A37">
        <w:rPr>
          <w:rFonts w:ascii="Segoe UI" w:hAnsi="Segoe UI" w:cs="Segoe UI"/>
          <w:color w:val="666666"/>
          <w:sz w:val="20"/>
          <w:szCs w:val="20"/>
        </w:rPr>
        <w:t>6.</w:t>
      </w:r>
      <w:r>
        <w:rPr>
          <w:rFonts w:ascii="Segoe UI" w:hAnsi="Segoe UI" w:cs="Segoe UI"/>
          <w:color w:val="666666"/>
          <w:sz w:val="20"/>
          <w:szCs w:val="20"/>
        </w:rPr>
        <w:t>3</w:t>
      </w:r>
      <w:r w:rsidRPr="008F3A37">
        <w:rPr>
          <w:rFonts w:ascii="Segoe UI" w:hAnsi="Segoe UI" w:cs="Segoe UI"/>
          <w:color w:val="666666"/>
          <w:sz w:val="20"/>
          <w:szCs w:val="20"/>
        </w:rPr>
        <w:t xml:space="preserve"> </w:t>
      </w:r>
      <w:r w:rsidRPr="00EA786C">
        <w:rPr>
          <w:rFonts w:ascii="Segoe UI" w:hAnsi="Segoe UI" w:cs="Segoe UI"/>
          <w:color w:val="666666"/>
          <w:sz w:val="20"/>
          <w:szCs w:val="20"/>
        </w:rPr>
        <w:t xml:space="preserve">billion </w:t>
      </w:r>
    </w:p>
    <w:p w14:paraId="5011F7F2"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Server products and services revenue grew </w:t>
      </w:r>
      <w:r w:rsidRPr="008F3A37">
        <w:rPr>
          <w:rFonts w:ascii="Segoe UI" w:hAnsi="Segoe UI" w:cs="Segoe UI"/>
          <w:color w:val="666666"/>
          <w:sz w:val="20"/>
          <w:szCs w:val="20"/>
        </w:rPr>
        <w:t>12</w:t>
      </w:r>
      <w:r w:rsidRPr="00EA786C">
        <w:rPr>
          <w:rFonts w:ascii="Segoe UI" w:hAnsi="Segoe UI" w:cs="Segoe UI"/>
          <w:color w:val="666666"/>
          <w:sz w:val="20"/>
          <w:szCs w:val="20"/>
        </w:rPr>
        <w:t>%</w:t>
      </w:r>
      <w:r>
        <w:rPr>
          <w:rFonts w:ascii="Segoe UI" w:hAnsi="Segoe UI" w:cs="Segoe UI"/>
          <w:color w:val="666666"/>
          <w:sz w:val="20"/>
          <w:szCs w:val="20"/>
        </w:rPr>
        <w:t xml:space="preserve"> (up </w:t>
      </w:r>
      <w:r w:rsidRPr="001D2C0C">
        <w:rPr>
          <w:rFonts w:ascii="Segoe UI" w:hAnsi="Segoe UI" w:cs="Segoe UI"/>
          <w:color w:val="666666"/>
          <w:sz w:val="20"/>
          <w:szCs w:val="20"/>
        </w:rPr>
        <w:t>16</w:t>
      </w:r>
      <w:r>
        <w:rPr>
          <w:rFonts w:ascii="Segoe UI" w:hAnsi="Segoe UI" w:cs="Segoe UI"/>
          <w:color w:val="666666"/>
          <w:sz w:val="20"/>
          <w:szCs w:val="20"/>
        </w:rPr>
        <w:t>% in constant currency)</w:t>
      </w:r>
      <w:r w:rsidRPr="00EA786C">
        <w:rPr>
          <w:rFonts w:ascii="Segoe UI" w:hAnsi="Segoe UI" w:cs="Segoe UI"/>
          <w:color w:val="666666"/>
          <w:sz w:val="20"/>
          <w:szCs w:val="20"/>
        </w:rPr>
        <w:t xml:space="preserve">, with </w:t>
      </w:r>
      <w:r w:rsidRPr="00FB178C">
        <w:rPr>
          <w:rFonts w:ascii="Segoe UI" w:hAnsi="Segoe UI" w:cs="Segoe UI"/>
          <w:color w:val="666666"/>
          <w:sz w:val="20"/>
          <w:szCs w:val="20"/>
        </w:rPr>
        <w:t>premium versions</w:t>
      </w:r>
      <w:r w:rsidRPr="00EA786C">
        <w:rPr>
          <w:rFonts w:ascii="Segoe UI" w:hAnsi="Segoe UI" w:cs="Segoe UI"/>
          <w:color w:val="666666"/>
          <w:sz w:val="20"/>
          <w:szCs w:val="20"/>
        </w:rPr>
        <w:t xml:space="preserve"> of </w:t>
      </w:r>
      <w:r w:rsidRPr="00FB178C">
        <w:rPr>
          <w:rFonts w:ascii="Segoe UI" w:hAnsi="Segoe UI" w:cs="Segoe UI"/>
          <w:color w:val="666666"/>
          <w:sz w:val="20"/>
          <w:szCs w:val="20"/>
        </w:rPr>
        <w:t>Windows</w:t>
      </w:r>
      <w:r w:rsidRPr="00EA786C">
        <w:rPr>
          <w:rFonts w:ascii="Segoe UI" w:hAnsi="Segoe UI" w:cs="Segoe UI"/>
          <w:color w:val="666666"/>
          <w:sz w:val="20"/>
          <w:szCs w:val="20"/>
        </w:rPr>
        <w:t xml:space="preserve"> Server</w:t>
      </w:r>
      <w:r w:rsidRPr="00FB178C">
        <w:rPr>
          <w:rFonts w:ascii="Segoe UI" w:hAnsi="Segoe UI" w:cs="Segoe UI"/>
          <w:color w:val="666666"/>
          <w:sz w:val="20"/>
          <w:szCs w:val="20"/>
        </w:rPr>
        <w:t>,</w:t>
      </w:r>
      <w:r w:rsidRPr="00EA786C">
        <w:rPr>
          <w:rFonts w:ascii="Segoe UI" w:hAnsi="Segoe UI" w:cs="Segoe UI"/>
          <w:color w:val="666666"/>
          <w:sz w:val="20"/>
          <w:szCs w:val="20"/>
        </w:rPr>
        <w:t xml:space="preserve"> System Center</w:t>
      </w:r>
      <w:r w:rsidRPr="00FB178C">
        <w:rPr>
          <w:rFonts w:ascii="Segoe UI" w:hAnsi="Segoe UI" w:cs="Segoe UI"/>
          <w:color w:val="666666"/>
          <w:sz w:val="20"/>
          <w:szCs w:val="20"/>
        </w:rPr>
        <w:t xml:space="preserve"> Server and SQL Server together </w:t>
      </w:r>
      <w:r>
        <w:rPr>
          <w:rFonts w:ascii="Segoe UI" w:hAnsi="Segoe UI" w:cs="Segoe UI"/>
          <w:color w:val="666666"/>
          <w:sz w:val="20"/>
          <w:szCs w:val="20"/>
        </w:rPr>
        <w:t xml:space="preserve">growing </w:t>
      </w:r>
      <w:r w:rsidRPr="00FB178C">
        <w:rPr>
          <w:rFonts w:ascii="Segoe UI" w:hAnsi="Segoe UI" w:cs="Segoe UI"/>
          <w:color w:val="666666"/>
          <w:sz w:val="20"/>
          <w:szCs w:val="20"/>
        </w:rPr>
        <w:t>25%</w:t>
      </w:r>
    </w:p>
    <w:p w14:paraId="5C61D5E8"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Office Commercial products and services revenue </w:t>
      </w:r>
      <w:r>
        <w:rPr>
          <w:rFonts w:ascii="Segoe UI" w:hAnsi="Segoe UI" w:cs="Segoe UI"/>
          <w:color w:val="666666"/>
          <w:sz w:val="20"/>
          <w:szCs w:val="20"/>
        </w:rPr>
        <w:t>declined 2</w:t>
      </w:r>
      <w:r w:rsidRPr="00EA786C">
        <w:rPr>
          <w:rFonts w:ascii="Segoe UI" w:hAnsi="Segoe UI" w:cs="Segoe UI"/>
          <w:color w:val="666666"/>
          <w:sz w:val="20"/>
          <w:szCs w:val="20"/>
        </w:rPr>
        <w:t>%</w:t>
      </w:r>
      <w:r>
        <w:rPr>
          <w:rFonts w:ascii="Segoe UI" w:hAnsi="Segoe UI" w:cs="Segoe UI"/>
          <w:color w:val="666666"/>
          <w:sz w:val="20"/>
          <w:szCs w:val="20"/>
        </w:rPr>
        <w:t xml:space="preserve"> (up </w:t>
      </w:r>
      <w:r w:rsidRPr="001D2C0C">
        <w:rPr>
          <w:rFonts w:ascii="Segoe UI" w:hAnsi="Segoe UI" w:cs="Segoe UI"/>
          <w:color w:val="666666"/>
          <w:sz w:val="20"/>
          <w:szCs w:val="20"/>
        </w:rPr>
        <w:t>1</w:t>
      </w:r>
      <w:r>
        <w:rPr>
          <w:rFonts w:ascii="Segoe UI" w:hAnsi="Segoe UI" w:cs="Segoe UI"/>
          <w:color w:val="666666"/>
          <w:sz w:val="20"/>
          <w:szCs w:val="20"/>
        </w:rPr>
        <w:t>% in constant currency)</w:t>
      </w:r>
      <w:r w:rsidRPr="00EA786C">
        <w:rPr>
          <w:rFonts w:ascii="Segoe UI" w:hAnsi="Segoe UI" w:cs="Segoe UI"/>
          <w:color w:val="666666"/>
          <w:sz w:val="20"/>
          <w:szCs w:val="20"/>
        </w:rPr>
        <w:t xml:space="preserve">; transactional revenue was impacted by the continued transition to Office 365 and declines in </w:t>
      </w:r>
      <w:r>
        <w:rPr>
          <w:rFonts w:ascii="Segoe UI" w:hAnsi="Segoe UI" w:cs="Segoe UI"/>
          <w:color w:val="666666"/>
          <w:sz w:val="20"/>
          <w:szCs w:val="20"/>
        </w:rPr>
        <w:t>business</w:t>
      </w:r>
      <w:r w:rsidRPr="00EA786C">
        <w:rPr>
          <w:rFonts w:ascii="Segoe UI" w:hAnsi="Segoe UI" w:cs="Segoe UI"/>
          <w:color w:val="666666"/>
          <w:sz w:val="20"/>
          <w:szCs w:val="20"/>
        </w:rPr>
        <w:t xml:space="preserve"> PC</w:t>
      </w:r>
      <w:r>
        <w:rPr>
          <w:rFonts w:ascii="Segoe UI" w:hAnsi="Segoe UI" w:cs="Segoe UI"/>
          <w:color w:val="666666"/>
          <w:sz w:val="20"/>
          <w:szCs w:val="20"/>
        </w:rPr>
        <w:t xml:space="preserve"> sales</w:t>
      </w:r>
      <w:r w:rsidRPr="00EA786C">
        <w:rPr>
          <w:rFonts w:ascii="Segoe UI" w:hAnsi="Segoe UI" w:cs="Segoe UI"/>
          <w:color w:val="666666"/>
          <w:sz w:val="20"/>
          <w:szCs w:val="20"/>
        </w:rPr>
        <w:t xml:space="preserve"> following the XP refresh cycle</w:t>
      </w:r>
    </w:p>
    <w:p w14:paraId="3057FAB3" w14:textId="77777777" w:rsidR="005F1E87" w:rsidRPr="00EA786C" w:rsidRDefault="005F1E87" w:rsidP="005F1E87">
      <w:pPr>
        <w:pStyle w:val="ListParagraph"/>
        <w:numPr>
          <w:ilvl w:val="0"/>
          <w:numId w:val="2"/>
        </w:numPr>
        <w:spacing w:line="280" w:lineRule="exact"/>
        <w:rPr>
          <w:rFonts w:ascii="Segoe UI" w:hAnsi="Segoe UI" w:cs="Segoe UI"/>
          <w:color w:val="666666"/>
          <w:sz w:val="20"/>
          <w:szCs w:val="20"/>
        </w:rPr>
      </w:pPr>
      <w:r w:rsidRPr="00884195">
        <w:rPr>
          <w:rFonts w:ascii="Segoe UI" w:hAnsi="Segoe UI" w:cs="Segoe UI"/>
          <w:color w:val="666666"/>
          <w:sz w:val="20"/>
          <w:szCs w:val="20"/>
        </w:rPr>
        <w:t xml:space="preserve">Windows volume licensing revenue declined </w:t>
      </w:r>
      <w:r w:rsidRPr="00FB178C">
        <w:rPr>
          <w:rFonts w:ascii="Segoe UI" w:hAnsi="Segoe UI" w:cs="Segoe UI"/>
          <w:color w:val="666666"/>
          <w:sz w:val="20"/>
          <w:szCs w:val="20"/>
        </w:rPr>
        <w:t xml:space="preserve">2% (up 1% </w:t>
      </w:r>
      <w:r>
        <w:rPr>
          <w:rFonts w:ascii="Segoe UI" w:hAnsi="Segoe UI" w:cs="Segoe UI"/>
          <w:color w:val="666666"/>
          <w:sz w:val="20"/>
          <w:szCs w:val="20"/>
        </w:rPr>
        <w:t>in constant currency</w:t>
      </w:r>
      <w:r w:rsidRPr="00FB178C">
        <w:rPr>
          <w:rFonts w:ascii="Segoe UI" w:hAnsi="Segoe UI" w:cs="Segoe UI"/>
          <w:color w:val="666666"/>
          <w:sz w:val="20"/>
          <w:szCs w:val="20"/>
        </w:rPr>
        <w:t>)</w:t>
      </w:r>
      <w:r w:rsidRPr="00884195">
        <w:rPr>
          <w:rFonts w:ascii="Segoe UI" w:hAnsi="Segoe UI" w:cs="Segoe UI"/>
          <w:color w:val="666666"/>
          <w:sz w:val="20"/>
          <w:szCs w:val="20"/>
        </w:rPr>
        <w:t>, with transactional revenue declining following the XP refresh cycle partially offset by annuity revenue growth</w:t>
      </w:r>
    </w:p>
    <w:p w14:paraId="3A398191" w14:textId="77777777" w:rsidR="005F1E87" w:rsidRDefault="005F1E87" w:rsidP="005F1E87">
      <w:pPr>
        <w:pStyle w:val="ListParagraph"/>
        <w:spacing w:before="240" w:line="280" w:lineRule="exact"/>
        <w:ind w:left="0"/>
        <w:rPr>
          <w:rFonts w:ascii="Segoe UI" w:hAnsi="Segoe UI" w:cs="Segoe UI"/>
          <w:color w:val="666666"/>
          <w:sz w:val="20"/>
          <w:szCs w:val="20"/>
        </w:rPr>
      </w:pPr>
      <w:bookmarkStart w:id="0" w:name="_MailEndCompose"/>
      <w:bookmarkEnd w:id="0"/>
    </w:p>
    <w:p w14:paraId="4B2C57AA" w14:textId="77777777" w:rsidR="005F1E87" w:rsidRDefault="005F1E87" w:rsidP="005F1E87">
      <w:pPr>
        <w:pStyle w:val="ListParagraph"/>
        <w:spacing w:before="240" w:line="280" w:lineRule="exact"/>
        <w:ind w:left="0"/>
        <w:rPr>
          <w:rFonts w:ascii="Segoe UI" w:eastAsia="Segoe UI" w:hAnsi="Segoe UI" w:cs="Segoe UI"/>
          <w:color w:val="666666"/>
          <w:sz w:val="20"/>
          <w:szCs w:val="20"/>
        </w:rPr>
      </w:pPr>
      <w:r>
        <w:rPr>
          <w:rFonts w:ascii="Segoe UI" w:hAnsi="Segoe UI" w:cs="Segoe UI"/>
          <w:color w:val="666666"/>
          <w:sz w:val="20"/>
          <w:szCs w:val="20"/>
        </w:rPr>
        <w:t xml:space="preserve">“We remain focused on strong execution from our sales teams. Around the world we're seeing high interest in deployment of our cloud and server products, as well as participation in the enterprise early adopter program for Windows 10,” </w:t>
      </w:r>
      <w:r>
        <w:rPr>
          <w:rFonts w:ascii="Segoe UI" w:eastAsia="Segoe UI" w:hAnsi="Segoe UI" w:cs="Segoe UI"/>
          <w:color w:val="666666"/>
          <w:sz w:val="20"/>
          <w:szCs w:val="20"/>
        </w:rPr>
        <w:t xml:space="preserve">said Kevin Turner, chief operating officer at Microsoft. </w:t>
      </w:r>
    </w:p>
    <w:p w14:paraId="7F2BF33D" w14:textId="77777777" w:rsidR="005F1E87" w:rsidRPr="0080771D" w:rsidRDefault="005F1E87" w:rsidP="005F1E87">
      <w:pPr>
        <w:spacing w:line="280" w:lineRule="exact"/>
        <w:rPr>
          <w:rFonts w:ascii="Segoe UI" w:hAnsi="Segoe UI" w:cs="Segoe UI"/>
          <w:b/>
          <w:color w:val="666666"/>
          <w:sz w:val="20"/>
          <w:szCs w:val="20"/>
        </w:rPr>
      </w:pPr>
      <w:r w:rsidRPr="0080771D">
        <w:rPr>
          <w:rFonts w:ascii="Segoe UI" w:hAnsi="Segoe UI" w:cs="Segoe UI"/>
          <w:b/>
          <w:color w:val="666666"/>
          <w:sz w:val="20"/>
          <w:szCs w:val="20"/>
        </w:rPr>
        <w:t>Business Outlook</w:t>
      </w:r>
    </w:p>
    <w:p w14:paraId="541F6D3C" w14:textId="77777777" w:rsidR="005F1E87" w:rsidRPr="00EA786C" w:rsidRDefault="005F1E87" w:rsidP="005F1E87">
      <w:pPr>
        <w:spacing w:line="280" w:lineRule="exact"/>
        <w:rPr>
          <w:rFonts w:ascii="Segoe UI" w:hAnsi="Segoe UI" w:cs="Segoe UI"/>
          <w:color w:val="666666"/>
          <w:sz w:val="20"/>
          <w:szCs w:val="20"/>
        </w:rPr>
      </w:pPr>
      <w:r w:rsidRPr="00EA786C">
        <w:rPr>
          <w:rFonts w:ascii="Segoe UI" w:hAnsi="Segoe UI" w:cs="Segoe UI"/>
          <w:color w:val="666666"/>
          <w:sz w:val="20"/>
          <w:szCs w:val="20"/>
        </w:rPr>
        <w:lastRenderedPageBreak/>
        <w:t>Microsoft will provide forward-looking guidance in connection with this quarterly earnings announcement on its earnings conference call and webcast.</w:t>
      </w:r>
    </w:p>
    <w:p w14:paraId="54AE7D39" w14:textId="77777777" w:rsidR="005F1E87" w:rsidRPr="0080771D" w:rsidRDefault="005F1E87" w:rsidP="005F1E87">
      <w:pPr>
        <w:spacing w:line="280" w:lineRule="exact"/>
        <w:rPr>
          <w:rFonts w:ascii="Segoe UI" w:hAnsi="Segoe UI" w:cs="Segoe UI"/>
          <w:b/>
          <w:color w:val="666666"/>
          <w:sz w:val="20"/>
          <w:szCs w:val="20"/>
        </w:rPr>
      </w:pPr>
      <w:bookmarkStart w:id="1" w:name="RANGE!A1:D14"/>
      <w:bookmarkEnd w:id="1"/>
      <w:r w:rsidRPr="0080771D">
        <w:rPr>
          <w:rFonts w:ascii="Segoe UI" w:hAnsi="Segoe UI" w:cs="Segoe UI"/>
          <w:b/>
          <w:color w:val="666666"/>
          <w:sz w:val="20"/>
          <w:szCs w:val="20"/>
        </w:rPr>
        <w:t>Webcast Details</w:t>
      </w:r>
    </w:p>
    <w:p w14:paraId="4506D929" w14:textId="77777777" w:rsidR="005F1E87" w:rsidRPr="00EA786C" w:rsidRDefault="005F1E87" w:rsidP="005F1E87">
      <w:pPr>
        <w:spacing w:line="280" w:lineRule="exact"/>
        <w:rPr>
          <w:rFonts w:ascii="Segoe UI" w:hAnsi="Segoe UI" w:cs="Segoe UI"/>
          <w:color w:val="666666"/>
          <w:sz w:val="20"/>
          <w:szCs w:val="20"/>
        </w:rPr>
      </w:pPr>
      <w:r w:rsidRPr="00EA786C">
        <w:rPr>
          <w:rFonts w:ascii="Segoe UI" w:hAnsi="Segoe UI" w:cs="Segoe UI"/>
          <w:color w:val="666666"/>
          <w:sz w:val="20"/>
          <w:szCs w:val="20"/>
        </w:rPr>
        <w:t>Satya Nadella, chief executive officer, Amy Hood, executive vice president and chief financial officer, Frank Brod, chief accounting officer, John Seethoff, deputy general counsel, and Chris Suh, general manager of Investor Relations, will host a conference call and webcast at 2:30 p.m. P</w:t>
      </w:r>
      <w:r>
        <w:rPr>
          <w:rFonts w:ascii="Segoe UI" w:hAnsi="Segoe UI" w:cs="Segoe UI"/>
          <w:color w:val="666666"/>
          <w:sz w:val="20"/>
          <w:szCs w:val="20"/>
        </w:rPr>
        <w:t>D</w:t>
      </w:r>
      <w:r w:rsidRPr="00EA786C">
        <w:rPr>
          <w:rFonts w:ascii="Segoe UI" w:hAnsi="Segoe UI" w:cs="Segoe UI"/>
          <w:color w:val="666666"/>
          <w:sz w:val="20"/>
          <w:szCs w:val="20"/>
        </w:rPr>
        <w:t>T (5:30 p.m. E</w:t>
      </w:r>
      <w:r>
        <w:rPr>
          <w:rFonts w:ascii="Segoe UI" w:hAnsi="Segoe UI" w:cs="Segoe UI"/>
          <w:color w:val="666666"/>
          <w:sz w:val="20"/>
          <w:szCs w:val="20"/>
        </w:rPr>
        <w:t>D</w:t>
      </w:r>
      <w:r w:rsidRPr="00EA786C">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10" w:tgtFrame="_blank" w:history="1">
        <w:r w:rsidRPr="00EA786C">
          <w:rPr>
            <w:color w:val="666666"/>
          </w:rPr>
          <w:t>http://www.microsoft.com/investor</w:t>
        </w:r>
      </w:hyperlink>
      <w:r w:rsidRPr="00EA786C">
        <w:rPr>
          <w:rFonts w:ascii="Segoe UI" w:hAnsi="Segoe UI" w:cs="Segoe UI"/>
          <w:color w:val="666666"/>
          <w:sz w:val="20"/>
          <w:szCs w:val="20"/>
        </w:rPr>
        <w:t>. The webcast will be available for replay through the close of business on April 23, 2016.</w:t>
      </w:r>
    </w:p>
    <w:p w14:paraId="32C5D17D" w14:textId="77777777" w:rsidR="005F1E87" w:rsidRPr="0080771D" w:rsidRDefault="005F1E87" w:rsidP="005F1E87">
      <w:pPr>
        <w:spacing w:line="280" w:lineRule="exact"/>
        <w:rPr>
          <w:rFonts w:ascii="Segoe UI" w:hAnsi="Segoe UI" w:cs="Segoe UI"/>
          <w:b/>
          <w:color w:val="666666"/>
          <w:sz w:val="20"/>
          <w:szCs w:val="20"/>
        </w:rPr>
      </w:pPr>
      <w:r w:rsidRPr="0080771D">
        <w:rPr>
          <w:rFonts w:ascii="Segoe UI" w:hAnsi="Segoe UI" w:cs="Segoe UI"/>
          <w:b/>
          <w:color w:val="666666"/>
          <w:sz w:val="20"/>
          <w:szCs w:val="20"/>
        </w:rPr>
        <w:t>Constant Currency</w:t>
      </w:r>
    </w:p>
    <w:p w14:paraId="6A0268D9" w14:textId="77777777" w:rsidR="005F1E87" w:rsidRPr="00EA786C" w:rsidRDefault="005F1E87" w:rsidP="005F1E87">
      <w:pPr>
        <w:spacing w:line="280" w:lineRule="exact"/>
        <w:rPr>
          <w:rFonts w:ascii="Segoe UI" w:hAnsi="Segoe UI" w:cs="Segoe UI"/>
          <w:color w:val="666666"/>
          <w:sz w:val="20"/>
          <w:szCs w:val="20"/>
        </w:rPr>
      </w:pPr>
      <w:r w:rsidRPr="00EA786C">
        <w:rPr>
          <w:rFonts w:ascii="Segoe UI" w:hAnsi="Segoe UI" w:cs="Segoe UI"/>
          <w:color w:val="666666"/>
          <w:sz w:val="20"/>
          <w:szCs w:val="20"/>
        </w:rPr>
        <w:t>We present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w:t>
      </w:r>
      <w:r>
        <w:rPr>
          <w:rFonts w:ascii="Segoe UI" w:hAnsi="Segoe UI" w:cs="Segoe UI"/>
          <w:color w:val="666666"/>
          <w:sz w:val="20"/>
          <w:szCs w:val="20"/>
        </w:rPr>
        <w:t xml:space="preserve">  </w:t>
      </w:r>
      <w:r w:rsidRPr="00245F37">
        <w:rPr>
          <w:rFonts w:ascii="Segoe UI" w:hAnsi="Segoe UI" w:cs="Segoe UI"/>
          <w:color w:val="666666"/>
          <w:sz w:val="20"/>
          <w:szCs w:val="20"/>
        </w:rPr>
        <w:t>The non-GAAP financial measures presented below should not be considered as a substitute for, or superior to, the measures of financial performance prepared in accordance with GAAP. All growth comparisons relate to the corresponding period in the last fiscal year.</w:t>
      </w:r>
    </w:p>
    <w:p w14:paraId="797D2EC3" w14:textId="77777777" w:rsidR="005F1E87" w:rsidRPr="006F2DF8" w:rsidRDefault="005F1E87" w:rsidP="005F1E87">
      <w:pPr>
        <w:spacing w:line="280" w:lineRule="exact"/>
        <w:rPr>
          <w:rFonts w:ascii="Segoe UI" w:hAnsi="Segoe UI" w:cs="Segoe UI"/>
          <w:b/>
          <w:color w:val="666666"/>
          <w:sz w:val="20"/>
          <w:szCs w:val="20"/>
        </w:rPr>
      </w:pPr>
      <w:r>
        <w:rPr>
          <w:rFonts w:ascii="Segoe UI" w:hAnsi="Segoe UI" w:cs="Segoe UI"/>
          <w:color w:val="666666"/>
          <w:sz w:val="20"/>
          <w:szCs w:val="20"/>
        </w:rPr>
        <w:tab/>
      </w:r>
      <w:r w:rsidRPr="0080771D">
        <w:rPr>
          <w:rFonts w:ascii="Segoe UI" w:hAnsi="Segoe UI" w:cs="Segoe UI"/>
          <w:b/>
          <w:color w:val="666666"/>
          <w:sz w:val="20"/>
          <w:szCs w:val="20"/>
        </w:rPr>
        <w:t>Financial Performance Constant Currency Reconciliation</w:t>
      </w:r>
    </w:p>
    <w:tbl>
      <w:tblPr>
        <w:tblW w:w="7920" w:type="dxa"/>
        <w:tblLook w:val="04A0" w:firstRow="1" w:lastRow="0" w:firstColumn="1" w:lastColumn="0" w:noHBand="0" w:noVBand="1"/>
      </w:tblPr>
      <w:tblGrid>
        <w:gridCol w:w="3321"/>
        <w:gridCol w:w="949"/>
        <w:gridCol w:w="949"/>
        <w:gridCol w:w="929"/>
        <w:gridCol w:w="843"/>
        <w:gridCol w:w="929"/>
      </w:tblGrid>
      <w:tr w:rsidR="005F1E87" w:rsidRPr="00CD4005" w14:paraId="4FD0F299" w14:textId="77777777" w:rsidTr="00571F01">
        <w:trPr>
          <w:trHeight w:val="340"/>
        </w:trPr>
        <w:tc>
          <w:tcPr>
            <w:tcW w:w="3320" w:type="dxa"/>
            <w:tcBorders>
              <w:top w:val="nil"/>
              <w:left w:val="nil"/>
              <w:bottom w:val="single" w:sz="8" w:space="0" w:color="auto"/>
              <w:right w:val="nil"/>
            </w:tcBorders>
            <w:vAlign w:val="center"/>
          </w:tcPr>
          <w:p w14:paraId="5277D830" w14:textId="77777777" w:rsidR="005F1E87" w:rsidRPr="00CD4005" w:rsidRDefault="005F1E87" w:rsidP="00571F01">
            <w:pPr>
              <w:spacing w:after="0" w:line="240" w:lineRule="auto"/>
              <w:rPr>
                <w:rFonts w:ascii="Segoe UI" w:eastAsia="Times New Roman" w:hAnsi="Segoe UI" w:cs="Segoe UI"/>
                <w:color w:val="666666"/>
                <w:sz w:val="16"/>
                <w:szCs w:val="16"/>
              </w:rPr>
            </w:pPr>
          </w:p>
        </w:tc>
        <w:tc>
          <w:tcPr>
            <w:tcW w:w="5200" w:type="dxa"/>
            <w:gridSpan w:val="5"/>
            <w:tcBorders>
              <w:top w:val="nil"/>
              <w:left w:val="nil"/>
              <w:bottom w:val="single" w:sz="8" w:space="0" w:color="auto"/>
              <w:right w:val="nil"/>
            </w:tcBorders>
          </w:tcPr>
          <w:p w14:paraId="5AAD9243"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 31</w:t>
            </w:r>
            <w:r w:rsidRPr="00CD4005">
              <w:rPr>
                <w:rFonts w:ascii="Segoe UI" w:eastAsia="Times New Roman" w:hAnsi="Segoe UI" w:cs="Segoe UI"/>
                <w:b/>
                <w:bCs/>
                <w:color w:val="666666"/>
                <w:sz w:val="16"/>
                <w:szCs w:val="16"/>
              </w:rPr>
              <w:t>,</w:t>
            </w:r>
          </w:p>
        </w:tc>
      </w:tr>
      <w:tr w:rsidR="005F1E87" w:rsidRPr="00CD4005" w14:paraId="2130C3A5" w14:textId="77777777" w:rsidTr="00571F01">
        <w:trPr>
          <w:trHeight w:val="468"/>
        </w:trPr>
        <w:tc>
          <w:tcPr>
            <w:tcW w:w="3320" w:type="dxa"/>
            <w:tcBorders>
              <w:top w:val="nil"/>
              <w:left w:val="nil"/>
              <w:bottom w:val="single" w:sz="8" w:space="0" w:color="auto"/>
              <w:right w:val="nil"/>
            </w:tcBorders>
            <w:vAlign w:val="center"/>
            <w:hideMark/>
          </w:tcPr>
          <w:p w14:paraId="1DF7C4C1" w14:textId="77777777" w:rsidR="005F1E87" w:rsidRPr="00CD4005" w:rsidRDefault="005F1E87" w:rsidP="00571F01">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millions, except per share amounts)</w:t>
            </w:r>
          </w:p>
        </w:tc>
        <w:tc>
          <w:tcPr>
            <w:tcW w:w="1040" w:type="dxa"/>
            <w:tcBorders>
              <w:top w:val="nil"/>
              <w:left w:val="nil"/>
              <w:bottom w:val="single" w:sz="8" w:space="0" w:color="auto"/>
              <w:right w:val="nil"/>
            </w:tcBorders>
            <w:vAlign w:val="center"/>
          </w:tcPr>
          <w:p w14:paraId="4543EC8A"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4</w:t>
            </w:r>
            <w:r w:rsidRPr="00CD4005">
              <w:rPr>
                <w:rFonts w:ascii="Segoe UI" w:eastAsia="Times New Roman" w:hAnsi="Segoe UI" w:cs="Segoe UI"/>
                <w:b/>
                <w:bCs/>
                <w:color w:val="666666"/>
                <w:sz w:val="16"/>
                <w:szCs w:val="16"/>
              </w:rPr>
              <w:t xml:space="preserve"> As Reported (GAAP)</w:t>
            </w:r>
          </w:p>
        </w:tc>
        <w:tc>
          <w:tcPr>
            <w:tcW w:w="1040" w:type="dxa"/>
            <w:tcBorders>
              <w:top w:val="nil"/>
              <w:left w:val="nil"/>
              <w:bottom w:val="single" w:sz="8" w:space="0" w:color="auto"/>
              <w:right w:val="nil"/>
            </w:tcBorders>
            <w:vAlign w:val="center"/>
          </w:tcPr>
          <w:p w14:paraId="59D64E76"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5</w:t>
            </w:r>
            <w:r w:rsidRPr="00CD4005">
              <w:rPr>
                <w:rFonts w:ascii="Segoe UI" w:eastAsia="Times New Roman" w:hAnsi="Segoe UI" w:cs="Segoe UI"/>
                <w:b/>
                <w:bCs/>
                <w:color w:val="666666"/>
                <w:sz w:val="16"/>
                <w:szCs w:val="16"/>
              </w:rPr>
              <w:t xml:space="preserve"> As Reported (GAAP)</w:t>
            </w:r>
          </w:p>
        </w:tc>
        <w:tc>
          <w:tcPr>
            <w:tcW w:w="1040" w:type="dxa"/>
            <w:tcBorders>
              <w:top w:val="nil"/>
              <w:left w:val="nil"/>
              <w:bottom w:val="single" w:sz="8" w:space="0" w:color="auto"/>
              <w:right w:val="nil"/>
            </w:tcBorders>
            <w:vAlign w:val="center"/>
          </w:tcPr>
          <w:p w14:paraId="0D8CE707"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Constant Currency Impact</w:t>
            </w:r>
          </w:p>
        </w:tc>
        <w:tc>
          <w:tcPr>
            <w:tcW w:w="1040" w:type="dxa"/>
            <w:tcBorders>
              <w:top w:val="nil"/>
              <w:left w:val="nil"/>
              <w:bottom w:val="single" w:sz="8" w:space="0" w:color="auto"/>
              <w:right w:val="nil"/>
            </w:tcBorders>
            <w:vAlign w:val="center"/>
          </w:tcPr>
          <w:p w14:paraId="7187A911"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%Y/Y (GAAP)</w:t>
            </w:r>
          </w:p>
        </w:tc>
        <w:tc>
          <w:tcPr>
            <w:tcW w:w="1040" w:type="dxa"/>
            <w:tcBorders>
              <w:top w:val="nil"/>
              <w:left w:val="nil"/>
              <w:bottom w:val="single" w:sz="8" w:space="0" w:color="auto"/>
              <w:right w:val="nil"/>
            </w:tcBorders>
            <w:vAlign w:val="center"/>
          </w:tcPr>
          <w:p w14:paraId="7C6DF3D9"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Y/Y Constant Currency</w:t>
            </w:r>
          </w:p>
        </w:tc>
      </w:tr>
      <w:tr w:rsidR="005F1E87" w:rsidRPr="00305CCE" w14:paraId="3BA0C9E9" w14:textId="77777777" w:rsidTr="00571F01">
        <w:trPr>
          <w:trHeight w:val="288"/>
        </w:trPr>
        <w:tc>
          <w:tcPr>
            <w:tcW w:w="3320" w:type="dxa"/>
            <w:tcBorders>
              <w:top w:val="nil"/>
              <w:left w:val="nil"/>
              <w:bottom w:val="single" w:sz="4" w:space="0" w:color="auto"/>
              <w:right w:val="nil"/>
            </w:tcBorders>
            <w:noWrap/>
            <w:vAlign w:val="center"/>
          </w:tcPr>
          <w:p w14:paraId="66CE5580" w14:textId="77777777" w:rsidR="005F1E87"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lastRenderedPageBreak/>
              <w:t>Revenue</w:t>
            </w:r>
          </w:p>
        </w:tc>
        <w:tc>
          <w:tcPr>
            <w:tcW w:w="1040" w:type="dxa"/>
            <w:tcBorders>
              <w:top w:val="nil"/>
              <w:left w:val="nil"/>
              <w:bottom w:val="single" w:sz="4" w:space="0" w:color="auto"/>
              <w:right w:val="nil"/>
            </w:tcBorders>
            <w:vAlign w:val="center"/>
          </w:tcPr>
          <w:p w14:paraId="14B2F10F"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$20,403</w:t>
            </w:r>
          </w:p>
        </w:tc>
        <w:tc>
          <w:tcPr>
            <w:tcW w:w="1040" w:type="dxa"/>
            <w:tcBorders>
              <w:top w:val="nil"/>
              <w:left w:val="nil"/>
              <w:bottom w:val="single" w:sz="4" w:space="0" w:color="auto"/>
              <w:right w:val="nil"/>
            </w:tcBorders>
            <w:vAlign w:val="center"/>
          </w:tcPr>
          <w:p w14:paraId="2FD692F5"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$21,729</w:t>
            </w:r>
          </w:p>
        </w:tc>
        <w:tc>
          <w:tcPr>
            <w:tcW w:w="1040" w:type="dxa"/>
            <w:tcBorders>
              <w:top w:val="nil"/>
              <w:left w:val="nil"/>
              <w:bottom w:val="single" w:sz="4" w:space="0" w:color="auto"/>
              <w:right w:val="nil"/>
            </w:tcBorders>
            <w:vAlign w:val="center"/>
          </w:tcPr>
          <w:p w14:paraId="55D097EB"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$(534)</w:t>
            </w:r>
          </w:p>
        </w:tc>
        <w:tc>
          <w:tcPr>
            <w:tcW w:w="1040" w:type="dxa"/>
            <w:tcBorders>
              <w:top w:val="nil"/>
              <w:left w:val="nil"/>
              <w:bottom w:val="single" w:sz="4" w:space="0" w:color="auto"/>
              <w:right w:val="nil"/>
            </w:tcBorders>
            <w:vAlign w:val="center"/>
          </w:tcPr>
          <w:p w14:paraId="3E61072F" w14:textId="77777777" w:rsidR="005F1E87" w:rsidRDefault="005F1E87" w:rsidP="00571F01">
            <w:pPr>
              <w:spacing w:after="0" w:line="240" w:lineRule="auto"/>
              <w:jc w:val="right"/>
              <w:rPr>
                <w:rFonts w:ascii="Segoe UI" w:eastAsia="Times New Roman" w:hAnsi="Segoe UI" w:cs="Segoe UI"/>
                <w:b/>
                <w:bCs/>
                <w:color w:val="666666"/>
                <w:sz w:val="16"/>
                <w:szCs w:val="16"/>
              </w:rPr>
            </w:pPr>
            <w:r w:rsidRPr="00305CCE">
              <w:rPr>
                <w:rFonts w:ascii="Segoe UI" w:eastAsia="Times New Roman" w:hAnsi="Segoe UI" w:cs="Segoe UI"/>
                <w:b/>
                <w:bCs/>
                <w:color w:val="595959" w:themeColor="text1" w:themeTint="A6"/>
                <w:sz w:val="16"/>
                <w:szCs w:val="16"/>
              </w:rPr>
              <w:t>6%</w:t>
            </w:r>
          </w:p>
        </w:tc>
        <w:tc>
          <w:tcPr>
            <w:tcW w:w="1040" w:type="dxa"/>
            <w:tcBorders>
              <w:top w:val="nil"/>
              <w:left w:val="nil"/>
              <w:bottom w:val="single" w:sz="4" w:space="0" w:color="auto"/>
              <w:right w:val="nil"/>
            </w:tcBorders>
            <w:vAlign w:val="center"/>
          </w:tcPr>
          <w:p w14:paraId="2B5D76BC"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9%</w:t>
            </w:r>
          </w:p>
        </w:tc>
      </w:tr>
      <w:tr w:rsidR="005F1E87" w:rsidRPr="00305CCE" w14:paraId="719B4630" w14:textId="77777777" w:rsidTr="00571F01">
        <w:trPr>
          <w:trHeight w:val="288"/>
        </w:trPr>
        <w:tc>
          <w:tcPr>
            <w:tcW w:w="3320" w:type="dxa"/>
            <w:tcBorders>
              <w:top w:val="nil"/>
              <w:left w:val="nil"/>
              <w:bottom w:val="single" w:sz="4" w:space="0" w:color="auto"/>
              <w:right w:val="nil"/>
            </w:tcBorders>
            <w:noWrap/>
            <w:vAlign w:val="center"/>
          </w:tcPr>
          <w:p w14:paraId="226ED1A7" w14:textId="77777777" w:rsidR="005F1E87"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Gross Margin</w:t>
            </w:r>
          </w:p>
        </w:tc>
        <w:tc>
          <w:tcPr>
            <w:tcW w:w="1040" w:type="dxa"/>
            <w:tcBorders>
              <w:top w:val="nil"/>
              <w:left w:val="nil"/>
              <w:bottom w:val="single" w:sz="4" w:space="0" w:color="auto"/>
              <w:right w:val="nil"/>
            </w:tcBorders>
            <w:vAlign w:val="center"/>
          </w:tcPr>
          <w:p w14:paraId="106DBDA0"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$14,425</w:t>
            </w:r>
          </w:p>
        </w:tc>
        <w:tc>
          <w:tcPr>
            <w:tcW w:w="1040" w:type="dxa"/>
            <w:tcBorders>
              <w:top w:val="nil"/>
              <w:left w:val="nil"/>
              <w:bottom w:val="single" w:sz="4" w:space="0" w:color="auto"/>
              <w:right w:val="nil"/>
            </w:tcBorders>
            <w:vAlign w:val="center"/>
          </w:tcPr>
          <w:p w14:paraId="5D106150"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$14,568</w:t>
            </w:r>
          </w:p>
        </w:tc>
        <w:tc>
          <w:tcPr>
            <w:tcW w:w="1040" w:type="dxa"/>
            <w:tcBorders>
              <w:top w:val="nil"/>
              <w:left w:val="nil"/>
              <w:bottom w:val="single" w:sz="4" w:space="0" w:color="auto"/>
              <w:right w:val="nil"/>
            </w:tcBorders>
            <w:vAlign w:val="center"/>
          </w:tcPr>
          <w:p w14:paraId="5872311F"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$(396)</w:t>
            </w:r>
          </w:p>
        </w:tc>
        <w:tc>
          <w:tcPr>
            <w:tcW w:w="1040" w:type="dxa"/>
            <w:tcBorders>
              <w:top w:val="nil"/>
              <w:left w:val="nil"/>
              <w:bottom w:val="single" w:sz="4" w:space="0" w:color="auto"/>
              <w:right w:val="nil"/>
            </w:tcBorders>
            <w:vAlign w:val="center"/>
          </w:tcPr>
          <w:p w14:paraId="2FD36427"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1%</w:t>
            </w:r>
          </w:p>
        </w:tc>
        <w:tc>
          <w:tcPr>
            <w:tcW w:w="1040" w:type="dxa"/>
            <w:tcBorders>
              <w:top w:val="nil"/>
              <w:left w:val="nil"/>
              <w:bottom w:val="single" w:sz="4" w:space="0" w:color="auto"/>
              <w:right w:val="nil"/>
            </w:tcBorders>
            <w:vAlign w:val="center"/>
          </w:tcPr>
          <w:p w14:paraId="5BB6099A"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4%</w:t>
            </w:r>
          </w:p>
        </w:tc>
      </w:tr>
      <w:tr w:rsidR="005F1E87" w:rsidRPr="00305CCE" w14:paraId="574D2658" w14:textId="77777777" w:rsidTr="00571F01">
        <w:trPr>
          <w:trHeight w:val="288"/>
        </w:trPr>
        <w:tc>
          <w:tcPr>
            <w:tcW w:w="3320" w:type="dxa"/>
            <w:tcBorders>
              <w:top w:val="nil"/>
              <w:left w:val="nil"/>
              <w:bottom w:val="single" w:sz="4" w:space="0" w:color="auto"/>
              <w:right w:val="nil"/>
            </w:tcBorders>
            <w:noWrap/>
            <w:vAlign w:val="center"/>
          </w:tcPr>
          <w:p w14:paraId="6CE09932" w14:textId="77777777" w:rsidR="005F1E87" w:rsidRPr="00CD4005"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Operating Income</w:t>
            </w:r>
          </w:p>
        </w:tc>
        <w:tc>
          <w:tcPr>
            <w:tcW w:w="1040" w:type="dxa"/>
            <w:tcBorders>
              <w:top w:val="nil"/>
              <w:left w:val="nil"/>
              <w:bottom w:val="single" w:sz="4" w:space="0" w:color="auto"/>
              <w:right w:val="nil"/>
            </w:tcBorders>
            <w:vAlign w:val="center"/>
          </w:tcPr>
          <w:p w14:paraId="7F61F372"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$6,974</w:t>
            </w:r>
          </w:p>
        </w:tc>
        <w:tc>
          <w:tcPr>
            <w:tcW w:w="1040" w:type="dxa"/>
            <w:tcBorders>
              <w:top w:val="nil"/>
              <w:left w:val="nil"/>
              <w:bottom w:val="single" w:sz="4" w:space="0" w:color="auto"/>
              <w:right w:val="nil"/>
            </w:tcBorders>
            <w:vAlign w:val="center"/>
          </w:tcPr>
          <w:p w14:paraId="6BC545FC"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$6</w:t>
            </w:r>
            <w:r>
              <w:rPr>
                <w:rFonts w:ascii="Segoe UI" w:eastAsia="Times New Roman" w:hAnsi="Segoe UI" w:cs="Segoe UI"/>
                <w:b/>
                <w:bCs/>
                <w:color w:val="595959" w:themeColor="text1" w:themeTint="A6"/>
                <w:sz w:val="16"/>
                <w:szCs w:val="16"/>
              </w:rPr>
              <w:t>,</w:t>
            </w:r>
            <w:r w:rsidRPr="00305CCE">
              <w:rPr>
                <w:rFonts w:ascii="Segoe UI" w:eastAsia="Times New Roman" w:hAnsi="Segoe UI" w:cs="Segoe UI"/>
                <w:b/>
                <w:bCs/>
                <w:color w:val="595959" w:themeColor="text1" w:themeTint="A6"/>
                <w:sz w:val="16"/>
                <w:szCs w:val="16"/>
              </w:rPr>
              <w:t>594</w:t>
            </w:r>
          </w:p>
        </w:tc>
        <w:tc>
          <w:tcPr>
            <w:tcW w:w="1040" w:type="dxa"/>
            <w:tcBorders>
              <w:top w:val="nil"/>
              <w:left w:val="nil"/>
              <w:bottom w:val="single" w:sz="4" w:space="0" w:color="auto"/>
              <w:right w:val="nil"/>
            </w:tcBorders>
            <w:vAlign w:val="center"/>
          </w:tcPr>
          <w:p w14:paraId="0A1AD235"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$(87)</w:t>
            </w:r>
          </w:p>
        </w:tc>
        <w:tc>
          <w:tcPr>
            <w:tcW w:w="1040" w:type="dxa"/>
            <w:tcBorders>
              <w:top w:val="nil"/>
              <w:left w:val="nil"/>
              <w:bottom w:val="single" w:sz="4" w:space="0" w:color="auto"/>
              <w:right w:val="nil"/>
            </w:tcBorders>
            <w:vAlign w:val="center"/>
          </w:tcPr>
          <w:p w14:paraId="41FEDFE5"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(5)%</w:t>
            </w:r>
          </w:p>
        </w:tc>
        <w:tc>
          <w:tcPr>
            <w:tcW w:w="1040" w:type="dxa"/>
            <w:tcBorders>
              <w:top w:val="nil"/>
              <w:left w:val="nil"/>
              <w:bottom w:val="single" w:sz="4" w:space="0" w:color="auto"/>
              <w:right w:val="nil"/>
            </w:tcBorders>
            <w:vAlign w:val="center"/>
          </w:tcPr>
          <w:p w14:paraId="69E02736"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(4)%</w:t>
            </w:r>
          </w:p>
        </w:tc>
      </w:tr>
      <w:tr w:rsidR="005F1E87" w:rsidRPr="00CD4005" w14:paraId="68E731BE" w14:textId="77777777" w:rsidTr="00571F01">
        <w:trPr>
          <w:trHeight w:val="288"/>
        </w:trPr>
        <w:tc>
          <w:tcPr>
            <w:tcW w:w="3320" w:type="dxa"/>
            <w:tcBorders>
              <w:top w:val="nil"/>
              <w:left w:val="nil"/>
              <w:bottom w:val="single" w:sz="4" w:space="0" w:color="auto"/>
              <w:right w:val="nil"/>
            </w:tcBorders>
            <w:noWrap/>
            <w:vAlign w:val="center"/>
            <w:hideMark/>
          </w:tcPr>
          <w:p w14:paraId="45C4F51B" w14:textId="77777777" w:rsidR="005F1E87" w:rsidRPr="00CD4005" w:rsidRDefault="005F1E87" w:rsidP="00571F01">
            <w:pPr>
              <w:spacing w:after="0" w:line="240" w:lineRule="auto"/>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Diluted EPS</w:t>
            </w:r>
          </w:p>
        </w:tc>
        <w:tc>
          <w:tcPr>
            <w:tcW w:w="1040" w:type="dxa"/>
            <w:tcBorders>
              <w:top w:val="nil"/>
              <w:left w:val="nil"/>
              <w:bottom w:val="single" w:sz="4" w:space="0" w:color="auto"/>
              <w:right w:val="nil"/>
            </w:tcBorders>
            <w:vAlign w:val="center"/>
          </w:tcPr>
          <w:p w14:paraId="2FFBDF4E"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$0.68</w:t>
            </w:r>
          </w:p>
        </w:tc>
        <w:tc>
          <w:tcPr>
            <w:tcW w:w="1040" w:type="dxa"/>
            <w:tcBorders>
              <w:top w:val="nil"/>
              <w:left w:val="nil"/>
              <w:bottom w:val="single" w:sz="4" w:space="0" w:color="auto"/>
              <w:right w:val="nil"/>
            </w:tcBorders>
            <w:vAlign w:val="center"/>
          </w:tcPr>
          <w:p w14:paraId="6CB28CA6"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sidRPr="00305CCE">
              <w:rPr>
                <w:rFonts w:ascii="Segoe UI" w:eastAsia="Times New Roman" w:hAnsi="Segoe UI" w:cs="Segoe UI"/>
                <w:b/>
                <w:bCs/>
                <w:color w:val="595959" w:themeColor="text1" w:themeTint="A6"/>
                <w:sz w:val="16"/>
                <w:szCs w:val="16"/>
              </w:rPr>
              <w:t>$0.61</w:t>
            </w:r>
          </w:p>
        </w:tc>
        <w:tc>
          <w:tcPr>
            <w:tcW w:w="1040" w:type="dxa"/>
            <w:tcBorders>
              <w:top w:val="nil"/>
              <w:left w:val="nil"/>
              <w:bottom w:val="single" w:sz="4" w:space="0" w:color="auto"/>
              <w:right w:val="nil"/>
            </w:tcBorders>
            <w:vAlign w:val="center"/>
          </w:tcPr>
          <w:p w14:paraId="18CAA9ED"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595959" w:themeColor="text1" w:themeTint="A6"/>
                <w:sz w:val="16"/>
                <w:szCs w:val="16"/>
              </w:rPr>
              <w:t>$(0.02)</w:t>
            </w:r>
          </w:p>
        </w:tc>
        <w:tc>
          <w:tcPr>
            <w:tcW w:w="1040" w:type="dxa"/>
            <w:tcBorders>
              <w:top w:val="nil"/>
              <w:left w:val="nil"/>
              <w:bottom w:val="single" w:sz="4" w:space="0" w:color="auto"/>
              <w:right w:val="nil"/>
            </w:tcBorders>
            <w:vAlign w:val="center"/>
          </w:tcPr>
          <w:p w14:paraId="31E5B90C" w14:textId="77777777" w:rsidR="005F1E87" w:rsidRPr="00305CCE" w:rsidRDefault="005F1E87" w:rsidP="00571F01">
            <w:pPr>
              <w:spacing w:after="0" w:line="240" w:lineRule="auto"/>
              <w:jc w:val="right"/>
              <w:rPr>
                <w:rFonts w:ascii="Segoe UI" w:eastAsia="Times New Roman" w:hAnsi="Segoe UI" w:cs="Segoe UI"/>
                <w:b/>
                <w:bCs/>
                <w:color w:val="595959" w:themeColor="text1" w:themeTint="A6"/>
                <w:sz w:val="16"/>
                <w:szCs w:val="16"/>
              </w:rPr>
            </w:pPr>
            <w:r w:rsidRPr="00305CCE">
              <w:rPr>
                <w:rFonts w:ascii="Segoe UI" w:eastAsia="Times New Roman" w:hAnsi="Segoe UI" w:cs="Segoe UI"/>
                <w:b/>
                <w:bCs/>
                <w:color w:val="595959" w:themeColor="text1" w:themeTint="A6"/>
                <w:sz w:val="16"/>
                <w:szCs w:val="16"/>
              </w:rPr>
              <w:t>(10)%</w:t>
            </w:r>
          </w:p>
        </w:tc>
        <w:tc>
          <w:tcPr>
            <w:tcW w:w="1040" w:type="dxa"/>
            <w:tcBorders>
              <w:top w:val="nil"/>
              <w:left w:val="nil"/>
              <w:bottom w:val="single" w:sz="4" w:space="0" w:color="auto"/>
              <w:right w:val="nil"/>
            </w:tcBorders>
            <w:vAlign w:val="center"/>
          </w:tcPr>
          <w:p w14:paraId="54F8D3EE" w14:textId="77777777" w:rsidR="005F1E87" w:rsidRPr="00CD4005" w:rsidRDefault="005F1E87" w:rsidP="00571F01">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595959" w:themeColor="text1" w:themeTint="A6"/>
                <w:sz w:val="16"/>
                <w:szCs w:val="16"/>
              </w:rPr>
              <w:t>(7)%</w:t>
            </w:r>
          </w:p>
        </w:tc>
      </w:tr>
    </w:tbl>
    <w:p w14:paraId="086C2F87" w14:textId="77777777" w:rsidR="005F1E87" w:rsidRPr="00245F37" w:rsidRDefault="005F1E87" w:rsidP="005F1E87">
      <w:pPr>
        <w:keepNext/>
        <w:spacing w:before="270" w:after="270" w:line="240" w:lineRule="auto"/>
        <w:ind w:firstLine="720"/>
        <w:rPr>
          <w:rFonts w:ascii="Segoe UI" w:eastAsia="Times New Roman" w:hAnsi="Segoe UI" w:cs="Segoe UI"/>
          <w:b/>
          <w:sz w:val="20"/>
          <w:szCs w:val="20"/>
        </w:rPr>
      </w:pPr>
      <w:r w:rsidRPr="0080771D">
        <w:rPr>
          <w:rFonts w:ascii="Segoe UI" w:hAnsi="Segoe UI" w:cs="Segoe UI"/>
          <w:b/>
          <w:color w:val="666666"/>
          <w:sz w:val="20"/>
          <w:szCs w:val="20"/>
        </w:rPr>
        <w:t>Segment Revenue Constant Currency Reconciliation</w:t>
      </w:r>
    </w:p>
    <w:tbl>
      <w:tblPr>
        <w:tblW w:w="7920" w:type="dxa"/>
        <w:tblLayout w:type="fixed"/>
        <w:tblLook w:val="04A0" w:firstRow="1" w:lastRow="0" w:firstColumn="1" w:lastColumn="0" w:noHBand="0" w:noVBand="1"/>
      </w:tblPr>
      <w:tblGrid>
        <w:gridCol w:w="2413"/>
        <w:gridCol w:w="282"/>
        <w:gridCol w:w="304"/>
        <w:gridCol w:w="741"/>
        <w:gridCol w:w="1045"/>
        <w:gridCol w:w="1045"/>
        <w:gridCol w:w="1045"/>
        <w:gridCol w:w="1012"/>
        <w:gridCol w:w="33"/>
      </w:tblGrid>
      <w:tr w:rsidR="005F1E87" w:rsidRPr="00CD4005" w14:paraId="49A2FD4B" w14:textId="77777777" w:rsidTr="00571F01">
        <w:trPr>
          <w:gridAfter w:val="1"/>
          <w:wAfter w:w="36" w:type="dxa"/>
          <w:trHeight w:val="322"/>
        </w:trPr>
        <w:tc>
          <w:tcPr>
            <w:tcW w:w="3320" w:type="dxa"/>
            <w:gridSpan w:val="3"/>
            <w:tcBorders>
              <w:top w:val="nil"/>
              <w:left w:val="nil"/>
              <w:bottom w:val="single" w:sz="8" w:space="0" w:color="auto"/>
              <w:right w:val="nil"/>
            </w:tcBorders>
            <w:vAlign w:val="center"/>
          </w:tcPr>
          <w:p w14:paraId="3967F7EE" w14:textId="77777777" w:rsidR="005F1E87" w:rsidRPr="006F2DF8" w:rsidRDefault="005F1E87" w:rsidP="00571F01">
            <w:pPr>
              <w:spacing w:after="0" w:line="240" w:lineRule="auto"/>
              <w:rPr>
                <w:rFonts w:ascii="Segoe UI" w:eastAsia="Times New Roman" w:hAnsi="Segoe UI" w:cs="Segoe UI"/>
                <w:b/>
                <w:color w:val="666666"/>
                <w:sz w:val="16"/>
                <w:szCs w:val="16"/>
              </w:rPr>
            </w:pPr>
          </w:p>
        </w:tc>
        <w:tc>
          <w:tcPr>
            <w:tcW w:w="5392" w:type="dxa"/>
            <w:gridSpan w:val="5"/>
            <w:tcBorders>
              <w:top w:val="nil"/>
              <w:left w:val="nil"/>
              <w:bottom w:val="single" w:sz="8" w:space="0" w:color="auto"/>
              <w:right w:val="nil"/>
            </w:tcBorders>
          </w:tcPr>
          <w:p w14:paraId="649F2D8A"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 31</w:t>
            </w:r>
            <w:r w:rsidRPr="00CD4005">
              <w:rPr>
                <w:rFonts w:ascii="Segoe UI" w:eastAsia="Times New Roman" w:hAnsi="Segoe UI" w:cs="Segoe UI"/>
                <w:b/>
                <w:bCs/>
                <w:color w:val="666666"/>
                <w:sz w:val="16"/>
                <w:szCs w:val="16"/>
              </w:rPr>
              <w:t>,</w:t>
            </w:r>
          </w:p>
        </w:tc>
      </w:tr>
      <w:tr w:rsidR="005F1E87" w:rsidRPr="00CD4005" w14:paraId="1296A78C" w14:textId="77777777" w:rsidTr="00571F01">
        <w:trPr>
          <w:trHeight w:val="468"/>
        </w:trPr>
        <w:tc>
          <w:tcPr>
            <w:tcW w:w="2700" w:type="dxa"/>
            <w:tcBorders>
              <w:top w:val="nil"/>
              <w:left w:val="nil"/>
              <w:bottom w:val="single" w:sz="8" w:space="0" w:color="auto"/>
              <w:right w:val="nil"/>
            </w:tcBorders>
            <w:vAlign w:val="center"/>
            <w:hideMark/>
          </w:tcPr>
          <w:p w14:paraId="0CDC113F" w14:textId="77777777" w:rsidR="005F1E87" w:rsidRPr="00CD4005" w:rsidRDefault="005F1E87" w:rsidP="00571F01">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w:t>
            </w:r>
            <w:r>
              <w:rPr>
                <w:rFonts w:ascii="Segoe UI" w:eastAsia="Times New Roman" w:hAnsi="Segoe UI" w:cs="Segoe UI"/>
                <w:color w:val="666666"/>
                <w:sz w:val="16"/>
                <w:szCs w:val="16"/>
              </w:rPr>
              <w:t>llions</w:t>
            </w:r>
            <w:r w:rsidRPr="00CD4005">
              <w:rPr>
                <w:rFonts w:ascii="Segoe UI" w:eastAsia="Times New Roman" w:hAnsi="Segoe UI" w:cs="Segoe UI"/>
                <w:color w:val="666666"/>
                <w:sz w:val="16"/>
                <w:szCs w:val="16"/>
              </w:rPr>
              <w:t>)</w:t>
            </w:r>
          </w:p>
        </w:tc>
        <w:tc>
          <w:tcPr>
            <w:tcW w:w="288" w:type="dxa"/>
            <w:tcBorders>
              <w:top w:val="nil"/>
              <w:left w:val="nil"/>
              <w:bottom w:val="single" w:sz="8" w:space="0" w:color="auto"/>
              <w:right w:val="nil"/>
            </w:tcBorders>
          </w:tcPr>
          <w:p w14:paraId="718E600C" w14:textId="77777777" w:rsidR="005F1E87" w:rsidRDefault="005F1E87" w:rsidP="00571F01">
            <w:pPr>
              <w:spacing w:after="0" w:line="240" w:lineRule="auto"/>
              <w:jc w:val="center"/>
              <w:rPr>
                <w:rFonts w:ascii="Segoe UI" w:eastAsia="Times New Roman" w:hAnsi="Segoe UI" w:cs="Segoe UI"/>
                <w:b/>
                <w:bCs/>
                <w:color w:val="666666"/>
                <w:sz w:val="16"/>
                <w:szCs w:val="16"/>
              </w:rPr>
            </w:pPr>
          </w:p>
        </w:tc>
        <w:tc>
          <w:tcPr>
            <w:tcW w:w="1152" w:type="dxa"/>
            <w:gridSpan w:val="2"/>
            <w:tcBorders>
              <w:top w:val="nil"/>
              <w:left w:val="nil"/>
              <w:bottom w:val="single" w:sz="8" w:space="0" w:color="auto"/>
              <w:right w:val="nil"/>
            </w:tcBorders>
          </w:tcPr>
          <w:p w14:paraId="7E07951B"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4</w:t>
            </w:r>
            <w:r w:rsidRPr="00CD4005">
              <w:rPr>
                <w:rFonts w:ascii="Segoe UI" w:eastAsia="Times New Roman" w:hAnsi="Segoe UI" w:cs="Segoe UI"/>
                <w:b/>
                <w:bCs/>
                <w:color w:val="666666"/>
                <w:sz w:val="16"/>
                <w:szCs w:val="16"/>
              </w:rPr>
              <w:t xml:space="preserve"> As Reported (GAAP)</w:t>
            </w:r>
          </w:p>
        </w:tc>
        <w:tc>
          <w:tcPr>
            <w:tcW w:w="1152" w:type="dxa"/>
            <w:tcBorders>
              <w:top w:val="nil"/>
              <w:left w:val="nil"/>
              <w:bottom w:val="single" w:sz="8" w:space="0" w:color="auto"/>
              <w:right w:val="nil"/>
            </w:tcBorders>
          </w:tcPr>
          <w:p w14:paraId="03F02A9E"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5</w:t>
            </w:r>
            <w:r w:rsidRPr="00CD4005">
              <w:rPr>
                <w:rFonts w:ascii="Segoe UI" w:eastAsia="Times New Roman" w:hAnsi="Segoe UI" w:cs="Segoe UI"/>
                <w:b/>
                <w:bCs/>
                <w:color w:val="666666"/>
                <w:sz w:val="16"/>
                <w:szCs w:val="16"/>
              </w:rPr>
              <w:t xml:space="preserve"> As Reported (GAAP)</w:t>
            </w:r>
          </w:p>
        </w:tc>
        <w:tc>
          <w:tcPr>
            <w:tcW w:w="1152" w:type="dxa"/>
            <w:tcBorders>
              <w:top w:val="nil"/>
              <w:left w:val="nil"/>
              <w:bottom w:val="single" w:sz="8" w:space="0" w:color="auto"/>
              <w:right w:val="nil"/>
            </w:tcBorders>
          </w:tcPr>
          <w:p w14:paraId="2F9FA1FA" w14:textId="77777777" w:rsidR="005F1E87" w:rsidRDefault="005F1E87" w:rsidP="00571F01">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Constant Currency Impact</w:t>
            </w:r>
          </w:p>
        </w:tc>
        <w:tc>
          <w:tcPr>
            <w:tcW w:w="1152" w:type="dxa"/>
            <w:tcBorders>
              <w:top w:val="nil"/>
              <w:left w:val="nil"/>
              <w:bottom w:val="single" w:sz="8" w:space="0" w:color="auto"/>
              <w:right w:val="nil"/>
            </w:tcBorders>
            <w:vAlign w:val="center"/>
            <w:hideMark/>
          </w:tcPr>
          <w:p w14:paraId="1A15BE9A"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%Y/Y (GAAP)</w:t>
            </w:r>
          </w:p>
        </w:tc>
        <w:tc>
          <w:tcPr>
            <w:tcW w:w="1152" w:type="dxa"/>
            <w:gridSpan w:val="2"/>
            <w:tcBorders>
              <w:top w:val="nil"/>
              <w:left w:val="nil"/>
              <w:bottom w:val="single" w:sz="8" w:space="0" w:color="auto"/>
              <w:right w:val="nil"/>
            </w:tcBorders>
            <w:vAlign w:val="center"/>
            <w:hideMark/>
          </w:tcPr>
          <w:p w14:paraId="4F3DD80F" w14:textId="77777777" w:rsidR="005F1E87" w:rsidRPr="00CD4005" w:rsidRDefault="005F1E87" w:rsidP="00571F01">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Y/Y Constant Currency</w:t>
            </w:r>
          </w:p>
        </w:tc>
      </w:tr>
      <w:tr w:rsidR="005F1E87" w:rsidRPr="00305CCE" w14:paraId="65D32DEB" w14:textId="77777777" w:rsidTr="00571F01">
        <w:trPr>
          <w:trHeight w:val="288"/>
        </w:trPr>
        <w:tc>
          <w:tcPr>
            <w:tcW w:w="2700" w:type="dxa"/>
            <w:tcBorders>
              <w:top w:val="nil"/>
              <w:left w:val="nil"/>
              <w:right w:val="nil"/>
            </w:tcBorders>
            <w:noWrap/>
            <w:vAlign w:val="center"/>
            <w:hideMark/>
          </w:tcPr>
          <w:p w14:paraId="38A64F25" w14:textId="77777777" w:rsidR="005F1E87" w:rsidRPr="006F2DF8" w:rsidRDefault="005F1E87" w:rsidP="00571F01">
            <w:pPr>
              <w:spacing w:after="0" w:line="240" w:lineRule="auto"/>
              <w:rPr>
                <w:rFonts w:ascii="Segoe UI" w:eastAsia="Times New Roman" w:hAnsi="Segoe UI" w:cs="Segoe UI"/>
                <w:bCs/>
                <w:color w:val="666666"/>
                <w:sz w:val="16"/>
                <w:szCs w:val="16"/>
              </w:rPr>
            </w:pPr>
            <w:r w:rsidRPr="006F2DF8">
              <w:rPr>
                <w:rFonts w:ascii="Segoe UI" w:eastAsia="Times New Roman" w:hAnsi="Segoe UI" w:cs="Segoe UI"/>
                <w:bCs/>
                <w:color w:val="666666"/>
                <w:sz w:val="16"/>
                <w:szCs w:val="16"/>
              </w:rPr>
              <w:t>Licensing</w:t>
            </w:r>
          </w:p>
        </w:tc>
        <w:tc>
          <w:tcPr>
            <w:tcW w:w="288" w:type="dxa"/>
            <w:tcBorders>
              <w:top w:val="nil"/>
              <w:left w:val="nil"/>
              <w:right w:val="nil"/>
            </w:tcBorders>
          </w:tcPr>
          <w:p w14:paraId="5F371B80"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top w:val="nil"/>
              <w:left w:val="nil"/>
              <w:right w:val="nil"/>
            </w:tcBorders>
            <w:vAlign w:val="center"/>
          </w:tcPr>
          <w:p w14:paraId="6026EE44"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$4,597</w:t>
            </w:r>
          </w:p>
        </w:tc>
        <w:tc>
          <w:tcPr>
            <w:tcW w:w="1152" w:type="dxa"/>
            <w:tcBorders>
              <w:top w:val="nil"/>
              <w:left w:val="nil"/>
              <w:right w:val="nil"/>
            </w:tcBorders>
            <w:vAlign w:val="center"/>
          </w:tcPr>
          <w:p w14:paraId="508F8EB4"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$3,476</w:t>
            </w:r>
          </w:p>
        </w:tc>
        <w:tc>
          <w:tcPr>
            <w:tcW w:w="1152" w:type="dxa"/>
            <w:tcBorders>
              <w:top w:val="nil"/>
              <w:left w:val="nil"/>
              <w:right w:val="nil"/>
            </w:tcBorders>
            <w:vAlign w:val="center"/>
          </w:tcPr>
          <w:p w14:paraId="2E626DBA" w14:textId="77777777" w:rsidR="005F1E87"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$(96)</w:t>
            </w:r>
          </w:p>
        </w:tc>
        <w:tc>
          <w:tcPr>
            <w:tcW w:w="1152" w:type="dxa"/>
            <w:tcBorders>
              <w:top w:val="nil"/>
              <w:left w:val="nil"/>
              <w:right w:val="nil"/>
            </w:tcBorders>
            <w:vAlign w:val="center"/>
          </w:tcPr>
          <w:p w14:paraId="11184659"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(24)%</w:t>
            </w:r>
          </w:p>
        </w:tc>
        <w:tc>
          <w:tcPr>
            <w:tcW w:w="1152" w:type="dxa"/>
            <w:gridSpan w:val="2"/>
            <w:tcBorders>
              <w:top w:val="nil"/>
              <w:left w:val="nil"/>
              <w:right w:val="nil"/>
            </w:tcBorders>
            <w:vAlign w:val="center"/>
          </w:tcPr>
          <w:p w14:paraId="6B4F8CA3"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(22)%</w:t>
            </w:r>
          </w:p>
        </w:tc>
      </w:tr>
      <w:tr w:rsidR="005F1E87" w:rsidRPr="00305CCE" w14:paraId="5CB04EBA" w14:textId="77777777" w:rsidTr="00571F01">
        <w:trPr>
          <w:trHeight w:val="288"/>
        </w:trPr>
        <w:tc>
          <w:tcPr>
            <w:tcW w:w="2700" w:type="dxa"/>
            <w:noWrap/>
            <w:vAlign w:val="center"/>
            <w:hideMark/>
          </w:tcPr>
          <w:p w14:paraId="71956F01" w14:textId="77777777" w:rsidR="005F1E87" w:rsidRPr="006F2DF8" w:rsidRDefault="005F1E87" w:rsidP="00571F01">
            <w:pPr>
              <w:spacing w:after="0" w:line="240" w:lineRule="auto"/>
              <w:rPr>
                <w:rFonts w:ascii="Segoe UI" w:eastAsia="Times New Roman" w:hAnsi="Segoe UI" w:cs="Segoe UI"/>
                <w:bCs/>
                <w:color w:val="666666"/>
                <w:sz w:val="16"/>
                <w:szCs w:val="16"/>
              </w:rPr>
            </w:pPr>
            <w:r w:rsidRPr="006F2DF8">
              <w:rPr>
                <w:rFonts w:ascii="Segoe UI" w:eastAsia="Times New Roman" w:hAnsi="Segoe UI" w:cs="Segoe UI"/>
                <w:bCs/>
                <w:color w:val="666666"/>
                <w:sz w:val="16"/>
                <w:szCs w:val="16"/>
              </w:rPr>
              <w:t>Computing &amp; Gaming Hardware</w:t>
            </w:r>
          </w:p>
        </w:tc>
        <w:tc>
          <w:tcPr>
            <w:tcW w:w="288" w:type="dxa"/>
          </w:tcPr>
          <w:p w14:paraId="0CD06304"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vAlign w:val="center"/>
          </w:tcPr>
          <w:p w14:paraId="3173486D"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1,872</w:t>
            </w:r>
          </w:p>
        </w:tc>
        <w:tc>
          <w:tcPr>
            <w:tcW w:w="1152" w:type="dxa"/>
            <w:vAlign w:val="center"/>
          </w:tcPr>
          <w:p w14:paraId="2EAE4B60"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1,800</w:t>
            </w:r>
          </w:p>
        </w:tc>
        <w:tc>
          <w:tcPr>
            <w:tcW w:w="1152" w:type="dxa"/>
            <w:vAlign w:val="center"/>
          </w:tcPr>
          <w:p w14:paraId="6F8E6A2E" w14:textId="77777777" w:rsidR="005F1E87"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(79)</w:t>
            </w:r>
          </w:p>
        </w:tc>
        <w:tc>
          <w:tcPr>
            <w:tcW w:w="1152" w:type="dxa"/>
            <w:vAlign w:val="center"/>
            <w:hideMark/>
          </w:tcPr>
          <w:p w14:paraId="458C4B6A"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(4)%</w:t>
            </w:r>
          </w:p>
        </w:tc>
        <w:tc>
          <w:tcPr>
            <w:tcW w:w="1152" w:type="dxa"/>
            <w:gridSpan w:val="2"/>
            <w:vAlign w:val="center"/>
            <w:hideMark/>
          </w:tcPr>
          <w:p w14:paraId="32360025"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0%</w:t>
            </w:r>
          </w:p>
        </w:tc>
      </w:tr>
      <w:tr w:rsidR="005F1E87" w:rsidRPr="00305CCE" w14:paraId="5DD5A5F7" w14:textId="77777777" w:rsidTr="00571F01">
        <w:trPr>
          <w:trHeight w:val="288"/>
        </w:trPr>
        <w:tc>
          <w:tcPr>
            <w:tcW w:w="2700" w:type="dxa"/>
            <w:tcBorders>
              <w:left w:val="nil"/>
              <w:right w:val="nil"/>
            </w:tcBorders>
            <w:noWrap/>
            <w:vAlign w:val="center"/>
          </w:tcPr>
          <w:p w14:paraId="72C913C1" w14:textId="77777777" w:rsidR="005F1E87" w:rsidRPr="006F2DF8" w:rsidRDefault="005F1E87" w:rsidP="00571F01">
            <w:pPr>
              <w:spacing w:after="0" w:line="240" w:lineRule="auto"/>
              <w:rPr>
                <w:rFonts w:ascii="Segoe UI" w:eastAsia="Times New Roman" w:hAnsi="Segoe UI" w:cs="Segoe UI"/>
                <w:bCs/>
                <w:color w:val="666666"/>
                <w:sz w:val="16"/>
                <w:szCs w:val="16"/>
              </w:rPr>
            </w:pPr>
            <w:r w:rsidRPr="006F2DF8">
              <w:rPr>
                <w:rFonts w:ascii="Segoe UI" w:eastAsia="Times New Roman" w:hAnsi="Segoe UI" w:cs="Segoe UI"/>
                <w:bCs/>
                <w:color w:val="666666"/>
                <w:sz w:val="16"/>
                <w:szCs w:val="16"/>
              </w:rPr>
              <w:t>Phone Hardware</w:t>
            </w:r>
          </w:p>
        </w:tc>
        <w:tc>
          <w:tcPr>
            <w:tcW w:w="288" w:type="dxa"/>
            <w:tcBorders>
              <w:left w:val="nil"/>
              <w:right w:val="nil"/>
            </w:tcBorders>
          </w:tcPr>
          <w:p w14:paraId="2707B951"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left w:val="nil"/>
              <w:right w:val="nil"/>
            </w:tcBorders>
            <w:vAlign w:val="center"/>
          </w:tcPr>
          <w:p w14:paraId="6E5D28F9"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0</w:t>
            </w:r>
          </w:p>
        </w:tc>
        <w:tc>
          <w:tcPr>
            <w:tcW w:w="1152" w:type="dxa"/>
            <w:tcBorders>
              <w:left w:val="nil"/>
              <w:right w:val="nil"/>
            </w:tcBorders>
            <w:vAlign w:val="center"/>
          </w:tcPr>
          <w:p w14:paraId="06F9BC6A"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1,397</w:t>
            </w:r>
          </w:p>
        </w:tc>
        <w:tc>
          <w:tcPr>
            <w:tcW w:w="1152" w:type="dxa"/>
            <w:tcBorders>
              <w:left w:val="nil"/>
              <w:right w:val="nil"/>
            </w:tcBorders>
            <w:vAlign w:val="center"/>
          </w:tcPr>
          <w:p w14:paraId="35BDEDF9" w14:textId="77777777" w:rsidR="005F1E87"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N/A</w:t>
            </w:r>
          </w:p>
        </w:tc>
        <w:tc>
          <w:tcPr>
            <w:tcW w:w="1152" w:type="dxa"/>
            <w:tcBorders>
              <w:left w:val="nil"/>
              <w:right w:val="nil"/>
            </w:tcBorders>
            <w:vAlign w:val="center"/>
          </w:tcPr>
          <w:p w14:paraId="525F3D87"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N/A</w:t>
            </w:r>
          </w:p>
        </w:tc>
        <w:tc>
          <w:tcPr>
            <w:tcW w:w="1152" w:type="dxa"/>
            <w:gridSpan w:val="2"/>
            <w:tcBorders>
              <w:left w:val="nil"/>
              <w:right w:val="nil"/>
            </w:tcBorders>
            <w:vAlign w:val="center"/>
          </w:tcPr>
          <w:p w14:paraId="2AC8363E"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N/A</w:t>
            </w:r>
          </w:p>
        </w:tc>
      </w:tr>
      <w:tr w:rsidR="005F1E87" w:rsidRPr="00305CCE" w14:paraId="1145438A" w14:textId="77777777" w:rsidTr="00571F01">
        <w:trPr>
          <w:trHeight w:val="288"/>
        </w:trPr>
        <w:tc>
          <w:tcPr>
            <w:tcW w:w="2700" w:type="dxa"/>
            <w:tcBorders>
              <w:left w:val="nil"/>
              <w:bottom w:val="single" w:sz="4" w:space="0" w:color="auto"/>
              <w:right w:val="nil"/>
            </w:tcBorders>
            <w:noWrap/>
            <w:vAlign w:val="center"/>
          </w:tcPr>
          <w:p w14:paraId="684CCC78" w14:textId="77777777" w:rsidR="005F1E87" w:rsidRPr="006F2DF8" w:rsidRDefault="005F1E87" w:rsidP="00571F01">
            <w:pPr>
              <w:spacing w:after="0" w:line="240" w:lineRule="auto"/>
              <w:rPr>
                <w:rFonts w:ascii="Segoe UI" w:eastAsia="Times New Roman" w:hAnsi="Segoe UI" w:cs="Segoe UI"/>
                <w:bCs/>
                <w:color w:val="666666"/>
                <w:sz w:val="16"/>
                <w:szCs w:val="16"/>
              </w:rPr>
            </w:pPr>
            <w:r w:rsidRPr="006F2DF8">
              <w:rPr>
                <w:rFonts w:ascii="Segoe UI" w:eastAsia="Times New Roman" w:hAnsi="Segoe UI" w:cs="Segoe UI"/>
                <w:bCs/>
                <w:color w:val="666666"/>
                <w:sz w:val="16"/>
                <w:szCs w:val="16"/>
              </w:rPr>
              <w:t>Other</w:t>
            </w:r>
          </w:p>
        </w:tc>
        <w:tc>
          <w:tcPr>
            <w:tcW w:w="288" w:type="dxa"/>
            <w:tcBorders>
              <w:left w:val="nil"/>
              <w:bottom w:val="single" w:sz="4" w:space="0" w:color="auto"/>
              <w:right w:val="nil"/>
            </w:tcBorders>
          </w:tcPr>
          <w:p w14:paraId="654D0C54"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left w:val="nil"/>
              <w:bottom w:val="single" w:sz="4" w:space="0" w:color="auto"/>
              <w:right w:val="nil"/>
            </w:tcBorders>
            <w:vAlign w:val="center"/>
          </w:tcPr>
          <w:p w14:paraId="57DEF291"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1,824</w:t>
            </w:r>
          </w:p>
        </w:tc>
        <w:tc>
          <w:tcPr>
            <w:tcW w:w="1152" w:type="dxa"/>
            <w:tcBorders>
              <w:left w:val="nil"/>
              <w:bottom w:val="single" w:sz="4" w:space="0" w:color="auto"/>
              <w:right w:val="nil"/>
            </w:tcBorders>
            <w:vAlign w:val="center"/>
          </w:tcPr>
          <w:p w14:paraId="1F0C8EC7"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2,280</w:t>
            </w:r>
          </w:p>
        </w:tc>
        <w:tc>
          <w:tcPr>
            <w:tcW w:w="1152" w:type="dxa"/>
            <w:tcBorders>
              <w:left w:val="nil"/>
              <w:bottom w:val="single" w:sz="4" w:space="0" w:color="auto"/>
              <w:right w:val="nil"/>
            </w:tcBorders>
            <w:vAlign w:val="center"/>
          </w:tcPr>
          <w:p w14:paraId="3FCE2390" w14:textId="77777777" w:rsidR="005F1E87"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(59)</w:t>
            </w:r>
          </w:p>
        </w:tc>
        <w:tc>
          <w:tcPr>
            <w:tcW w:w="1152" w:type="dxa"/>
            <w:tcBorders>
              <w:left w:val="nil"/>
              <w:bottom w:val="single" w:sz="4" w:space="0" w:color="auto"/>
              <w:right w:val="nil"/>
            </w:tcBorders>
            <w:vAlign w:val="center"/>
          </w:tcPr>
          <w:p w14:paraId="623718C9"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25%</w:t>
            </w:r>
          </w:p>
        </w:tc>
        <w:tc>
          <w:tcPr>
            <w:tcW w:w="1152" w:type="dxa"/>
            <w:gridSpan w:val="2"/>
            <w:tcBorders>
              <w:left w:val="nil"/>
              <w:bottom w:val="single" w:sz="4" w:space="0" w:color="auto"/>
              <w:right w:val="nil"/>
            </w:tcBorders>
            <w:vAlign w:val="center"/>
          </w:tcPr>
          <w:p w14:paraId="76BED02D"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28%</w:t>
            </w:r>
          </w:p>
        </w:tc>
      </w:tr>
      <w:tr w:rsidR="005F1E87" w:rsidRPr="00305CCE" w14:paraId="29952ED2" w14:textId="77777777" w:rsidTr="00571F01">
        <w:trPr>
          <w:trHeight w:val="288"/>
        </w:trPr>
        <w:tc>
          <w:tcPr>
            <w:tcW w:w="2700" w:type="dxa"/>
            <w:tcBorders>
              <w:top w:val="single" w:sz="4" w:space="0" w:color="auto"/>
              <w:left w:val="nil"/>
              <w:bottom w:val="single" w:sz="4" w:space="0" w:color="auto"/>
              <w:right w:val="nil"/>
            </w:tcBorders>
            <w:noWrap/>
            <w:vAlign w:val="center"/>
          </w:tcPr>
          <w:p w14:paraId="293CBBE8" w14:textId="77777777" w:rsidR="005F1E87" w:rsidRDefault="005F1E87" w:rsidP="00571F01">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   Total Devices and Consumer</w:t>
            </w:r>
          </w:p>
        </w:tc>
        <w:tc>
          <w:tcPr>
            <w:tcW w:w="288" w:type="dxa"/>
            <w:tcBorders>
              <w:top w:val="single" w:sz="4" w:space="0" w:color="auto"/>
              <w:left w:val="nil"/>
              <w:bottom w:val="single" w:sz="4" w:space="0" w:color="auto"/>
              <w:right w:val="nil"/>
            </w:tcBorders>
          </w:tcPr>
          <w:p w14:paraId="1A0184A8"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top w:val="single" w:sz="4" w:space="0" w:color="auto"/>
              <w:left w:val="nil"/>
              <w:bottom w:val="single" w:sz="4" w:space="0" w:color="auto"/>
              <w:right w:val="nil"/>
            </w:tcBorders>
            <w:vAlign w:val="center"/>
          </w:tcPr>
          <w:p w14:paraId="474ADE8C"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$8,293</w:t>
            </w:r>
          </w:p>
        </w:tc>
        <w:tc>
          <w:tcPr>
            <w:tcW w:w="1152" w:type="dxa"/>
            <w:tcBorders>
              <w:top w:val="single" w:sz="4" w:space="0" w:color="auto"/>
              <w:left w:val="nil"/>
              <w:bottom w:val="single" w:sz="4" w:space="0" w:color="auto"/>
              <w:right w:val="nil"/>
            </w:tcBorders>
            <w:vAlign w:val="center"/>
          </w:tcPr>
          <w:p w14:paraId="1E487F92"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$8,953</w:t>
            </w:r>
          </w:p>
        </w:tc>
        <w:tc>
          <w:tcPr>
            <w:tcW w:w="1152" w:type="dxa"/>
            <w:tcBorders>
              <w:top w:val="single" w:sz="4" w:space="0" w:color="auto"/>
              <w:left w:val="nil"/>
              <w:bottom w:val="single" w:sz="4" w:space="0" w:color="auto"/>
              <w:right w:val="nil"/>
            </w:tcBorders>
            <w:vAlign w:val="center"/>
          </w:tcPr>
          <w:p w14:paraId="5E52CE4B"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$(234)</w:t>
            </w:r>
          </w:p>
        </w:tc>
        <w:tc>
          <w:tcPr>
            <w:tcW w:w="1152" w:type="dxa"/>
            <w:tcBorders>
              <w:top w:val="single" w:sz="4" w:space="0" w:color="auto"/>
              <w:left w:val="nil"/>
              <w:bottom w:val="single" w:sz="4" w:space="0" w:color="auto"/>
              <w:right w:val="nil"/>
            </w:tcBorders>
            <w:vAlign w:val="center"/>
          </w:tcPr>
          <w:p w14:paraId="29C0ED50"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8%</w:t>
            </w:r>
          </w:p>
        </w:tc>
        <w:tc>
          <w:tcPr>
            <w:tcW w:w="1152" w:type="dxa"/>
            <w:gridSpan w:val="2"/>
            <w:tcBorders>
              <w:top w:val="single" w:sz="4" w:space="0" w:color="auto"/>
              <w:left w:val="nil"/>
              <w:bottom w:val="single" w:sz="4" w:space="0" w:color="auto"/>
              <w:right w:val="nil"/>
            </w:tcBorders>
            <w:vAlign w:val="center"/>
          </w:tcPr>
          <w:p w14:paraId="695CD646"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11%</w:t>
            </w:r>
          </w:p>
        </w:tc>
      </w:tr>
      <w:tr w:rsidR="005F1E87" w:rsidRPr="00305CCE" w14:paraId="127A75E2" w14:textId="77777777" w:rsidTr="00571F01">
        <w:trPr>
          <w:trHeight w:val="288"/>
        </w:trPr>
        <w:tc>
          <w:tcPr>
            <w:tcW w:w="2700" w:type="dxa"/>
            <w:tcBorders>
              <w:top w:val="single" w:sz="4" w:space="0" w:color="auto"/>
              <w:left w:val="nil"/>
              <w:right w:val="nil"/>
            </w:tcBorders>
            <w:noWrap/>
            <w:vAlign w:val="center"/>
          </w:tcPr>
          <w:p w14:paraId="5B31FDA3" w14:textId="77777777" w:rsidR="005F1E87" w:rsidRPr="006F2DF8" w:rsidRDefault="005F1E87" w:rsidP="00571F01">
            <w:pPr>
              <w:spacing w:after="0" w:line="240" w:lineRule="auto"/>
              <w:rPr>
                <w:rFonts w:ascii="Segoe UI" w:eastAsia="Times New Roman" w:hAnsi="Segoe UI" w:cs="Segoe UI"/>
                <w:bCs/>
                <w:color w:val="666666"/>
                <w:sz w:val="16"/>
                <w:szCs w:val="16"/>
              </w:rPr>
            </w:pPr>
            <w:r w:rsidRPr="006F2DF8">
              <w:rPr>
                <w:rFonts w:ascii="Segoe UI" w:eastAsia="Times New Roman" w:hAnsi="Segoe UI" w:cs="Segoe UI"/>
                <w:bCs/>
                <w:color w:val="666666"/>
                <w:sz w:val="16"/>
                <w:szCs w:val="16"/>
              </w:rPr>
              <w:t>Licensing</w:t>
            </w:r>
          </w:p>
        </w:tc>
        <w:tc>
          <w:tcPr>
            <w:tcW w:w="288" w:type="dxa"/>
            <w:tcBorders>
              <w:top w:val="single" w:sz="4" w:space="0" w:color="auto"/>
              <w:left w:val="nil"/>
              <w:right w:val="nil"/>
            </w:tcBorders>
          </w:tcPr>
          <w:p w14:paraId="27DC3DC4"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top w:val="single" w:sz="4" w:space="0" w:color="auto"/>
              <w:left w:val="nil"/>
              <w:right w:val="nil"/>
            </w:tcBorders>
            <w:vAlign w:val="center"/>
          </w:tcPr>
          <w:p w14:paraId="473A6317"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10,335</w:t>
            </w:r>
          </w:p>
        </w:tc>
        <w:tc>
          <w:tcPr>
            <w:tcW w:w="1152" w:type="dxa"/>
            <w:tcBorders>
              <w:top w:val="single" w:sz="4" w:space="0" w:color="auto"/>
              <w:left w:val="nil"/>
              <w:right w:val="nil"/>
            </w:tcBorders>
            <w:vAlign w:val="center"/>
          </w:tcPr>
          <w:p w14:paraId="25F84FDC"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10,036</w:t>
            </w:r>
          </w:p>
        </w:tc>
        <w:tc>
          <w:tcPr>
            <w:tcW w:w="1152" w:type="dxa"/>
            <w:tcBorders>
              <w:top w:val="single" w:sz="4" w:space="0" w:color="auto"/>
              <w:left w:val="nil"/>
              <w:right w:val="nil"/>
            </w:tcBorders>
            <w:vAlign w:val="center"/>
          </w:tcPr>
          <w:p w14:paraId="421C70FB" w14:textId="77777777" w:rsidR="005F1E87"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(222)</w:t>
            </w:r>
          </w:p>
        </w:tc>
        <w:tc>
          <w:tcPr>
            <w:tcW w:w="1152" w:type="dxa"/>
            <w:tcBorders>
              <w:top w:val="single" w:sz="4" w:space="0" w:color="auto"/>
              <w:left w:val="nil"/>
              <w:right w:val="nil"/>
            </w:tcBorders>
            <w:vAlign w:val="center"/>
          </w:tcPr>
          <w:p w14:paraId="582720A7"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(3)%</w:t>
            </w:r>
          </w:p>
        </w:tc>
        <w:tc>
          <w:tcPr>
            <w:tcW w:w="1152" w:type="dxa"/>
            <w:gridSpan w:val="2"/>
            <w:tcBorders>
              <w:top w:val="single" w:sz="4" w:space="0" w:color="auto"/>
              <w:left w:val="nil"/>
              <w:right w:val="nil"/>
            </w:tcBorders>
            <w:vAlign w:val="center"/>
          </w:tcPr>
          <w:p w14:paraId="701C8DD7"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(1)%</w:t>
            </w:r>
          </w:p>
        </w:tc>
      </w:tr>
      <w:tr w:rsidR="005F1E87" w:rsidRPr="00305CCE" w14:paraId="310CF697" w14:textId="77777777" w:rsidTr="00571F01">
        <w:trPr>
          <w:trHeight w:val="288"/>
        </w:trPr>
        <w:tc>
          <w:tcPr>
            <w:tcW w:w="2700" w:type="dxa"/>
            <w:tcBorders>
              <w:left w:val="nil"/>
              <w:bottom w:val="single" w:sz="4" w:space="0" w:color="auto"/>
              <w:right w:val="nil"/>
            </w:tcBorders>
            <w:noWrap/>
            <w:vAlign w:val="center"/>
            <w:hideMark/>
          </w:tcPr>
          <w:p w14:paraId="7F090D7B" w14:textId="77777777" w:rsidR="005F1E87" w:rsidRPr="006F2DF8" w:rsidRDefault="005F1E87" w:rsidP="00571F01">
            <w:pPr>
              <w:spacing w:after="0" w:line="240" w:lineRule="auto"/>
              <w:rPr>
                <w:rFonts w:ascii="Segoe UI" w:eastAsia="Times New Roman" w:hAnsi="Segoe UI" w:cs="Segoe UI"/>
                <w:bCs/>
                <w:color w:val="666666"/>
                <w:sz w:val="16"/>
                <w:szCs w:val="16"/>
              </w:rPr>
            </w:pPr>
            <w:r w:rsidRPr="006F2DF8">
              <w:rPr>
                <w:rFonts w:ascii="Segoe UI" w:eastAsia="Times New Roman" w:hAnsi="Segoe UI" w:cs="Segoe UI"/>
                <w:bCs/>
                <w:color w:val="666666"/>
                <w:sz w:val="16"/>
                <w:szCs w:val="16"/>
              </w:rPr>
              <w:t>Other</w:t>
            </w:r>
          </w:p>
        </w:tc>
        <w:tc>
          <w:tcPr>
            <w:tcW w:w="288" w:type="dxa"/>
            <w:tcBorders>
              <w:left w:val="nil"/>
              <w:bottom w:val="single" w:sz="4" w:space="0" w:color="auto"/>
              <w:right w:val="nil"/>
            </w:tcBorders>
          </w:tcPr>
          <w:p w14:paraId="1957123C"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left w:val="nil"/>
              <w:bottom w:val="single" w:sz="4" w:space="0" w:color="auto"/>
              <w:right w:val="nil"/>
            </w:tcBorders>
            <w:vAlign w:val="center"/>
          </w:tcPr>
          <w:p w14:paraId="3C6346AA"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1,902</w:t>
            </w:r>
          </w:p>
        </w:tc>
        <w:tc>
          <w:tcPr>
            <w:tcW w:w="1152" w:type="dxa"/>
            <w:tcBorders>
              <w:left w:val="nil"/>
              <w:bottom w:val="single" w:sz="4" w:space="0" w:color="auto"/>
              <w:right w:val="nil"/>
            </w:tcBorders>
            <w:vAlign w:val="center"/>
          </w:tcPr>
          <w:p w14:paraId="479AAA72"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2,760</w:t>
            </w:r>
          </w:p>
        </w:tc>
        <w:tc>
          <w:tcPr>
            <w:tcW w:w="1152" w:type="dxa"/>
            <w:tcBorders>
              <w:left w:val="nil"/>
              <w:bottom w:val="single" w:sz="4" w:space="0" w:color="auto"/>
              <w:right w:val="nil"/>
            </w:tcBorders>
            <w:vAlign w:val="center"/>
          </w:tcPr>
          <w:p w14:paraId="1389A438" w14:textId="77777777" w:rsidR="005F1E87"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(78)</w:t>
            </w:r>
          </w:p>
        </w:tc>
        <w:tc>
          <w:tcPr>
            <w:tcW w:w="1152" w:type="dxa"/>
            <w:tcBorders>
              <w:left w:val="nil"/>
              <w:bottom w:val="single" w:sz="4" w:space="0" w:color="auto"/>
              <w:right w:val="nil"/>
            </w:tcBorders>
            <w:vAlign w:val="center"/>
            <w:hideMark/>
          </w:tcPr>
          <w:p w14:paraId="226DB2CA"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45%</w:t>
            </w:r>
          </w:p>
        </w:tc>
        <w:tc>
          <w:tcPr>
            <w:tcW w:w="1152" w:type="dxa"/>
            <w:gridSpan w:val="2"/>
            <w:tcBorders>
              <w:left w:val="nil"/>
              <w:bottom w:val="single" w:sz="4" w:space="0" w:color="auto"/>
              <w:right w:val="nil"/>
            </w:tcBorders>
            <w:vAlign w:val="center"/>
            <w:hideMark/>
          </w:tcPr>
          <w:p w14:paraId="6570BCEE" w14:textId="77777777" w:rsidR="005F1E87" w:rsidRPr="006F2DF8" w:rsidRDefault="005F1E87" w:rsidP="00571F01">
            <w:pPr>
              <w:spacing w:after="0" w:line="240" w:lineRule="auto"/>
              <w:jc w:val="right"/>
              <w:rPr>
                <w:rFonts w:ascii="Segoe UI" w:eastAsia="Times New Roman" w:hAnsi="Segoe UI" w:cs="Segoe UI"/>
                <w:bCs/>
                <w:color w:val="595959" w:themeColor="text1" w:themeTint="A6"/>
                <w:sz w:val="16"/>
                <w:szCs w:val="16"/>
              </w:rPr>
            </w:pPr>
            <w:r w:rsidRPr="006F2DF8">
              <w:rPr>
                <w:rFonts w:ascii="Segoe UI" w:eastAsia="Times New Roman" w:hAnsi="Segoe UI" w:cs="Segoe UI"/>
                <w:bCs/>
                <w:color w:val="595959" w:themeColor="text1" w:themeTint="A6"/>
                <w:sz w:val="16"/>
                <w:szCs w:val="16"/>
              </w:rPr>
              <w:t>49%</w:t>
            </w:r>
          </w:p>
        </w:tc>
      </w:tr>
      <w:tr w:rsidR="005F1E87" w:rsidRPr="00305CCE" w14:paraId="6454D96E" w14:textId="77777777" w:rsidTr="00571F01">
        <w:trPr>
          <w:trHeight w:val="288"/>
        </w:trPr>
        <w:tc>
          <w:tcPr>
            <w:tcW w:w="2700" w:type="dxa"/>
            <w:tcBorders>
              <w:top w:val="single" w:sz="4" w:space="0" w:color="auto"/>
              <w:left w:val="nil"/>
              <w:bottom w:val="single" w:sz="4" w:space="0" w:color="auto"/>
              <w:right w:val="nil"/>
            </w:tcBorders>
            <w:noWrap/>
            <w:vAlign w:val="center"/>
          </w:tcPr>
          <w:p w14:paraId="595CC98F" w14:textId="77777777" w:rsidR="005F1E87" w:rsidRPr="00806D61" w:rsidRDefault="005F1E87" w:rsidP="00571F01">
            <w:pPr>
              <w:spacing w:after="0" w:line="240" w:lineRule="auto"/>
              <w:rPr>
                <w:rFonts w:ascii="Segoe UI" w:eastAsia="Times New Roman" w:hAnsi="Segoe UI" w:cs="Segoe UI"/>
                <w:bCs/>
                <w:color w:val="666666"/>
                <w:sz w:val="16"/>
                <w:szCs w:val="16"/>
              </w:rPr>
            </w:pPr>
            <w:r>
              <w:rPr>
                <w:rFonts w:ascii="Segoe UI" w:eastAsia="Times New Roman" w:hAnsi="Segoe UI" w:cs="Segoe UI"/>
                <w:b/>
                <w:bCs/>
                <w:color w:val="666666"/>
                <w:sz w:val="16"/>
                <w:szCs w:val="16"/>
              </w:rPr>
              <w:t xml:space="preserve">   Total Commercial</w:t>
            </w:r>
          </w:p>
        </w:tc>
        <w:tc>
          <w:tcPr>
            <w:tcW w:w="288" w:type="dxa"/>
            <w:tcBorders>
              <w:top w:val="single" w:sz="4" w:space="0" w:color="auto"/>
              <w:left w:val="nil"/>
              <w:bottom w:val="single" w:sz="4" w:space="0" w:color="auto"/>
              <w:right w:val="nil"/>
            </w:tcBorders>
          </w:tcPr>
          <w:p w14:paraId="57AD5075"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p>
        </w:tc>
        <w:tc>
          <w:tcPr>
            <w:tcW w:w="1152" w:type="dxa"/>
            <w:gridSpan w:val="2"/>
            <w:tcBorders>
              <w:top w:val="single" w:sz="4" w:space="0" w:color="auto"/>
              <w:left w:val="nil"/>
              <w:bottom w:val="single" w:sz="4" w:space="0" w:color="auto"/>
              <w:right w:val="nil"/>
            </w:tcBorders>
            <w:vAlign w:val="center"/>
          </w:tcPr>
          <w:p w14:paraId="2EF48CB8"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$12,237</w:t>
            </w:r>
          </w:p>
        </w:tc>
        <w:tc>
          <w:tcPr>
            <w:tcW w:w="1152" w:type="dxa"/>
            <w:tcBorders>
              <w:top w:val="single" w:sz="4" w:space="0" w:color="auto"/>
              <w:left w:val="nil"/>
              <w:bottom w:val="single" w:sz="4" w:space="0" w:color="auto"/>
              <w:right w:val="nil"/>
            </w:tcBorders>
            <w:vAlign w:val="center"/>
          </w:tcPr>
          <w:p w14:paraId="76C73E1D"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$12,796</w:t>
            </w:r>
          </w:p>
        </w:tc>
        <w:tc>
          <w:tcPr>
            <w:tcW w:w="1152" w:type="dxa"/>
            <w:tcBorders>
              <w:top w:val="single" w:sz="4" w:space="0" w:color="auto"/>
              <w:left w:val="nil"/>
              <w:bottom w:val="single" w:sz="4" w:space="0" w:color="auto"/>
              <w:right w:val="nil"/>
            </w:tcBorders>
            <w:vAlign w:val="center"/>
          </w:tcPr>
          <w:p w14:paraId="54A6E57B" w14:textId="77777777" w:rsidR="005F1E87" w:rsidRDefault="005F1E87" w:rsidP="00571F01">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$(300)</w:t>
            </w:r>
          </w:p>
        </w:tc>
        <w:tc>
          <w:tcPr>
            <w:tcW w:w="1152" w:type="dxa"/>
            <w:tcBorders>
              <w:top w:val="single" w:sz="4" w:space="0" w:color="auto"/>
              <w:left w:val="nil"/>
              <w:bottom w:val="single" w:sz="4" w:space="0" w:color="auto"/>
              <w:right w:val="nil"/>
            </w:tcBorders>
            <w:vAlign w:val="center"/>
          </w:tcPr>
          <w:p w14:paraId="21BE7EC5" w14:textId="77777777" w:rsidR="005F1E87" w:rsidRPr="00443912"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
                <w:bCs/>
                <w:color w:val="595959" w:themeColor="text1" w:themeTint="A6"/>
                <w:sz w:val="16"/>
                <w:szCs w:val="16"/>
              </w:rPr>
              <w:t>5%</w:t>
            </w:r>
          </w:p>
        </w:tc>
        <w:tc>
          <w:tcPr>
            <w:tcW w:w="1152" w:type="dxa"/>
            <w:gridSpan w:val="2"/>
            <w:tcBorders>
              <w:top w:val="single" w:sz="4" w:space="0" w:color="auto"/>
              <w:left w:val="nil"/>
              <w:bottom w:val="single" w:sz="4" w:space="0" w:color="auto"/>
              <w:right w:val="nil"/>
            </w:tcBorders>
            <w:vAlign w:val="center"/>
          </w:tcPr>
          <w:p w14:paraId="2412124D" w14:textId="77777777" w:rsidR="005F1E87" w:rsidRPr="00443912" w:rsidRDefault="005F1E87" w:rsidP="00571F01">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
                <w:bCs/>
                <w:color w:val="595959" w:themeColor="text1" w:themeTint="A6"/>
                <w:sz w:val="16"/>
                <w:szCs w:val="16"/>
              </w:rPr>
              <w:t>7%</w:t>
            </w:r>
          </w:p>
        </w:tc>
      </w:tr>
    </w:tbl>
    <w:p w14:paraId="2626396A" w14:textId="77777777" w:rsidR="005F1E87" w:rsidRDefault="005F1E87" w:rsidP="005F1E87">
      <w:pPr>
        <w:spacing w:line="280" w:lineRule="exact"/>
        <w:rPr>
          <w:rFonts w:ascii="Segoe UI" w:hAnsi="Segoe UI" w:cs="Segoe UI"/>
          <w:color w:val="666666"/>
          <w:sz w:val="20"/>
          <w:szCs w:val="20"/>
        </w:rPr>
      </w:pPr>
    </w:p>
    <w:p w14:paraId="237552EE" w14:textId="77777777" w:rsidR="005F1E87" w:rsidRPr="0080771D" w:rsidRDefault="005F1E87" w:rsidP="005F1E87">
      <w:pPr>
        <w:spacing w:line="280" w:lineRule="exact"/>
        <w:rPr>
          <w:rFonts w:ascii="Segoe UI" w:hAnsi="Segoe UI" w:cs="Segoe UI"/>
          <w:b/>
          <w:color w:val="666666"/>
          <w:sz w:val="20"/>
          <w:szCs w:val="20"/>
        </w:rPr>
      </w:pPr>
      <w:r w:rsidRPr="0080771D">
        <w:rPr>
          <w:rFonts w:ascii="Segoe UI" w:hAnsi="Segoe UI" w:cs="Segoe UI"/>
          <w:b/>
          <w:color w:val="666666"/>
          <w:sz w:val="20"/>
          <w:szCs w:val="20"/>
        </w:rPr>
        <w:t>Noted Items Definition</w:t>
      </w:r>
    </w:p>
    <w:p w14:paraId="66FB2982" w14:textId="77777777" w:rsidR="005F1E87" w:rsidRPr="00EA786C" w:rsidRDefault="005F1E87" w:rsidP="005F1E87">
      <w:pPr>
        <w:keepNext/>
        <w:spacing w:before="270" w:after="270" w:line="240" w:lineRule="auto"/>
        <w:rPr>
          <w:rFonts w:ascii="Segoe UI" w:hAnsi="Segoe UI" w:cs="Segoe UI"/>
          <w:color w:val="666666"/>
          <w:sz w:val="20"/>
          <w:szCs w:val="20"/>
        </w:rPr>
      </w:pPr>
      <w:r w:rsidRPr="00EA786C">
        <w:rPr>
          <w:rFonts w:ascii="Segoe UI" w:hAnsi="Segoe UI" w:cs="Segoe UI"/>
          <w:color w:val="666666"/>
          <w:sz w:val="20"/>
          <w:szCs w:val="20"/>
        </w:rPr>
        <w:t>Integration and restructuring expenses were $</w:t>
      </w:r>
      <w:r w:rsidRPr="00A06859">
        <w:rPr>
          <w:rFonts w:ascii="Segoe UI" w:hAnsi="Segoe UI" w:cs="Segoe UI"/>
          <w:color w:val="666666"/>
          <w:sz w:val="20"/>
          <w:szCs w:val="20"/>
        </w:rPr>
        <w:t xml:space="preserve">190 </w:t>
      </w:r>
      <w:r w:rsidRPr="00EA786C">
        <w:rPr>
          <w:rFonts w:ascii="Segoe UI" w:hAnsi="Segoe UI" w:cs="Segoe UI"/>
          <w:color w:val="666666"/>
          <w:sz w:val="20"/>
          <w:szCs w:val="20"/>
        </w:rPr>
        <w:t>million during the three months ended March 31, 2015.  Integration and restructuring expenses include employee severance expenses and costs associated with the consolidation of facilities and manufacturing operations, including asset write-downs and contract termination costs, resulting from Microsoft’s restructuring plan. Integration and restructuring expenses</w:t>
      </w:r>
      <w:r w:rsidRPr="00C05196">
        <w:rPr>
          <w:rFonts w:ascii="Segoe UI" w:hAnsi="Segoe UI" w:cs="Segoe UI"/>
          <w:sz w:val="20"/>
          <w:szCs w:val="20"/>
        </w:rPr>
        <w:t xml:space="preserve"> </w:t>
      </w:r>
      <w:r w:rsidRPr="00EA786C">
        <w:rPr>
          <w:rFonts w:ascii="Segoe UI" w:hAnsi="Segoe UI" w:cs="Segoe UI"/>
          <w:color w:val="666666"/>
          <w:sz w:val="20"/>
          <w:szCs w:val="20"/>
        </w:rPr>
        <w:t>also include systems consolidation and other business integration expenses, as well as transaction fees and direct acquisition costs, associated with the acquisition of NDS.</w:t>
      </w:r>
    </w:p>
    <w:p w14:paraId="4C745125" w14:textId="77777777" w:rsidR="005F1E87" w:rsidRPr="0080771D" w:rsidRDefault="005F1E87" w:rsidP="005F1E87">
      <w:pPr>
        <w:spacing w:line="280" w:lineRule="exact"/>
        <w:rPr>
          <w:rFonts w:ascii="Segoe UI" w:hAnsi="Segoe UI" w:cs="Segoe UI"/>
          <w:b/>
          <w:color w:val="666666"/>
          <w:sz w:val="20"/>
          <w:szCs w:val="20"/>
        </w:rPr>
      </w:pPr>
      <w:r w:rsidRPr="0080771D">
        <w:rPr>
          <w:rFonts w:ascii="Segoe UI" w:hAnsi="Segoe UI" w:cs="Segoe UI"/>
          <w:b/>
          <w:color w:val="666666"/>
          <w:sz w:val="20"/>
          <w:szCs w:val="20"/>
        </w:rPr>
        <w:t>About Microsoft</w:t>
      </w:r>
    </w:p>
    <w:p w14:paraId="2559C804" w14:textId="77777777" w:rsidR="005F1E87" w:rsidRPr="00EA786C" w:rsidRDefault="005F1E87" w:rsidP="005F1E87">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lastRenderedPageBreak/>
        <w:t>Founded in 1975, Microsoft (Nasdaq “MSFT”) is the worldwide leader in software, services, devices, and solutions that help people and businesses realize their full potential.</w:t>
      </w:r>
    </w:p>
    <w:p w14:paraId="005B178D" w14:textId="77777777" w:rsidR="005F1E87" w:rsidRPr="0080771D" w:rsidRDefault="005F1E87" w:rsidP="005F1E87">
      <w:pPr>
        <w:spacing w:line="280" w:lineRule="exact"/>
        <w:rPr>
          <w:rFonts w:ascii="Segoe UI" w:hAnsi="Segoe UI" w:cs="Segoe UI"/>
          <w:b/>
          <w:color w:val="666666"/>
          <w:sz w:val="20"/>
          <w:szCs w:val="20"/>
        </w:rPr>
      </w:pPr>
      <w:r w:rsidRPr="0080771D">
        <w:rPr>
          <w:rFonts w:ascii="Segoe UI" w:hAnsi="Segoe UI" w:cs="Segoe UI"/>
          <w:b/>
          <w:color w:val="666666"/>
          <w:sz w:val="20"/>
          <w:szCs w:val="20"/>
        </w:rPr>
        <w:t>Forward-Looking Statements</w:t>
      </w:r>
    </w:p>
    <w:p w14:paraId="41A32462" w14:textId="77777777" w:rsidR="005F1E87" w:rsidRPr="00EA786C" w:rsidRDefault="005F1E87" w:rsidP="005F1E87">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2AB7AB3B"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intense competition in all of Microsoft’s markets;</w:t>
      </w:r>
    </w:p>
    <w:p w14:paraId="6330C050"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increasing focus on services presents execution and competitive risks;</w:t>
      </w:r>
    </w:p>
    <w:p w14:paraId="604E9AA5"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significant investments in new products and services that may not be profitable;</w:t>
      </w:r>
    </w:p>
    <w:p w14:paraId="428FA720"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acquisitions, joint ventures, and strategic alliances may have an adverse effect on our business;</w:t>
      </w:r>
    </w:p>
    <w:p w14:paraId="1C0B41C8"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impairment of goodwill or amortizable intangible assets causing a significant charge to earnings;</w:t>
      </w:r>
    </w:p>
    <w:p w14:paraId="76E7503F"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continued ability to protect and earn revenues from its intellectual property rights;</w:t>
      </w:r>
    </w:p>
    <w:p w14:paraId="22FE82BD"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claims that Microsoft has infringed the intellectual property rights of others;</w:t>
      </w:r>
    </w:p>
    <w:p w14:paraId="18EA5E43"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the possibility of unauthorized disclosure of significant portions of Microsoft’s source code;</w:t>
      </w:r>
    </w:p>
    <w:p w14:paraId="722EDC65"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cyber-attacks and security vulnerabilities in Microsoft products and services that could reduce revenue or lead to liability;</w:t>
      </w:r>
    </w:p>
    <w:p w14:paraId="0ACA0768"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 xml:space="preserve">disclosure of personal data that could cause liability and harm to Microsoft’s reputation; </w:t>
      </w:r>
    </w:p>
    <w:p w14:paraId="038AC5E0"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lastRenderedPageBreak/>
        <w:t>outages, data losses, and disruptions of our online services if we fail to maintain an adequate operations infrastructure;</w:t>
      </w:r>
    </w:p>
    <w:p w14:paraId="7DD5D27A"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government litigation and regulation that may limit how Microsoft designs and markets its products;</w:t>
      </w:r>
    </w:p>
    <w:p w14:paraId="0EF883B1"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potential liability under trade protection and anti-corruption laws resulting from our international operations;</w:t>
      </w:r>
    </w:p>
    <w:p w14:paraId="6EE0CA08"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ability to attract and retain talented employees;</w:t>
      </w:r>
    </w:p>
    <w:p w14:paraId="40B37F9B"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adverse results in legal disputes;</w:t>
      </w:r>
    </w:p>
    <w:p w14:paraId="413329F6"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unanticipated tax liabilities;</w:t>
      </w:r>
    </w:p>
    <w:p w14:paraId="62DD953C"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hardware and software products may experience quality or supply problems;</w:t>
      </w:r>
    </w:p>
    <w:p w14:paraId="69B31AF3"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exposure to increased economic and operational uncertainties from operating a global business;</w:t>
      </w:r>
    </w:p>
    <w:p w14:paraId="171DDBA9"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catastrophic events or geo-political conditions may disrupt our business; and</w:t>
      </w:r>
    </w:p>
    <w:p w14:paraId="6F808DC7" w14:textId="77777777" w:rsidR="005F1E87" w:rsidRPr="00EA786C" w:rsidRDefault="005F1E87" w:rsidP="005F1E87">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adverse economic or market conditions may harm our business.</w:t>
      </w:r>
    </w:p>
    <w:p w14:paraId="31CBEBA7" w14:textId="77777777" w:rsidR="005F1E87" w:rsidRPr="00EA786C" w:rsidRDefault="005F1E87" w:rsidP="005F1E87">
      <w:pPr>
        <w:pStyle w:val="NoSpacing"/>
        <w:spacing w:before="240"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tgtFrame="_blank" w:history="1">
        <w:r w:rsidRPr="00130739">
          <w:rPr>
            <w:color w:val="92D050"/>
          </w:rPr>
          <w:t>http://www.microsoft.com/investor</w:t>
        </w:r>
      </w:hyperlink>
      <w:r w:rsidRPr="00EA786C">
        <w:rPr>
          <w:rFonts w:ascii="Segoe UI" w:hAnsi="Segoe UI" w:cs="Segoe UI"/>
          <w:color w:val="666666"/>
          <w:sz w:val="20"/>
          <w:szCs w:val="20"/>
        </w:rPr>
        <w:t>.</w:t>
      </w:r>
    </w:p>
    <w:p w14:paraId="771C2FEB" w14:textId="77777777" w:rsidR="005F1E87" w:rsidRPr="00EA786C" w:rsidRDefault="005F1E87" w:rsidP="005F1E87">
      <w:pPr>
        <w:pStyle w:val="NoSpacing"/>
        <w:spacing w:before="240" w:after="200" w:line="280" w:lineRule="exact"/>
        <w:rPr>
          <w:rFonts w:ascii="Segoe UI" w:hAnsi="Segoe UI" w:cs="Segoe UI"/>
          <w:color w:val="666666"/>
          <w:sz w:val="20"/>
          <w:szCs w:val="20"/>
        </w:rPr>
      </w:pPr>
      <w:r w:rsidRPr="00EA786C">
        <w:rPr>
          <w:rFonts w:ascii="Segoe UI" w:hAnsi="Segoe UI" w:cs="Segoe UI"/>
          <w:color w:val="666666"/>
          <w:sz w:val="20"/>
          <w:szCs w:val="20"/>
        </w:rPr>
        <w:lastRenderedPageBreak/>
        <w:t>All information in this release is as of April 23, 2015. The company undertakes no duty to update any forward-looking statement to conform the statement to actual results or changes in the company’s expectations.</w:t>
      </w:r>
    </w:p>
    <w:p w14:paraId="0F674ACD" w14:textId="77777777" w:rsidR="005F1E87" w:rsidRPr="0080771D" w:rsidRDefault="005F1E87" w:rsidP="005F1E87">
      <w:pPr>
        <w:spacing w:after="0" w:line="280" w:lineRule="exact"/>
        <w:rPr>
          <w:rFonts w:ascii="Segoe UI" w:hAnsi="Segoe UI" w:cs="Segoe UI"/>
          <w:b/>
          <w:color w:val="666666"/>
          <w:sz w:val="20"/>
          <w:szCs w:val="20"/>
        </w:rPr>
      </w:pPr>
      <w:r w:rsidRPr="0080771D">
        <w:rPr>
          <w:rFonts w:ascii="Segoe UI" w:hAnsi="Segoe UI" w:cs="Segoe UI"/>
          <w:b/>
          <w:color w:val="666666"/>
          <w:sz w:val="20"/>
          <w:szCs w:val="20"/>
        </w:rPr>
        <w:t xml:space="preserve">For more information, press only: </w:t>
      </w:r>
    </w:p>
    <w:p w14:paraId="08AD5AD7" w14:textId="77777777" w:rsidR="005F1E87" w:rsidRPr="00EA786C" w:rsidRDefault="005F1E87" w:rsidP="005F1E87">
      <w:pPr>
        <w:pStyle w:val="NoSpacing"/>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Rapid Response Team, Waggener Edstrom Worldwide, (503) 443-7070, </w:t>
      </w:r>
      <w:hyperlink r:id="rId12" w:history="1">
        <w:r w:rsidRPr="00EA786C">
          <w:rPr>
            <w:color w:val="666666"/>
          </w:rPr>
          <w:t>rrt@waggeneredstrom.com</w:t>
        </w:r>
      </w:hyperlink>
    </w:p>
    <w:p w14:paraId="7D829EB4" w14:textId="77777777" w:rsidR="005F1E87" w:rsidRPr="00C05196" w:rsidRDefault="005F1E87" w:rsidP="005F1E87">
      <w:pPr>
        <w:pStyle w:val="NoSpacing"/>
        <w:spacing w:line="280" w:lineRule="exact"/>
        <w:rPr>
          <w:rFonts w:ascii="Segoe UI" w:hAnsi="Segoe UI" w:cs="Segoe UI"/>
          <w:b/>
          <w:sz w:val="20"/>
          <w:szCs w:val="20"/>
        </w:rPr>
      </w:pPr>
    </w:p>
    <w:p w14:paraId="170F4CDD" w14:textId="77777777" w:rsidR="005F1E87" w:rsidRPr="0080771D" w:rsidRDefault="005F1E87" w:rsidP="005F1E87">
      <w:pPr>
        <w:spacing w:after="0" w:line="280" w:lineRule="exact"/>
        <w:rPr>
          <w:rFonts w:ascii="Segoe UI" w:hAnsi="Segoe UI" w:cs="Segoe UI"/>
          <w:b/>
          <w:color w:val="666666"/>
          <w:sz w:val="20"/>
          <w:szCs w:val="20"/>
        </w:rPr>
      </w:pPr>
      <w:r w:rsidRPr="0080771D">
        <w:rPr>
          <w:rFonts w:ascii="Segoe UI" w:hAnsi="Segoe UI" w:cs="Segoe UI"/>
          <w:b/>
          <w:color w:val="666666"/>
          <w:sz w:val="20"/>
          <w:szCs w:val="20"/>
        </w:rPr>
        <w:t xml:space="preserve">For more information, financial analysts and investors only: </w:t>
      </w:r>
    </w:p>
    <w:p w14:paraId="41047C4C" w14:textId="77777777" w:rsidR="005F1E87" w:rsidRPr="00EA786C" w:rsidRDefault="005F1E87" w:rsidP="005F1E87">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Chris Suh, general manager, Investor Relations, (425) 706-4400</w:t>
      </w:r>
    </w:p>
    <w:p w14:paraId="6C30F0C4" w14:textId="57E32794" w:rsidR="005F1E87" w:rsidRDefault="005F1E87" w:rsidP="005F1E87">
      <w:pPr>
        <w:pStyle w:val="NoSpacing"/>
        <w:spacing w:after="200" w:line="280" w:lineRule="exact"/>
        <w:rPr>
          <w:rFonts w:ascii="Segoe UI" w:hAnsi="Segoe UI" w:cs="Segoe UI"/>
          <w:color w:val="92D050"/>
          <w:sz w:val="20"/>
          <w:szCs w:val="20"/>
        </w:rPr>
      </w:pPr>
      <w:r w:rsidRPr="00EA786C">
        <w:rPr>
          <w:rFonts w:ascii="Segoe UI" w:hAnsi="Segoe UI" w:cs="Segoe UI"/>
          <w:color w:val="666666"/>
          <w:sz w:val="20"/>
          <w:szCs w:val="20"/>
        </w:rPr>
        <w:t xml:space="preserve">Note to editors: For more information, news and perspectives from Microsoft, please visit the Microsoft News Center at </w:t>
      </w:r>
      <w:hyperlink r:id="rId13" w:tgtFrame="_blank" w:history="1">
        <w:r w:rsidRPr="00130739">
          <w:rPr>
            <w:color w:val="92D050"/>
          </w:rPr>
          <w:t>http://www.microsoft.com/news</w:t>
        </w:r>
      </w:hyperlink>
      <w:r w:rsidRPr="00130739">
        <w:rPr>
          <w:color w:val="92D050"/>
        </w:rPr>
        <w:t>/</w:t>
      </w:r>
      <w:r w:rsidRPr="00EA786C">
        <w:rPr>
          <w:rFonts w:ascii="Segoe UI" w:hAnsi="Segoe UI" w:cs="Segoe UI"/>
          <w:color w:val="666666"/>
          <w:sz w:val="20"/>
          <w:szCs w:val="20"/>
        </w:rPr>
        <w:t>. Web links, telephone numbers, and titles were correct at time of publication, but may since have changed. Shareholder and financial information, as well as today’s 2:30 p.m. P</w:t>
      </w:r>
      <w:r>
        <w:rPr>
          <w:rFonts w:ascii="Segoe UI" w:hAnsi="Segoe UI" w:cs="Segoe UI"/>
          <w:color w:val="666666"/>
          <w:sz w:val="20"/>
          <w:szCs w:val="20"/>
        </w:rPr>
        <w:t>D</w:t>
      </w:r>
      <w:r w:rsidRPr="00EA786C">
        <w:rPr>
          <w:rFonts w:ascii="Segoe UI" w:hAnsi="Segoe UI" w:cs="Segoe UI"/>
          <w:color w:val="666666"/>
          <w:sz w:val="20"/>
          <w:szCs w:val="20"/>
        </w:rPr>
        <w:t xml:space="preserve">T conference call with investors and analysts, is available at </w:t>
      </w:r>
      <w:hyperlink r:id="rId14" w:tgtFrame="_blank" w:history="1">
        <w:r w:rsidRPr="00130739">
          <w:rPr>
            <w:color w:val="92D050"/>
            <w:szCs w:val="20"/>
          </w:rPr>
          <w:t>http://www.microsoft.com/investor</w:t>
        </w:r>
      </w:hyperlink>
      <w:r w:rsidRPr="00130739">
        <w:rPr>
          <w:rFonts w:ascii="Segoe UI" w:hAnsi="Segoe UI" w:cs="Segoe UI"/>
          <w:color w:val="92D050"/>
          <w:sz w:val="20"/>
          <w:szCs w:val="20"/>
        </w:rPr>
        <w:t>.</w:t>
      </w:r>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2"/>
      <w:bookmarkEnd w:id="3"/>
      <w:bookmarkEnd w:id="4"/>
      <w:bookmarkEnd w:id="5"/>
      <w:bookmarkEnd w:id="6"/>
      <w:bookmarkEnd w:id="7"/>
      <w:bookmarkEnd w:id="8"/>
      <w:bookmarkEnd w:id="9"/>
      <w:bookmarkEnd w:id="10"/>
      <w:r>
        <w:rPr>
          <w:rFonts w:ascii="Segoe UI" w:hAnsi="Segoe UI" w:cs="Segoe UI"/>
          <w:color w:val="92D050"/>
          <w:sz w:val="20"/>
          <w:szCs w:val="20"/>
        </w:rPr>
        <w:t xml:space="preserve"> </w:t>
      </w:r>
    </w:p>
    <w:p w14:paraId="32C8BA72" w14:textId="59A57A6F" w:rsidR="00C05E95" w:rsidRDefault="00C05E95">
      <w:pPr>
        <w:spacing w:after="160" w:line="259" w:lineRule="auto"/>
        <w:rPr>
          <w:rFonts w:ascii="Segoe UI" w:hAnsi="Segoe UI" w:cs="Segoe UI"/>
          <w:color w:val="92D050"/>
          <w:sz w:val="20"/>
          <w:szCs w:val="20"/>
        </w:rPr>
      </w:pPr>
      <w:r>
        <w:rPr>
          <w:rFonts w:ascii="Segoe UI" w:hAnsi="Segoe UI" w:cs="Segoe UI"/>
          <w:color w:val="92D050"/>
          <w:sz w:val="20"/>
          <w:szCs w:val="20"/>
        </w:rPr>
        <w:br w:type="page"/>
      </w:r>
    </w:p>
    <w:p w14:paraId="3C56D80E" w14:textId="77777777" w:rsidR="00C05E95" w:rsidRDefault="00C05E95" w:rsidP="005F1E87">
      <w:pPr>
        <w:pStyle w:val="NoSpacing"/>
        <w:spacing w:after="200" w:line="280" w:lineRule="exact"/>
        <w:rPr>
          <w:rFonts w:ascii="Segoe UI" w:hAnsi="Segoe UI" w:cs="Segoe UI"/>
          <w:color w:val="92D050"/>
          <w:sz w:val="20"/>
          <w:szCs w:val="20"/>
        </w:rPr>
      </w:pPr>
    </w:p>
    <w:tbl>
      <w:tblPr>
        <w:tblW w:w="8148" w:type="dxa"/>
        <w:tblCellMar>
          <w:left w:w="0" w:type="dxa"/>
          <w:right w:w="0" w:type="dxa"/>
        </w:tblCellMar>
        <w:tblLook w:val="04A0" w:firstRow="1" w:lastRow="0" w:firstColumn="1" w:lastColumn="0" w:noHBand="0" w:noVBand="1"/>
      </w:tblPr>
      <w:tblGrid>
        <w:gridCol w:w="3260"/>
        <w:gridCol w:w="1160"/>
        <w:gridCol w:w="180"/>
        <w:gridCol w:w="1000"/>
        <w:gridCol w:w="236"/>
        <w:gridCol w:w="1260"/>
        <w:gridCol w:w="180"/>
        <w:gridCol w:w="1000"/>
      </w:tblGrid>
      <w:tr w:rsidR="00721C2E" w:rsidRPr="00721C2E" w14:paraId="086D8A9A" w14:textId="77777777" w:rsidTr="00FD0008">
        <w:trPr>
          <w:trHeight w:val="285"/>
        </w:trPr>
        <w:tc>
          <w:tcPr>
            <w:tcW w:w="3244" w:type="dxa"/>
            <w:tcBorders>
              <w:top w:val="nil"/>
              <w:left w:val="nil"/>
              <w:bottom w:val="nil"/>
              <w:right w:val="nil"/>
            </w:tcBorders>
            <w:shd w:val="clear" w:color="auto" w:fill="auto"/>
            <w:noWrap/>
            <w:vAlign w:val="bottom"/>
            <w:hideMark/>
          </w:tcPr>
          <w:p w14:paraId="1834C789" w14:textId="5E679422" w:rsidR="00721C2E" w:rsidRPr="00721C2E" w:rsidRDefault="00EA2CC9" w:rsidP="00721C2E">
            <w:pPr>
              <w:spacing w:after="0" w:line="240" w:lineRule="auto"/>
              <w:rPr>
                <w:rFonts w:ascii="Segoe UI" w:eastAsia="Times New Roman" w:hAnsi="Segoe UI" w:cs="Segoe UI"/>
                <w:b/>
                <w:bCs/>
                <w:color w:val="666666"/>
                <w:sz w:val="20"/>
                <w:szCs w:val="20"/>
              </w:rPr>
            </w:pPr>
            <w:r>
              <w:rPr>
                <w:rFonts w:ascii="Segoe UI" w:hAnsi="Segoe UI" w:cs="Segoe UI"/>
                <w:color w:val="666666"/>
                <w:sz w:val="20"/>
                <w:szCs w:val="20"/>
              </w:rPr>
              <w:br w:type="page"/>
            </w:r>
            <w:bookmarkStart w:id="11" w:name="RANGE!A1"/>
            <w:r w:rsidR="00721C2E" w:rsidRPr="00721C2E">
              <w:rPr>
                <w:rFonts w:ascii="Segoe UI" w:eastAsia="Times New Roman" w:hAnsi="Segoe UI" w:cs="Segoe UI"/>
                <w:b/>
                <w:bCs/>
                <w:color w:val="666666"/>
                <w:sz w:val="20"/>
                <w:szCs w:val="20"/>
              </w:rPr>
              <w:t>MICROSOFT CORPORATION</w:t>
            </w:r>
            <w:bookmarkEnd w:id="11"/>
          </w:p>
        </w:tc>
        <w:tc>
          <w:tcPr>
            <w:tcW w:w="1144" w:type="dxa"/>
            <w:tcBorders>
              <w:top w:val="nil"/>
              <w:left w:val="nil"/>
              <w:bottom w:val="nil"/>
              <w:right w:val="nil"/>
            </w:tcBorders>
            <w:shd w:val="clear" w:color="auto" w:fill="auto"/>
            <w:noWrap/>
            <w:vAlign w:val="bottom"/>
            <w:hideMark/>
          </w:tcPr>
          <w:p w14:paraId="3BD78B7E"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164" w:type="dxa"/>
            <w:tcBorders>
              <w:top w:val="nil"/>
              <w:left w:val="nil"/>
              <w:bottom w:val="nil"/>
              <w:right w:val="nil"/>
            </w:tcBorders>
            <w:shd w:val="clear" w:color="auto" w:fill="auto"/>
            <w:noWrap/>
            <w:vAlign w:val="bottom"/>
            <w:hideMark/>
          </w:tcPr>
          <w:p w14:paraId="570F2781"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7B6B6BAF" w14:textId="77777777" w:rsidR="00721C2E" w:rsidRPr="00721C2E" w:rsidRDefault="00721C2E" w:rsidP="00721C2E">
            <w:pPr>
              <w:spacing w:after="0" w:line="240" w:lineRule="auto"/>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630F0106"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244" w:type="dxa"/>
            <w:tcBorders>
              <w:top w:val="nil"/>
              <w:left w:val="nil"/>
              <w:bottom w:val="nil"/>
              <w:right w:val="nil"/>
            </w:tcBorders>
            <w:shd w:val="clear" w:color="auto" w:fill="auto"/>
            <w:noWrap/>
            <w:vAlign w:val="bottom"/>
            <w:hideMark/>
          </w:tcPr>
          <w:p w14:paraId="51A7251C" w14:textId="77777777" w:rsidR="00721C2E" w:rsidRPr="00721C2E" w:rsidRDefault="00721C2E" w:rsidP="00721C2E">
            <w:pPr>
              <w:spacing w:after="0" w:line="240" w:lineRule="auto"/>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14478C86"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17E6B2FE"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6FAEEEC4" w14:textId="77777777" w:rsidTr="00FD0008">
        <w:trPr>
          <w:trHeight w:val="285"/>
        </w:trPr>
        <w:tc>
          <w:tcPr>
            <w:tcW w:w="3244" w:type="dxa"/>
            <w:tcBorders>
              <w:top w:val="nil"/>
              <w:left w:val="nil"/>
              <w:bottom w:val="nil"/>
              <w:right w:val="nil"/>
            </w:tcBorders>
            <w:shd w:val="clear" w:color="auto" w:fill="auto"/>
            <w:noWrap/>
            <w:vAlign w:val="bottom"/>
            <w:hideMark/>
          </w:tcPr>
          <w:p w14:paraId="6D6ADEA1"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44" w:type="dxa"/>
            <w:tcBorders>
              <w:top w:val="nil"/>
              <w:left w:val="nil"/>
              <w:bottom w:val="nil"/>
              <w:right w:val="nil"/>
            </w:tcBorders>
            <w:shd w:val="clear" w:color="auto" w:fill="auto"/>
            <w:noWrap/>
            <w:vAlign w:val="bottom"/>
            <w:hideMark/>
          </w:tcPr>
          <w:p w14:paraId="37EBB888" w14:textId="77777777" w:rsidR="00721C2E" w:rsidRPr="00721C2E" w:rsidRDefault="00721C2E" w:rsidP="00721C2E">
            <w:pPr>
              <w:spacing w:after="0" w:line="240" w:lineRule="auto"/>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6912FE90"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18BCCD41" w14:textId="77777777" w:rsidR="00721C2E" w:rsidRPr="00721C2E" w:rsidRDefault="00721C2E" w:rsidP="00721C2E">
            <w:pPr>
              <w:spacing w:after="0" w:line="240" w:lineRule="auto"/>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1E1B0285"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244" w:type="dxa"/>
            <w:tcBorders>
              <w:top w:val="nil"/>
              <w:left w:val="nil"/>
              <w:bottom w:val="nil"/>
              <w:right w:val="nil"/>
            </w:tcBorders>
            <w:shd w:val="clear" w:color="auto" w:fill="auto"/>
            <w:noWrap/>
            <w:vAlign w:val="bottom"/>
            <w:hideMark/>
          </w:tcPr>
          <w:p w14:paraId="0D3C5BDF" w14:textId="77777777" w:rsidR="00721C2E" w:rsidRPr="00721C2E" w:rsidRDefault="00721C2E" w:rsidP="00721C2E">
            <w:pPr>
              <w:spacing w:after="0" w:line="240" w:lineRule="auto"/>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5F9D2C49"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2BB8E827"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290646D9" w14:textId="77777777" w:rsidTr="00FD0008">
        <w:trPr>
          <w:trHeight w:val="285"/>
        </w:trPr>
        <w:tc>
          <w:tcPr>
            <w:tcW w:w="8148" w:type="dxa"/>
            <w:gridSpan w:val="8"/>
            <w:tcBorders>
              <w:top w:val="nil"/>
              <w:left w:val="nil"/>
              <w:bottom w:val="nil"/>
              <w:right w:val="nil"/>
            </w:tcBorders>
            <w:shd w:val="clear" w:color="auto" w:fill="auto"/>
            <w:noWrap/>
            <w:vAlign w:val="bottom"/>
            <w:hideMark/>
          </w:tcPr>
          <w:p w14:paraId="250AC3CD"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INCOME STATEMENTS</w:t>
            </w:r>
          </w:p>
        </w:tc>
      </w:tr>
      <w:tr w:rsidR="00721C2E" w:rsidRPr="00721C2E" w14:paraId="43C706FB" w14:textId="77777777" w:rsidTr="00FD0008">
        <w:trPr>
          <w:trHeight w:val="285"/>
        </w:trPr>
        <w:tc>
          <w:tcPr>
            <w:tcW w:w="8148" w:type="dxa"/>
            <w:gridSpan w:val="8"/>
            <w:tcBorders>
              <w:top w:val="nil"/>
              <w:left w:val="nil"/>
              <w:bottom w:val="nil"/>
              <w:right w:val="nil"/>
            </w:tcBorders>
            <w:shd w:val="clear" w:color="auto" w:fill="auto"/>
            <w:noWrap/>
            <w:vAlign w:val="bottom"/>
            <w:hideMark/>
          </w:tcPr>
          <w:p w14:paraId="70D8AF39"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 millions, except per share amounts)(Unaudited)</w:t>
            </w:r>
          </w:p>
        </w:tc>
      </w:tr>
      <w:tr w:rsidR="00721C2E" w:rsidRPr="00721C2E" w14:paraId="5482A3A3" w14:textId="77777777" w:rsidTr="00FD0008">
        <w:trPr>
          <w:trHeight w:val="285"/>
        </w:trPr>
        <w:tc>
          <w:tcPr>
            <w:tcW w:w="3244" w:type="dxa"/>
            <w:tcBorders>
              <w:top w:val="nil"/>
              <w:left w:val="nil"/>
              <w:bottom w:val="nil"/>
              <w:right w:val="nil"/>
            </w:tcBorders>
            <w:shd w:val="clear" w:color="auto" w:fill="auto"/>
            <w:noWrap/>
            <w:vAlign w:val="bottom"/>
            <w:hideMark/>
          </w:tcPr>
          <w:p w14:paraId="4563ACF7"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p>
        </w:tc>
        <w:tc>
          <w:tcPr>
            <w:tcW w:w="1144" w:type="dxa"/>
            <w:tcBorders>
              <w:top w:val="nil"/>
              <w:left w:val="nil"/>
              <w:bottom w:val="nil"/>
              <w:right w:val="nil"/>
            </w:tcBorders>
            <w:shd w:val="clear" w:color="auto" w:fill="auto"/>
            <w:noWrap/>
            <w:vAlign w:val="bottom"/>
            <w:hideMark/>
          </w:tcPr>
          <w:p w14:paraId="1BEF5B25"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488864FF"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33975A36"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506C9FB6"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244" w:type="dxa"/>
            <w:tcBorders>
              <w:top w:val="nil"/>
              <w:left w:val="nil"/>
              <w:bottom w:val="nil"/>
              <w:right w:val="nil"/>
            </w:tcBorders>
            <w:shd w:val="clear" w:color="auto" w:fill="auto"/>
            <w:noWrap/>
            <w:vAlign w:val="bottom"/>
            <w:hideMark/>
          </w:tcPr>
          <w:p w14:paraId="7237D7A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6358963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58872AD2" w14:textId="77777777" w:rsidR="00721C2E" w:rsidRPr="00721C2E" w:rsidRDefault="00721C2E" w:rsidP="00721C2E">
            <w:pPr>
              <w:spacing w:after="0" w:line="240" w:lineRule="auto"/>
              <w:jc w:val="center"/>
              <w:rPr>
                <w:rFonts w:ascii="Times New Roman" w:eastAsia="Times New Roman" w:hAnsi="Times New Roman"/>
                <w:sz w:val="20"/>
                <w:szCs w:val="20"/>
              </w:rPr>
            </w:pPr>
          </w:p>
        </w:tc>
      </w:tr>
      <w:tr w:rsidR="00721C2E" w:rsidRPr="00721C2E" w14:paraId="19284D10" w14:textId="77777777" w:rsidTr="00FD0008">
        <w:trPr>
          <w:trHeight w:val="285"/>
        </w:trPr>
        <w:tc>
          <w:tcPr>
            <w:tcW w:w="3244" w:type="dxa"/>
            <w:tcBorders>
              <w:top w:val="nil"/>
              <w:left w:val="nil"/>
              <w:bottom w:val="nil"/>
              <w:right w:val="nil"/>
            </w:tcBorders>
            <w:shd w:val="clear" w:color="auto" w:fill="auto"/>
            <w:noWrap/>
            <w:vAlign w:val="bottom"/>
            <w:hideMark/>
          </w:tcPr>
          <w:p w14:paraId="32CC8CE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2292" w:type="dxa"/>
            <w:gridSpan w:val="3"/>
            <w:vMerge w:val="restart"/>
            <w:tcBorders>
              <w:top w:val="nil"/>
              <w:left w:val="nil"/>
              <w:bottom w:val="nil"/>
              <w:right w:val="nil"/>
            </w:tcBorders>
            <w:shd w:val="clear" w:color="auto" w:fill="auto"/>
            <w:vAlign w:val="bottom"/>
            <w:hideMark/>
          </w:tcPr>
          <w:p w14:paraId="6C45D72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Three Months Ended March 31,</w:t>
            </w:r>
          </w:p>
        </w:tc>
        <w:tc>
          <w:tcPr>
            <w:tcW w:w="220" w:type="dxa"/>
            <w:tcBorders>
              <w:top w:val="nil"/>
              <w:left w:val="nil"/>
              <w:bottom w:val="nil"/>
              <w:right w:val="nil"/>
            </w:tcBorders>
            <w:shd w:val="clear" w:color="auto" w:fill="auto"/>
            <w:vAlign w:val="bottom"/>
            <w:hideMark/>
          </w:tcPr>
          <w:p w14:paraId="4E5BC23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2392" w:type="dxa"/>
            <w:gridSpan w:val="3"/>
            <w:vMerge w:val="restart"/>
            <w:tcBorders>
              <w:top w:val="nil"/>
              <w:left w:val="nil"/>
              <w:bottom w:val="nil"/>
              <w:right w:val="nil"/>
            </w:tcBorders>
            <w:shd w:val="clear" w:color="auto" w:fill="auto"/>
            <w:vAlign w:val="bottom"/>
            <w:hideMark/>
          </w:tcPr>
          <w:p w14:paraId="3136AA19"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Nine Months Ended March 31,</w:t>
            </w:r>
          </w:p>
        </w:tc>
      </w:tr>
      <w:tr w:rsidR="00721C2E" w:rsidRPr="00721C2E" w14:paraId="30FF17F3" w14:textId="77777777" w:rsidTr="00FD0008">
        <w:trPr>
          <w:trHeight w:val="285"/>
        </w:trPr>
        <w:tc>
          <w:tcPr>
            <w:tcW w:w="3244" w:type="dxa"/>
            <w:tcBorders>
              <w:top w:val="nil"/>
              <w:left w:val="nil"/>
              <w:bottom w:val="nil"/>
              <w:right w:val="nil"/>
            </w:tcBorders>
            <w:shd w:val="clear" w:color="auto" w:fill="auto"/>
            <w:noWrap/>
            <w:vAlign w:val="bottom"/>
            <w:hideMark/>
          </w:tcPr>
          <w:p w14:paraId="3A21195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2292" w:type="dxa"/>
            <w:gridSpan w:val="3"/>
            <w:vMerge/>
            <w:tcBorders>
              <w:top w:val="nil"/>
              <w:left w:val="nil"/>
              <w:bottom w:val="nil"/>
              <w:right w:val="nil"/>
            </w:tcBorders>
            <w:vAlign w:val="center"/>
            <w:hideMark/>
          </w:tcPr>
          <w:p w14:paraId="22D5A666"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vAlign w:val="bottom"/>
            <w:hideMark/>
          </w:tcPr>
          <w:p w14:paraId="795D6CB2" w14:textId="77777777" w:rsidR="00721C2E" w:rsidRPr="00721C2E" w:rsidRDefault="00721C2E" w:rsidP="00721C2E">
            <w:pPr>
              <w:spacing w:after="0" w:line="240" w:lineRule="auto"/>
              <w:rPr>
                <w:rFonts w:ascii="Times New Roman" w:eastAsia="Times New Roman" w:hAnsi="Times New Roman"/>
                <w:sz w:val="20"/>
                <w:szCs w:val="20"/>
              </w:rPr>
            </w:pPr>
          </w:p>
        </w:tc>
        <w:tc>
          <w:tcPr>
            <w:tcW w:w="2392" w:type="dxa"/>
            <w:gridSpan w:val="3"/>
            <w:vMerge/>
            <w:tcBorders>
              <w:top w:val="nil"/>
              <w:left w:val="nil"/>
              <w:bottom w:val="nil"/>
              <w:right w:val="nil"/>
            </w:tcBorders>
            <w:vAlign w:val="center"/>
            <w:hideMark/>
          </w:tcPr>
          <w:p w14:paraId="101FDA1C"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r>
      <w:tr w:rsidR="00721C2E" w:rsidRPr="00721C2E" w14:paraId="56C8A2A2" w14:textId="77777777" w:rsidTr="00FD0008">
        <w:trPr>
          <w:trHeight w:val="285"/>
        </w:trPr>
        <w:tc>
          <w:tcPr>
            <w:tcW w:w="3244" w:type="dxa"/>
            <w:tcBorders>
              <w:top w:val="nil"/>
              <w:left w:val="nil"/>
              <w:bottom w:val="single" w:sz="4" w:space="0" w:color="auto"/>
              <w:right w:val="nil"/>
            </w:tcBorders>
            <w:shd w:val="clear" w:color="auto" w:fill="auto"/>
            <w:noWrap/>
            <w:vAlign w:val="bottom"/>
            <w:hideMark/>
          </w:tcPr>
          <w:p w14:paraId="45468C76"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1144" w:type="dxa"/>
            <w:tcBorders>
              <w:top w:val="nil"/>
              <w:left w:val="nil"/>
              <w:bottom w:val="single" w:sz="4" w:space="0" w:color="auto"/>
              <w:right w:val="nil"/>
            </w:tcBorders>
            <w:shd w:val="clear" w:color="auto" w:fill="auto"/>
            <w:noWrap/>
            <w:vAlign w:val="bottom"/>
            <w:hideMark/>
          </w:tcPr>
          <w:p w14:paraId="3E8753C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2015</w:t>
            </w:r>
          </w:p>
        </w:tc>
        <w:tc>
          <w:tcPr>
            <w:tcW w:w="164" w:type="dxa"/>
            <w:tcBorders>
              <w:top w:val="nil"/>
              <w:left w:val="nil"/>
              <w:bottom w:val="single" w:sz="4" w:space="0" w:color="auto"/>
              <w:right w:val="nil"/>
            </w:tcBorders>
            <w:shd w:val="clear" w:color="auto" w:fill="auto"/>
            <w:noWrap/>
            <w:vAlign w:val="bottom"/>
            <w:hideMark/>
          </w:tcPr>
          <w:p w14:paraId="68A5A2A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984" w:type="dxa"/>
            <w:tcBorders>
              <w:top w:val="nil"/>
              <w:left w:val="nil"/>
              <w:bottom w:val="single" w:sz="4" w:space="0" w:color="auto"/>
              <w:right w:val="nil"/>
            </w:tcBorders>
            <w:shd w:val="clear" w:color="auto" w:fill="auto"/>
            <w:noWrap/>
            <w:vAlign w:val="bottom"/>
            <w:hideMark/>
          </w:tcPr>
          <w:p w14:paraId="355DC4B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2014</w:t>
            </w:r>
          </w:p>
        </w:tc>
        <w:tc>
          <w:tcPr>
            <w:tcW w:w="220" w:type="dxa"/>
            <w:tcBorders>
              <w:top w:val="nil"/>
              <w:left w:val="nil"/>
              <w:bottom w:val="single" w:sz="4" w:space="0" w:color="auto"/>
              <w:right w:val="nil"/>
            </w:tcBorders>
            <w:shd w:val="clear" w:color="auto" w:fill="auto"/>
            <w:noWrap/>
            <w:vAlign w:val="bottom"/>
            <w:hideMark/>
          </w:tcPr>
          <w:p w14:paraId="694FCD4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1244" w:type="dxa"/>
            <w:tcBorders>
              <w:top w:val="nil"/>
              <w:left w:val="nil"/>
              <w:bottom w:val="single" w:sz="4" w:space="0" w:color="auto"/>
              <w:right w:val="nil"/>
            </w:tcBorders>
            <w:shd w:val="clear" w:color="auto" w:fill="auto"/>
            <w:noWrap/>
            <w:vAlign w:val="bottom"/>
            <w:hideMark/>
          </w:tcPr>
          <w:p w14:paraId="3584381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2015</w:t>
            </w:r>
          </w:p>
        </w:tc>
        <w:tc>
          <w:tcPr>
            <w:tcW w:w="164" w:type="dxa"/>
            <w:tcBorders>
              <w:top w:val="nil"/>
              <w:left w:val="nil"/>
              <w:bottom w:val="single" w:sz="4" w:space="0" w:color="auto"/>
              <w:right w:val="nil"/>
            </w:tcBorders>
            <w:shd w:val="clear" w:color="auto" w:fill="auto"/>
            <w:noWrap/>
            <w:vAlign w:val="bottom"/>
            <w:hideMark/>
          </w:tcPr>
          <w:p w14:paraId="2C680BB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984" w:type="dxa"/>
            <w:tcBorders>
              <w:top w:val="nil"/>
              <w:left w:val="nil"/>
              <w:bottom w:val="single" w:sz="4" w:space="0" w:color="auto"/>
              <w:right w:val="nil"/>
            </w:tcBorders>
            <w:shd w:val="clear" w:color="auto" w:fill="auto"/>
            <w:noWrap/>
            <w:vAlign w:val="bottom"/>
            <w:hideMark/>
          </w:tcPr>
          <w:p w14:paraId="2E964B0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2014</w:t>
            </w:r>
          </w:p>
        </w:tc>
      </w:tr>
      <w:tr w:rsidR="00721C2E" w:rsidRPr="00721C2E" w14:paraId="0600FBF1" w14:textId="77777777" w:rsidTr="00FD0008">
        <w:trPr>
          <w:trHeight w:val="285"/>
        </w:trPr>
        <w:tc>
          <w:tcPr>
            <w:tcW w:w="3244" w:type="dxa"/>
            <w:tcBorders>
              <w:top w:val="nil"/>
              <w:left w:val="nil"/>
              <w:bottom w:val="nil"/>
              <w:right w:val="nil"/>
            </w:tcBorders>
            <w:shd w:val="clear" w:color="auto" w:fill="auto"/>
            <w:noWrap/>
            <w:vAlign w:val="bottom"/>
            <w:hideMark/>
          </w:tcPr>
          <w:p w14:paraId="6A13F3F2"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Revenue</w:t>
            </w:r>
          </w:p>
        </w:tc>
        <w:tc>
          <w:tcPr>
            <w:tcW w:w="1144" w:type="dxa"/>
            <w:tcBorders>
              <w:top w:val="nil"/>
              <w:left w:val="nil"/>
              <w:bottom w:val="nil"/>
              <w:right w:val="nil"/>
            </w:tcBorders>
            <w:shd w:val="clear" w:color="auto" w:fill="auto"/>
            <w:noWrap/>
            <w:vAlign w:val="bottom"/>
            <w:hideMark/>
          </w:tcPr>
          <w:p w14:paraId="1A82759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21,729 </w:t>
            </w:r>
          </w:p>
        </w:tc>
        <w:tc>
          <w:tcPr>
            <w:tcW w:w="164" w:type="dxa"/>
            <w:tcBorders>
              <w:top w:val="nil"/>
              <w:left w:val="nil"/>
              <w:bottom w:val="nil"/>
              <w:right w:val="nil"/>
            </w:tcBorders>
            <w:shd w:val="clear" w:color="auto" w:fill="auto"/>
            <w:noWrap/>
            <w:vAlign w:val="bottom"/>
            <w:hideMark/>
          </w:tcPr>
          <w:p w14:paraId="19E6D4B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477A36CF"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$20,403 </w:t>
            </w:r>
          </w:p>
        </w:tc>
        <w:tc>
          <w:tcPr>
            <w:tcW w:w="220" w:type="dxa"/>
            <w:tcBorders>
              <w:top w:val="nil"/>
              <w:left w:val="nil"/>
              <w:bottom w:val="nil"/>
              <w:right w:val="nil"/>
            </w:tcBorders>
            <w:shd w:val="clear" w:color="auto" w:fill="auto"/>
            <w:noWrap/>
            <w:vAlign w:val="bottom"/>
            <w:hideMark/>
          </w:tcPr>
          <w:p w14:paraId="369578F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1F4F814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71,400 </w:t>
            </w:r>
          </w:p>
        </w:tc>
        <w:tc>
          <w:tcPr>
            <w:tcW w:w="164" w:type="dxa"/>
            <w:tcBorders>
              <w:top w:val="nil"/>
              <w:left w:val="nil"/>
              <w:bottom w:val="nil"/>
              <w:right w:val="nil"/>
            </w:tcBorders>
            <w:shd w:val="clear" w:color="auto" w:fill="auto"/>
            <w:noWrap/>
            <w:vAlign w:val="bottom"/>
            <w:hideMark/>
          </w:tcPr>
          <w:p w14:paraId="481FC5A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05ED91D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$63,451 </w:t>
            </w:r>
          </w:p>
        </w:tc>
      </w:tr>
      <w:tr w:rsidR="00721C2E" w:rsidRPr="00721C2E" w14:paraId="28B90F4B" w14:textId="77777777" w:rsidTr="00FD0008">
        <w:trPr>
          <w:trHeight w:val="285"/>
        </w:trPr>
        <w:tc>
          <w:tcPr>
            <w:tcW w:w="3244" w:type="dxa"/>
            <w:tcBorders>
              <w:top w:val="nil"/>
              <w:left w:val="nil"/>
              <w:bottom w:val="single" w:sz="4" w:space="0" w:color="auto"/>
              <w:right w:val="nil"/>
            </w:tcBorders>
            <w:shd w:val="clear" w:color="auto" w:fill="auto"/>
            <w:noWrap/>
            <w:vAlign w:val="bottom"/>
            <w:hideMark/>
          </w:tcPr>
          <w:p w14:paraId="6ECDF250"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Cost of revenue</w:t>
            </w:r>
          </w:p>
        </w:tc>
        <w:tc>
          <w:tcPr>
            <w:tcW w:w="1144" w:type="dxa"/>
            <w:tcBorders>
              <w:top w:val="nil"/>
              <w:left w:val="nil"/>
              <w:bottom w:val="single" w:sz="4" w:space="0" w:color="auto"/>
              <w:right w:val="nil"/>
            </w:tcBorders>
            <w:shd w:val="clear" w:color="auto" w:fill="auto"/>
            <w:noWrap/>
            <w:vAlign w:val="bottom"/>
            <w:hideMark/>
          </w:tcPr>
          <w:p w14:paraId="6DD5D5E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7,161 </w:t>
            </w:r>
          </w:p>
        </w:tc>
        <w:tc>
          <w:tcPr>
            <w:tcW w:w="164" w:type="dxa"/>
            <w:tcBorders>
              <w:top w:val="nil"/>
              <w:left w:val="nil"/>
              <w:bottom w:val="nil"/>
              <w:right w:val="nil"/>
            </w:tcBorders>
            <w:shd w:val="clear" w:color="auto" w:fill="auto"/>
            <w:noWrap/>
            <w:vAlign w:val="bottom"/>
            <w:hideMark/>
          </w:tcPr>
          <w:p w14:paraId="3F7B0B7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6E733E9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5,978 </w:t>
            </w:r>
          </w:p>
        </w:tc>
        <w:tc>
          <w:tcPr>
            <w:tcW w:w="220" w:type="dxa"/>
            <w:tcBorders>
              <w:top w:val="nil"/>
              <w:left w:val="nil"/>
              <w:bottom w:val="nil"/>
              <w:right w:val="nil"/>
            </w:tcBorders>
            <w:shd w:val="clear" w:color="auto" w:fill="auto"/>
            <w:noWrap/>
            <w:vAlign w:val="bottom"/>
            <w:hideMark/>
          </w:tcPr>
          <w:p w14:paraId="56347AA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single" w:sz="4" w:space="0" w:color="auto"/>
              <w:right w:val="nil"/>
            </w:tcBorders>
            <w:shd w:val="clear" w:color="auto" w:fill="auto"/>
            <w:noWrap/>
            <w:vAlign w:val="bottom"/>
            <w:hideMark/>
          </w:tcPr>
          <w:p w14:paraId="365205D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25,570 </w:t>
            </w:r>
          </w:p>
        </w:tc>
        <w:tc>
          <w:tcPr>
            <w:tcW w:w="164" w:type="dxa"/>
            <w:tcBorders>
              <w:top w:val="nil"/>
              <w:left w:val="nil"/>
              <w:bottom w:val="nil"/>
              <w:right w:val="nil"/>
            </w:tcBorders>
            <w:shd w:val="clear" w:color="auto" w:fill="auto"/>
            <w:noWrap/>
            <w:vAlign w:val="bottom"/>
            <w:hideMark/>
          </w:tcPr>
          <w:p w14:paraId="03B743F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28B7A81C"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19,445 </w:t>
            </w:r>
          </w:p>
        </w:tc>
      </w:tr>
      <w:tr w:rsidR="00721C2E" w:rsidRPr="00721C2E" w14:paraId="2DF4E065" w14:textId="77777777" w:rsidTr="00FD0008">
        <w:trPr>
          <w:trHeight w:val="285"/>
        </w:trPr>
        <w:tc>
          <w:tcPr>
            <w:tcW w:w="3244" w:type="dxa"/>
            <w:tcBorders>
              <w:top w:val="nil"/>
              <w:left w:val="nil"/>
              <w:bottom w:val="nil"/>
              <w:right w:val="nil"/>
            </w:tcBorders>
            <w:shd w:val="clear" w:color="auto" w:fill="auto"/>
            <w:noWrap/>
            <w:vAlign w:val="bottom"/>
            <w:hideMark/>
          </w:tcPr>
          <w:p w14:paraId="5E8C70E8"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Gross margin</w:t>
            </w:r>
          </w:p>
        </w:tc>
        <w:tc>
          <w:tcPr>
            <w:tcW w:w="1144" w:type="dxa"/>
            <w:tcBorders>
              <w:top w:val="nil"/>
              <w:left w:val="nil"/>
              <w:bottom w:val="nil"/>
              <w:right w:val="nil"/>
            </w:tcBorders>
            <w:shd w:val="clear" w:color="auto" w:fill="auto"/>
            <w:noWrap/>
            <w:vAlign w:val="bottom"/>
            <w:hideMark/>
          </w:tcPr>
          <w:p w14:paraId="4CD46B1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14,568 </w:t>
            </w:r>
          </w:p>
        </w:tc>
        <w:tc>
          <w:tcPr>
            <w:tcW w:w="164" w:type="dxa"/>
            <w:tcBorders>
              <w:top w:val="nil"/>
              <w:left w:val="nil"/>
              <w:bottom w:val="nil"/>
              <w:right w:val="nil"/>
            </w:tcBorders>
            <w:shd w:val="clear" w:color="auto" w:fill="auto"/>
            <w:noWrap/>
            <w:vAlign w:val="bottom"/>
            <w:hideMark/>
          </w:tcPr>
          <w:p w14:paraId="0C1E3AE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7EC5D9E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14,425 </w:t>
            </w:r>
          </w:p>
        </w:tc>
        <w:tc>
          <w:tcPr>
            <w:tcW w:w="220" w:type="dxa"/>
            <w:tcBorders>
              <w:top w:val="nil"/>
              <w:left w:val="nil"/>
              <w:bottom w:val="nil"/>
              <w:right w:val="nil"/>
            </w:tcBorders>
            <w:shd w:val="clear" w:color="auto" w:fill="auto"/>
            <w:noWrap/>
            <w:vAlign w:val="bottom"/>
            <w:hideMark/>
          </w:tcPr>
          <w:p w14:paraId="074538A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059C22E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45,830 </w:t>
            </w:r>
          </w:p>
        </w:tc>
        <w:tc>
          <w:tcPr>
            <w:tcW w:w="164" w:type="dxa"/>
            <w:tcBorders>
              <w:top w:val="nil"/>
              <w:left w:val="nil"/>
              <w:bottom w:val="nil"/>
              <w:right w:val="nil"/>
            </w:tcBorders>
            <w:shd w:val="clear" w:color="auto" w:fill="auto"/>
            <w:noWrap/>
            <w:vAlign w:val="bottom"/>
            <w:hideMark/>
          </w:tcPr>
          <w:p w14:paraId="51F3105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74C7BEF0"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44,006 </w:t>
            </w:r>
          </w:p>
        </w:tc>
      </w:tr>
      <w:tr w:rsidR="00721C2E" w:rsidRPr="00721C2E" w14:paraId="03CCEC90" w14:textId="77777777" w:rsidTr="00FD0008">
        <w:trPr>
          <w:trHeight w:val="285"/>
        </w:trPr>
        <w:tc>
          <w:tcPr>
            <w:tcW w:w="3244" w:type="dxa"/>
            <w:tcBorders>
              <w:top w:val="nil"/>
              <w:left w:val="nil"/>
              <w:bottom w:val="nil"/>
              <w:right w:val="nil"/>
            </w:tcBorders>
            <w:shd w:val="clear" w:color="auto" w:fill="auto"/>
            <w:noWrap/>
            <w:vAlign w:val="bottom"/>
            <w:hideMark/>
          </w:tcPr>
          <w:p w14:paraId="2651490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Research and development</w:t>
            </w:r>
          </w:p>
        </w:tc>
        <w:tc>
          <w:tcPr>
            <w:tcW w:w="1144" w:type="dxa"/>
            <w:tcBorders>
              <w:top w:val="nil"/>
              <w:left w:val="nil"/>
              <w:bottom w:val="nil"/>
              <w:right w:val="nil"/>
            </w:tcBorders>
            <w:shd w:val="clear" w:color="auto" w:fill="auto"/>
            <w:noWrap/>
            <w:vAlign w:val="bottom"/>
            <w:hideMark/>
          </w:tcPr>
          <w:p w14:paraId="176C40B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2,984 </w:t>
            </w:r>
          </w:p>
        </w:tc>
        <w:tc>
          <w:tcPr>
            <w:tcW w:w="164" w:type="dxa"/>
            <w:tcBorders>
              <w:top w:val="nil"/>
              <w:left w:val="nil"/>
              <w:bottom w:val="nil"/>
              <w:right w:val="nil"/>
            </w:tcBorders>
            <w:shd w:val="clear" w:color="auto" w:fill="auto"/>
            <w:noWrap/>
            <w:vAlign w:val="bottom"/>
            <w:hideMark/>
          </w:tcPr>
          <w:p w14:paraId="2EFB101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70A4D58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2,743 </w:t>
            </w:r>
          </w:p>
        </w:tc>
        <w:tc>
          <w:tcPr>
            <w:tcW w:w="220" w:type="dxa"/>
            <w:tcBorders>
              <w:top w:val="nil"/>
              <w:left w:val="nil"/>
              <w:bottom w:val="nil"/>
              <w:right w:val="nil"/>
            </w:tcBorders>
            <w:shd w:val="clear" w:color="auto" w:fill="auto"/>
            <w:noWrap/>
            <w:vAlign w:val="bottom"/>
            <w:hideMark/>
          </w:tcPr>
          <w:p w14:paraId="7EA0D5C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7B368B4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8,952 </w:t>
            </w:r>
          </w:p>
        </w:tc>
        <w:tc>
          <w:tcPr>
            <w:tcW w:w="164" w:type="dxa"/>
            <w:tcBorders>
              <w:top w:val="nil"/>
              <w:left w:val="nil"/>
              <w:bottom w:val="nil"/>
              <w:right w:val="nil"/>
            </w:tcBorders>
            <w:shd w:val="clear" w:color="auto" w:fill="auto"/>
            <w:noWrap/>
            <w:vAlign w:val="bottom"/>
            <w:hideMark/>
          </w:tcPr>
          <w:p w14:paraId="768B495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58886664"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8,258 </w:t>
            </w:r>
          </w:p>
        </w:tc>
      </w:tr>
      <w:tr w:rsidR="00721C2E" w:rsidRPr="00721C2E" w14:paraId="5B21E1D9" w14:textId="77777777" w:rsidTr="00FD0008">
        <w:trPr>
          <w:trHeight w:val="285"/>
        </w:trPr>
        <w:tc>
          <w:tcPr>
            <w:tcW w:w="3244" w:type="dxa"/>
            <w:tcBorders>
              <w:top w:val="nil"/>
              <w:left w:val="nil"/>
              <w:bottom w:val="nil"/>
              <w:right w:val="nil"/>
            </w:tcBorders>
            <w:shd w:val="clear" w:color="auto" w:fill="auto"/>
            <w:noWrap/>
            <w:vAlign w:val="bottom"/>
            <w:hideMark/>
          </w:tcPr>
          <w:p w14:paraId="679C08CE"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Sales and marketing</w:t>
            </w:r>
          </w:p>
        </w:tc>
        <w:tc>
          <w:tcPr>
            <w:tcW w:w="1144" w:type="dxa"/>
            <w:tcBorders>
              <w:top w:val="nil"/>
              <w:left w:val="nil"/>
              <w:bottom w:val="nil"/>
              <w:right w:val="nil"/>
            </w:tcBorders>
            <w:shd w:val="clear" w:color="auto" w:fill="auto"/>
            <w:noWrap/>
            <w:vAlign w:val="bottom"/>
            <w:hideMark/>
          </w:tcPr>
          <w:p w14:paraId="680AC56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3,709 </w:t>
            </w:r>
          </w:p>
        </w:tc>
        <w:tc>
          <w:tcPr>
            <w:tcW w:w="164" w:type="dxa"/>
            <w:tcBorders>
              <w:top w:val="nil"/>
              <w:left w:val="nil"/>
              <w:bottom w:val="nil"/>
              <w:right w:val="nil"/>
            </w:tcBorders>
            <w:shd w:val="clear" w:color="auto" w:fill="auto"/>
            <w:noWrap/>
            <w:vAlign w:val="bottom"/>
            <w:hideMark/>
          </w:tcPr>
          <w:p w14:paraId="00435F2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33A61C22"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3,542 </w:t>
            </w:r>
          </w:p>
        </w:tc>
        <w:tc>
          <w:tcPr>
            <w:tcW w:w="220" w:type="dxa"/>
            <w:tcBorders>
              <w:top w:val="nil"/>
              <w:left w:val="nil"/>
              <w:bottom w:val="nil"/>
              <w:right w:val="nil"/>
            </w:tcBorders>
            <w:shd w:val="clear" w:color="auto" w:fill="auto"/>
            <w:noWrap/>
            <w:vAlign w:val="bottom"/>
            <w:hideMark/>
          </w:tcPr>
          <w:p w14:paraId="06920A5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2BA3602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11,752 </w:t>
            </w:r>
          </w:p>
        </w:tc>
        <w:tc>
          <w:tcPr>
            <w:tcW w:w="164" w:type="dxa"/>
            <w:tcBorders>
              <w:top w:val="nil"/>
              <w:left w:val="nil"/>
              <w:bottom w:val="nil"/>
              <w:right w:val="nil"/>
            </w:tcBorders>
            <w:shd w:val="clear" w:color="auto" w:fill="auto"/>
            <w:noWrap/>
            <w:vAlign w:val="bottom"/>
            <w:hideMark/>
          </w:tcPr>
          <w:p w14:paraId="35ABB87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17D17FD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11,129 </w:t>
            </w:r>
          </w:p>
        </w:tc>
      </w:tr>
      <w:tr w:rsidR="00721C2E" w:rsidRPr="00721C2E" w14:paraId="03FB13C3" w14:textId="77777777" w:rsidTr="00FD0008">
        <w:trPr>
          <w:trHeight w:val="285"/>
        </w:trPr>
        <w:tc>
          <w:tcPr>
            <w:tcW w:w="3244" w:type="dxa"/>
            <w:tcBorders>
              <w:top w:val="nil"/>
              <w:left w:val="nil"/>
              <w:bottom w:val="nil"/>
              <w:right w:val="nil"/>
            </w:tcBorders>
            <w:shd w:val="clear" w:color="auto" w:fill="auto"/>
            <w:noWrap/>
            <w:vAlign w:val="bottom"/>
            <w:hideMark/>
          </w:tcPr>
          <w:p w14:paraId="3DE22902"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General and administrative</w:t>
            </w:r>
          </w:p>
        </w:tc>
        <w:tc>
          <w:tcPr>
            <w:tcW w:w="1144" w:type="dxa"/>
            <w:tcBorders>
              <w:top w:val="nil"/>
              <w:left w:val="nil"/>
              <w:bottom w:val="nil"/>
              <w:right w:val="nil"/>
            </w:tcBorders>
            <w:shd w:val="clear" w:color="auto" w:fill="auto"/>
            <w:noWrap/>
            <w:vAlign w:val="bottom"/>
            <w:hideMark/>
          </w:tcPr>
          <w:p w14:paraId="284C102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1,091 </w:t>
            </w:r>
          </w:p>
        </w:tc>
        <w:tc>
          <w:tcPr>
            <w:tcW w:w="164" w:type="dxa"/>
            <w:tcBorders>
              <w:top w:val="nil"/>
              <w:left w:val="nil"/>
              <w:bottom w:val="nil"/>
              <w:right w:val="nil"/>
            </w:tcBorders>
            <w:shd w:val="clear" w:color="auto" w:fill="auto"/>
            <w:noWrap/>
            <w:vAlign w:val="bottom"/>
            <w:hideMark/>
          </w:tcPr>
          <w:p w14:paraId="0913E37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5B09EA0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1,166 </w:t>
            </w:r>
          </w:p>
        </w:tc>
        <w:tc>
          <w:tcPr>
            <w:tcW w:w="220" w:type="dxa"/>
            <w:tcBorders>
              <w:top w:val="nil"/>
              <w:left w:val="nil"/>
              <w:bottom w:val="nil"/>
              <w:right w:val="nil"/>
            </w:tcBorders>
            <w:shd w:val="clear" w:color="auto" w:fill="auto"/>
            <w:noWrap/>
            <w:vAlign w:val="bottom"/>
            <w:hideMark/>
          </w:tcPr>
          <w:p w14:paraId="2664D9C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0604689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3,339 </w:t>
            </w:r>
          </w:p>
        </w:tc>
        <w:tc>
          <w:tcPr>
            <w:tcW w:w="164" w:type="dxa"/>
            <w:tcBorders>
              <w:top w:val="nil"/>
              <w:left w:val="nil"/>
              <w:bottom w:val="nil"/>
              <w:right w:val="nil"/>
            </w:tcBorders>
            <w:shd w:val="clear" w:color="auto" w:fill="auto"/>
            <w:noWrap/>
            <w:vAlign w:val="bottom"/>
            <w:hideMark/>
          </w:tcPr>
          <w:p w14:paraId="722D178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46ECC2D4"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3,342 </w:t>
            </w:r>
          </w:p>
        </w:tc>
      </w:tr>
      <w:tr w:rsidR="00721C2E" w:rsidRPr="00721C2E" w14:paraId="2F6306A7" w14:textId="77777777" w:rsidTr="00FD0008">
        <w:trPr>
          <w:trHeight w:val="285"/>
        </w:trPr>
        <w:tc>
          <w:tcPr>
            <w:tcW w:w="3244" w:type="dxa"/>
            <w:tcBorders>
              <w:top w:val="nil"/>
              <w:left w:val="nil"/>
              <w:bottom w:val="nil"/>
              <w:right w:val="nil"/>
            </w:tcBorders>
            <w:shd w:val="clear" w:color="auto" w:fill="auto"/>
            <w:noWrap/>
            <w:vAlign w:val="bottom"/>
            <w:hideMark/>
          </w:tcPr>
          <w:p w14:paraId="5231E406"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Integration and restructuring</w:t>
            </w:r>
          </w:p>
        </w:tc>
        <w:tc>
          <w:tcPr>
            <w:tcW w:w="1144" w:type="dxa"/>
            <w:tcBorders>
              <w:top w:val="nil"/>
              <w:left w:val="nil"/>
              <w:bottom w:val="nil"/>
              <w:right w:val="nil"/>
            </w:tcBorders>
            <w:shd w:val="clear" w:color="auto" w:fill="auto"/>
            <w:noWrap/>
            <w:vAlign w:val="bottom"/>
            <w:hideMark/>
          </w:tcPr>
          <w:p w14:paraId="5F059F4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190 </w:t>
            </w:r>
          </w:p>
        </w:tc>
        <w:tc>
          <w:tcPr>
            <w:tcW w:w="164" w:type="dxa"/>
            <w:tcBorders>
              <w:top w:val="nil"/>
              <w:left w:val="nil"/>
              <w:bottom w:val="nil"/>
              <w:right w:val="nil"/>
            </w:tcBorders>
            <w:shd w:val="clear" w:color="auto" w:fill="auto"/>
            <w:noWrap/>
            <w:vAlign w:val="bottom"/>
            <w:hideMark/>
          </w:tcPr>
          <w:p w14:paraId="75BB821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357A816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0 </w:t>
            </w:r>
          </w:p>
        </w:tc>
        <w:tc>
          <w:tcPr>
            <w:tcW w:w="220" w:type="dxa"/>
            <w:tcBorders>
              <w:top w:val="nil"/>
              <w:left w:val="nil"/>
              <w:bottom w:val="nil"/>
              <w:right w:val="nil"/>
            </w:tcBorders>
            <w:shd w:val="clear" w:color="auto" w:fill="auto"/>
            <w:noWrap/>
            <w:vAlign w:val="bottom"/>
            <w:hideMark/>
          </w:tcPr>
          <w:p w14:paraId="37C30630"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4FD13B0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1,573 </w:t>
            </w:r>
          </w:p>
        </w:tc>
        <w:tc>
          <w:tcPr>
            <w:tcW w:w="164" w:type="dxa"/>
            <w:tcBorders>
              <w:top w:val="nil"/>
              <w:left w:val="nil"/>
              <w:bottom w:val="nil"/>
              <w:right w:val="nil"/>
            </w:tcBorders>
            <w:shd w:val="clear" w:color="auto" w:fill="auto"/>
            <w:noWrap/>
            <w:vAlign w:val="bottom"/>
            <w:hideMark/>
          </w:tcPr>
          <w:p w14:paraId="28D1477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7FB0741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0 </w:t>
            </w:r>
          </w:p>
        </w:tc>
      </w:tr>
      <w:tr w:rsidR="00721C2E" w:rsidRPr="00721C2E" w14:paraId="39DB8D83" w14:textId="77777777" w:rsidTr="00FD0008">
        <w:trPr>
          <w:trHeight w:val="285"/>
        </w:trPr>
        <w:tc>
          <w:tcPr>
            <w:tcW w:w="3244" w:type="dxa"/>
            <w:tcBorders>
              <w:top w:val="single" w:sz="4" w:space="0" w:color="auto"/>
              <w:left w:val="nil"/>
              <w:bottom w:val="nil"/>
              <w:right w:val="nil"/>
            </w:tcBorders>
            <w:shd w:val="clear" w:color="auto" w:fill="auto"/>
            <w:noWrap/>
            <w:vAlign w:val="bottom"/>
            <w:hideMark/>
          </w:tcPr>
          <w:p w14:paraId="0502FC3A"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Operating income</w:t>
            </w:r>
          </w:p>
        </w:tc>
        <w:tc>
          <w:tcPr>
            <w:tcW w:w="1144" w:type="dxa"/>
            <w:tcBorders>
              <w:top w:val="single" w:sz="4" w:space="0" w:color="auto"/>
              <w:left w:val="nil"/>
              <w:bottom w:val="nil"/>
              <w:right w:val="nil"/>
            </w:tcBorders>
            <w:shd w:val="clear" w:color="auto" w:fill="auto"/>
            <w:noWrap/>
            <w:vAlign w:val="bottom"/>
            <w:hideMark/>
          </w:tcPr>
          <w:p w14:paraId="5E93027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6,594 </w:t>
            </w:r>
          </w:p>
        </w:tc>
        <w:tc>
          <w:tcPr>
            <w:tcW w:w="164" w:type="dxa"/>
            <w:tcBorders>
              <w:top w:val="nil"/>
              <w:left w:val="nil"/>
              <w:bottom w:val="nil"/>
              <w:right w:val="nil"/>
            </w:tcBorders>
            <w:shd w:val="clear" w:color="auto" w:fill="auto"/>
            <w:noWrap/>
            <w:vAlign w:val="bottom"/>
            <w:hideMark/>
          </w:tcPr>
          <w:p w14:paraId="48D1FD9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single" w:sz="4" w:space="0" w:color="auto"/>
              <w:left w:val="nil"/>
              <w:bottom w:val="nil"/>
              <w:right w:val="nil"/>
            </w:tcBorders>
            <w:shd w:val="clear" w:color="auto" w:fill="auto"/>
            <w:noWrap/>
            <w:vAlign w:val="bottom"/>
            <w:hideMark/>
          </w:tcPr>
          <w:p w14:paraId="3AFBA2A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6,974 </w:t>
            </w:r>
          </w:p>
        </w:tc>
        <w:tc>
          <w:tcPr>
            <w:tcW w:w="220" w:type="dxa"/>
            <w:tcBorders>
              <w:top w:val="nil"/>
              <w:left w:val="nil"/>
              <w:bottom w:val="nil"/>
              <w:right w:val="nil"/>
            </w:tcBorders>
            <w:shd w:val="clear" w:color="auto" w:fill="auto"/>
            <w:noWrap/>
            <w:vAlign w:val="bottom"/>
            <w:hideMark/>
          </w:tcPr>
          <w:p w14:paraId="629C2EC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single" w:sz="4" w:space="0" w:color="auto"/>
              <w:left w:val="nil"/>
              <w:bottom w:val="nil"/>
              <w:right w:val="nil"/>
            </w:tcBorders>
            <w:shd w:val="clear" w:color="auto" w:fill="auto"/>
            <w:noWrap/>
            <w:vAlign w:val="bottom"/>
            <w:hideMark/>
          </w:tcPr>
          <w:p w14:paraId="1CBC163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20,214 </w:t>
            </w:r>
          </w:p>
        </w:tc>
        <w:tc>
          <w:tcPr>
            <w:tcW w:w="164" w:type="dxa"/>
            <w:tcBorders>
              <w:top w:val="nil"/>
              <w:left w:val="nil"/>
              <w:bottom w:val="nil"/>
              <w:right w:val="nil"/>
            </w:tcBorders>
            <w:shd w:val="clear" w:color="auto" w:fill="auto"/>
            <w:noWrap/>
            <w:vAlign w:val="bottom"/>
            <w:hideMark/>
          </w:tcPr>
          <w:p w14:paraId="76ABED4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single" w:sz="4" w:space="0" w:color="auto"/>
              <w:left w:val="nil"/>
              <w:bottom w:val="nil"/>
              <w:right w:val="nil"/>
            </w:tcBorders>
            <w:shd w:val="clear" w:color="auto" w:fill="auto"/>
            <w:noWrap/>
            <w:vAlign w:val="bottom"/>
            <w:hideMark/>
          </w:tcPr>
          <w:p w14:paraId="3CB9AAD5"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21,277 </w:t>
            </w:r>
          </w:p>
        </w:tc>
      </w:tr>
      <w:tr w:rsidR="00721C2E" w:rsidRPr="00721C2E" w14:paraId="3C1FB2F4" w14:textId="77777777" w:rsidTr="00FD0008">
        <w:trPr>
          <w:trHeight w:val="285"/>
        </w:trPr>
        <w:tc>
          <w:tcPr>
            <w:tcW w:w="3244" w:type="dxa"/>
            <w:tcBorders>
              <w:top w:val="nil"/>
              <w:left w:val="nil"/>
              <w:bottom w:val="single" w:sz="4" w:space="0" w:color="auto"/>
              <w:right w:val="nil"/>
            </w:tcBorders>
            <w:shd w:val="clear" w:color="auto" w:fill="auto"/>
            <w:noWrap/>
            <w:vAlign w:val="bottom"/>
            <w:hideMark/>
          </w:tcPr>
          <w:p w14:paraId="36D0B62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lastRenderedPageBreak/>
              <w:t>Other income (expense), net</w:t>
            </w:r>
          </w:p>
        </w:tc>
        <w:tc>
          <w:tcPr>
            <w:tcW w:w="1144" w:type="dxa"/>
            <w:tcBorders>
              <w:top w:val="nil"/>
              <w:left w:val="nil"/>
              <w:bottom w:val="single" w:sz="4" w:space="0" w:color="auto"/>
              <w:right w:val="nil"/>
            </w:tcBorders>
            <w:shd w:val="clear" w:color="auto" w:fill="auto"/>
            <w:noWrap/>
            <w:vAlign w:val="bottom"/>
            <w:hideMark/>
          </w:tcPr>
          <w:p w14:paraId="7FE8CEA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(77)</w:t>
            </w:r>
          </w:p>
        </w:tc>
        <w:tc>
          <w:tcPr>
            <w:tcW w:w="164" w:type="dxa"/>
            <w:tcBorders>
              <w:top w:val="nil"/>
              <w:left w:val="nil"/>
              <w:bottom w:val="nil"/>
              <w:right w:val="nil"/>
            </w:tcBorders>
            <w:shd w:val="clear" w:color="auto" w:fill="auto"/>
            <w:noWrap/>
            <w:vAlign w:val="bottom"/>
            <w:hideMark/>
          </w:tcPr>
          <w:p w14:paraId="214CF0B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1FBBE66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(17)</w:t>
            </w:r>
          </w:p>
        </w:tc>
        <w:tc>
          <w:tcPr>
            <w:tcW w:w="220" w:type="dxa"/>
            <w:tcBorders>
              <w:top w:val="nil"/>
              <w:left w:val="nil"/>
              <w:bottom w:val="nil"/>
              <w:right w:val="nil"/>
            </w:tcBorders>
            <w:shd w:val="clear" w:color="auto" w:fill="auto"/>
            <w:noWrap/>
            <w:vAlign w:val="bottom"/>
            <w:hideMark/>
          </w:tcPr>
          <w:p w14:paraId="068337F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single" w:sz="4" w:space="0" w:color="auto"/>
              <w:right w:val="nil"/>
            </w:tcBorders>
            <w:shd w:val="clear" w:color="auto" w:fill="auto"/>
            <w:noWrap/>
            <w:vAlign w:val="bottom"/>
            <w:hideMark/>
          </w:tcPr>
          <w:p w14:paraId="7307C9B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49 </w:t>
            </w:r>
          </w:p>
        </w:tc>
        <w:tc>
          <w:tcPr>
            <w:tcW w:w="164" w:type="dxa"/>
            <w:tcBorders>
              <w:top w:val="nil"/>
              <w:left w:val="nil"/>
              <w:bottom w:val="nil"/>
              <w:right w:val="nil"/>
            </w:tcBorders>
            <w:shd w:val="clear" w:color="auto" w:fill="auto"/>
            <w:noWrap/>
            <w:vAlign w:val="bottom"/>
            <w:hideMark/>
          </w:tcPr>
          <w:p w14:paraId="0CD14A8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542575A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(34)</w:t>
            </w:r>
          </w:p>
        </w:tc>
      </w:tr>
      <w:tr w:rsidR="00721C2E" w:rsidRPr="00721C2E" w14:paraId="3EF708A9" w14:textId="77777777" w:rsidTr="00FD0008">
        <w:trPr>
          <w:trHeight w:val="285"/>
        </w:trPr>
        <w:tc>
          <w:tcPr>
            <w:tcW w:w="3244" w:type="dxa"/>
            <w:tcBorders>
              <w:top w:val="nil"/>
              <w:left w:val="nil"/>
              <w:bottom w:val="nil"/>
              <w:right w:val="nil"/>
            </w:tcBorders>
            <w:shd w:val="clear" w:color="auto" w:fill="auto"/>
            <w:noWrap/>
            <w:vAlign w:val="bottom"/>
            <w:hideMark/>
          </w:tcPr>
          <w:p w14:paraId="27211D53"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Income before income taxes</w:t>
            </w:r>
          </w:p>
        </w:tc>
        <w:tc>
          <w:tcPr>
            <w:tcW w:w="1144" w:type="dxa"/>
            <w:tcBorders>
              <w:top w:val="nil"/>
              <w:left w:val="nil"/>
              <w:bottom w:val="nil"/>
              <w:right w:val="nil"/>
            </w:tcBorders>
            <w:shd w:val="clear" w:color="auto" w:fill="auto"/>
            <w:noWrap/>
            <w:vAlign w:val="bottom"/>
            <w:hideMark/>
          </w:tcPr>
          <w:p w14:paraId="3C6EB51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6,517 </w:t>
            </w:r>
          </w:p>
        </w:tc>
        <w:tc>
          <w:tcPr>
            <w:tcW w:w="164" w:type="dxa"/>
            <w:tcBorders>
              <w:top w:val="nil"/>
              <w:left w:val="nil"/>
              <w:bottom w:val="nil"/>
              <w:right w:val="nil"/>
            </w:tcBorders>
            <w:shd w:val="clear" w:color="auto" w:fill="auto"/>
            <w:noWrap/>
            <w:vAlign w:val="bottom"/>
            <w:hideMark/>
          </w:tcPr>
          <w:p w14:paraId="7E263F8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1C60B1E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6,957 </w:t>
            </w:r>
          </w:p>
        </w:tc>
        <w:tc>
          <w:tcPr>
            <w:tcW w:w="220" w:type="dxa"/>
            <w:tcBorders>
              <w:top w:val="nil"/>
              <w:left w:val="nil"/>
              <w:bottom w:val="nil"/>
              <w:right w:val="nil"/>
            </w:tcBorders>
            <w:shd w:val="clear" w:color="auto" w:fill="auto"/>
            <w:noWrap/>
            <w:vAlign w:val="bottom"/>
            <w:hideMark/>
          </w:tcPr>
          <w:p w14:paraId="4496C9CF"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67C8D59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20,263 </w:t>
            </w:r>
          </w:p>
        </w:tc>
        <w:tc>
          <w:tcPr>
            <w:tcW w:w="164" w:type="dxa"/>
            <w:tcBorders>
              <w:top w:val="nil"/>
              <w:left w:val="nil"/>
              <w:bottom w:val="nil"/>
              <w:right w:val="nil"/>
            </w:tcBorders>
            <w:shd w:val="clear" w:color="auto" w:fill="auto"/>
            <w:noWrap/>
            <w:vAlign w:val="bottom"/>
            <w:hideMark/>
          </w:tcPr>
          <w:p w14:paraId="1EB65E4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554B25D4"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21,243 </w:t>
            </w:r>
          </w:p>
        </w:tc>
      </w:tr>
      <w:tr w:rsidR="00721C2E" w:rsidRPr="00721C2E" w14:paraId="01676CF9" w14:textId="77777777" w:rsidTr="00FD0008">
        <w:trPr>
          <w:trHeight w:val="285"/>
        </w:trPr>
        <w:tc>
          <w:tcPr>
            <w:tcW w:w="3244" w:type="dxa"/>
            <w:tcBorders>
              <w:top w:val="nil"/>
              <w:left w:val="nil"/>
              <w:bottom w:val="single" w:sz="4" w:space="0" w:color="auto"/>
              <w:right w:val="nil"/>
            </w:tcBorders>
            <w:shd w:val="clear" w:color="auto" w:fill="auto"/>
            <w:noWrap/>
            <w:vAlign w:val="bottom"/>
            <w:hideMark/>
          </w:tcPr>
          <w:p w14:paraId="261422A6"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Provision for income taxes</w:t>
            </w:r>
          </w:p>
        </w:tc>
        <w:tc>
          <w:tcPr>
            <w:tcW w:w="1144" w:type="dxa"/>
            <w:tcBorders>
              <w:top w:val="nil"/>
              <w:left w:val="nil"/>
              <w:bottom w:val="single" w:sz="4" w:space="0" w:color="auto"/>
              <w:right w:val="nil"/>
            </w:tcBorders>
            <w:shd w:val="clear" w:color="auto" w:fill="auto"/>
            <w:noWrap/>
            <w:vAlign w:val="bottom"/>
            <w:hideMark/>
          </w:tcPr>
          <w:p w14:paraId="6D81F95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1,532 </w:t>
            </w:r>
          </w:p>
        </w:tc>
        <w:tc>
          <w:tcPr>
            <w:tcW w:w="164" w:type="dxa"/>
            <w:tcBorders>
              <w:top w:val="nil"/>
              <w:left w:val="nil"/>
              <w:bottom w:val="nil"/>
              <w:right w:val="nil"/>
            </w:tcBorders>
            <w:shd w:val="clear" w:color="auto" w:fill="auto"/>
            <w:noWrap/>
            <w:vAlign w:val="bottom"/>
            <w:hideMark/>
          </w:tcPr>
          <w:p w14:paraId="2E468F6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63F89A11"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1,297 </w:t>
            </w:r>
          </w:p>
        </w:tc>
        <w:tc>
          <w:tcPr>
            <w:tcW w:w="220" w:type="dxa"/>
            <w:tcBorders>
              <w:top w:val="nil"/>
              <w:left w:val="nil"/>
              <w:bottom w:val="nil"/>
              <w:right w:val="nil"/>
            </w:tcBorders>
            <w:shd w:val="clear" w:color="auto" w:fill="auto"/>
            <w:noWrap/>
            <w:vAlign w:val="bottom"/>
            <w:hideMark/>
          </w:tcPr>
          <w:p w14:paraId="533B5FB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single" w:sz="4" w:space="0" w:color="auto"/>
              <w:right w:val="nil"/>
            </w:tcBorders>
            <w:shd w:val="clear" w:color="auto" w:fill="auto"/>
            <w:noWrap/>
            <w:vAlign w:val="bottom"/>
            <w:hideMark/>
          </w:tcPr>
          <w:p w14:paraId="27D475C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4,875 </w:t>
            </w:r>
          </w:p>
        </w:tc>
        <w:tc>
          <w:tcPr>
            <w:tcW w:w="164" w:type="dxa"/>
            <w:tcBorders>
              <w:top w:val="nil"/>
              <w:left w:val="nil"/>
              <w:bottom w:val="nil"/>
              <w:right w:val="nil"/>
            </w:tcBorders>
            <w:shd w:val="clear" w:color="auto" w:fill="auto"/>
            <w:noWrap/>
            <w:vAlign w:val="bottom"/>
            <w:hideMark/>
          </w:tcPr>
          <w:p w14:paraId="1CB836C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62195890"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3,781 </w:t>
            </w:r>
          </w:p>
        </w:tc>
      </w:tr>
      <w:tr w:rsidR="00721C2E" w:rsidRPr="00721C2E" w14:paraId="05EC23DD" w14:textId="77777777" w:rsidTr="00FD0008">
        <w:trPr>
          <w:trHeight w:val="300"/>
        </w:trPr>
        <w:tc>
          <w:tcPr>
            <w:tcW w:w="3244" w:type="dxa"/>
            <w:tcBorders>
              <w:top w:val="nil"/>
              <w:left w:val="nil"/>
              <w:bottom w:val="nil"/>
              <w:right w:val="nil"/>
            </w:tcBorders>
            <w:shd w:val="clear" w:color="auto" w:fill="auto"/>
            <w:noWrap/>
            <w:vAlign w:val="bottom"/>
            <w:hideMark/>
          </w:tcPr>
          <w:p w14:paraId="77CC4C11"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Net income</w:t>
            </w:r>
          </w:p>
        </w:tc>
        <w:tc>
          <w:tcPr>
            <w:tcW w:w="1144" w:type="dxa"/>
            <w:tcBorders>
              <w:top w:val="nil"/>
              <w:left w:val="nil"/>
              <w:bottom w:val="single" w:sz="8" w:space="0" w:color="auto"/>
              <w:right w:val="nil"/>
            </w:tcBorders>
            <w:shd w:val="clear" w:color="auto" w:fill="auto"/>
            <w:noWrap/>
            <w:vAlign w:val="bottom"/>
            <w:hideMark/>
          </w:tcPr>
          <w:p w14:paraId="738F308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4,985 </w:t>
            </w:r>
          </w:p>
        </w:tc>
        <w:tc>
          <w:tcPr>
            <w:tcW w:w="164" w:type="dxa"/>
            <w:tcBorders>
              <w:top w:val="nil"/>
              <w:left w:val="nil"/>
              <w:bottom w:val="nil"/>
              <w:right w:val="nil"/>
            </w:tcBorders>
            <w:shd w:val="clear" w:color="auto" w:fill="auto"/>
            <w:noWrap/>
            <w:vAlign w:val="bottom"/>
            <w:hideMark/>
          </w:tcPr>
          <w:p w14:paraId="5746405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8" w:space="0" w:color="auto"/>
              <w:right w:val="nil"/>
            </w:tcBorders>
            <w:shd w:val="clear" w:color="auto" w:fill="auto"/>
            <w:noWrap/>
            <w:vAlign w:val="bottom"/>
            <w:hideMark/>
          </w:tcPr>
          <w:p w14:paraId="3D1FA04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5,660 </w:t>
            </w:r>
          </w:p>
        </w:tc>
        <w:tc>
          <w:tcPr>
            <w:tcW w:w="220" w:type="dxa"/>
            <w:tcBorders>
              <w:top w:val="nil"/>
              <w:left w:val="nil"/>
              <w:bottom w:val="nil"/>
              <w:right w:val="nil"/>
            </w:tcBorders>
            <w:shd w:val="clear" w:color="auto" w:fill="auto"/>
            <w:noWrap/>
            <w:vAlign w:val="bottom"/>
            <w:hideMark/>
          </w:tcPr>
          <w:p w14:paraId="015486A2"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single" w:sz="8" w:space="0" w:color="auto"/>
              <w:right w:val="nil"/>
            </w:tcBorders>
            <w:shd w:val="clear" w:color="auto" w:fill="auto"/>
            <w:noWrap/>
            <w:vAlign w:val="bottom"/>
            <w:hideMark/>
          </w:tcPr>
          <w:p w14:paraId="22BDA93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15,388 </w:t>
            </w:r>
          </w:p>
        </w:tc>
        <w:tc>
          <w:tcPr>
            <w:tcW w:w="164" w:type="dxa"/>
            <w:tcBorders>
              <w:top w:val="nil"/>
              <w:left w:val="nil"/>
              <w:bottom w:val="nil"/>
              <w:right w:val="nil"/>
            </w:tcBorders>
            <w:shd w:val="clear" w:color="auto" w:fill="auto"/>
            <w:noWrap/>
            <w:vAlign w:val="bottom"/>
            <w:hideMark/>
          </w:tcPr>
          <w:p w14:paraId="6111EEA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8" w:space="0" w:color="auto"/>
              <w:right w:val="nil"/>
            </w:tcBorders>
            <w:shd w:val="clear" w:color="auto" w:fill="auto"/>
            <w:noWrap/>
            <w:vAlign w:val="bottom"/>
            <w:hideMark/>
          </w:tcPr>
          <w:p w14:paraId="07FCBD05"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$17,462 </w:t>
            </w:r>
          </w:p>
        </w:tc>
      </w:tr>
      <w:tr w:rsidR="00721C2E" w:rsidRPr="00721C2E" w14:paraId="0B655951" w14:textId="77777777" w:rsidTr="00FD0008">
        <w:trPr>
          <w:trHeight w:val="285"/>
        </w:trPr>
        <w:tc>
          <w:tcPr>
            <w:tcW w:w="3244" w:type="dxa"/>
            <w:tcBorders>
              <w:top w:val="nil"/>
              <w:left w:val="nil"/>
              <w:bottom w:val="nil"/>
              <w:right w:val="nil"/>
            </w:tcBorders>
            <w:shd w:val="clear" w:color="auto" w:fill="auto"/>
            <w:noWrap/>
            <w:vAlign w:val="bottom"/>
            <w:hideMark/>
          </w:tcPr>
          <w:p w14:paraId="4F288DD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44" w:type="dxa"/>
            <w:tcBorders>
              <w:top w:val="nil"/>
              <w:left w:val="nil"/>
              <w:bottom w:val="nil"/>
              <w:right w:val="nil"/>
            </w:tcBorders>
            <w:shd w:val="clear" w:color="auto" w:fill="auto"/>
            <w:noWrap/>
            <w:vAlign w:val="bottom"/>
            <w:hideMark/>
          </w:tcPr>
          <w:p w14:paraId="61D6E9B7" w14:textId="77777777" w:rsidR="00721C2E" w:rsidRPr="00721C2E" w:rsidRDefault="00721C2E" w:rsidP="00721C2E">
            <w:pPr>
              <w:spacing w:after="0" w:line="240" w:lineRule="auto"/>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0CD1058C" w14:textId="77777777" w:rsidR="00721C2E" w:rsidRPr="00721C2E" w:rsidRDefault="00721C2E" w:rsidP="00721C2E">
            <w:pPr>
              <w:spacing w:after="0" w:line="240" w:lineRule="auto"/>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49CE8D32"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140B9FFE"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244" w:type="dxa"/>
            <w:tcBorders>
              <w:top w:val="nil"/>
              <w:left w:val="nil"/>
              <w:bottom w:val="nil"/>
              <w:right w:val="nil"/>
            </w:tcBorders>
            <w:shd w:val="clear" w:color="auto" w:fill="auto"/>
            <w:noWrap/>
            <w:vAlign w:val="bottom"/>
            <w:hideMark/>
          </w:tcPr>
          <w:p w14:paraId="1D058B2C"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78B8DDCA"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center"/>
            <w:hideMark/>
          </w:tcPr>
          <w:p w14:paraId="6721812C" w14:textId="77777777" w:rsidR="00721C2E" w:rsidRPr="00721C2E" w:rsidRDefault="00721C2E" w:rsidP="00721C2E">
            <w:pPr>
              <w:spacing w:after="0" w:line="240" w:lineRule="auto"/>
              <w:jc w:val="right"/>
              <w:rPr>
                <w:rFonts w:ascii="Times New Roman" w:eastAsia="Times New Roman" w:hAnsi="Times New Roman"/>
                <w:sz w:val="20"/>
                <w:szCs w:val="20"/>
              </w:rPr>
            </w:pPr>
          </w:p>
        </w:tc>
      </w:tr>
      <w:tr w:rsidR="00721C2E" w:rsidRPr="00721C2E" w14:paraId="7DE7EC42" w14:textId="77777777" w:rsidTr="00FD0008">
        <w:trPr>
          <w:trHeight w:val="285"/>
        </w:trPr>
        <w:tc>
          <w:tcPr>
            <w:tcW w:w="3244" w:type="dxa"/>
            <w:tcBorders>
              <w:top w:val="nil"/>
              <w:left w:val="nil"/>
              <w:bottom w:val="nil"/>
              <w:right w:val="nil"/>
            </w:tcBorders>
            <w:shd w:val="clear" w:color="auto" w:fill="auto"/>
            <w:noWrap/>
            <w:vAlign w:val="bottom"/>
            <w:hideMark/>
          </w:tcPr>
          <w:p w14:paraId="4A203438"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Earnings per share:</w:t>
            </w:r>
          </w:p>
        </w:tc>
        <w:tc>
          <w:tcPr>
            <w:tcW w:w="1144" w:type="dxa"/>
            <w:tcBorders>
              <w:top w:val="nil"/>
              <w:left w:val="nil"/>
              <w:bottom w:val="nil"/>
              <w:right w:val="nil"/>
            </w:tcBorders>
            <w:shd w:val="clear" w:color="auto" w:fill="auto"/>
            <w:noWrap/>
            <w:vAlign w:val="bottom"/>
            <w:hideMark/>
          </w:tcPr>
          <w:p w14:paraId="5080203C"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164" w:type="dxa"/>
            <w:tcBorders>
              <w:top w:val="nil"/>
              <w:left w:val="nil"/>
              <w:bottom w:val="nil"/>
              <w:right w:val="nil"/>
            </w:tcBorders>
            <w:shd w:val="clear" w:color="auto" w:fill="auto"/>
            <w:noWrap/>
            <w:vAlign w:val="bottom"/>
            <w:hideMark/>
          </w:tcPr>
          <w:p w14:paraId="5E617A1B" w14:textId="77777777" w:rsidR="00721C2E" w:rsidRPr="00721C2E" w:rsidRDefault="00721C2E" w:rsidP="00721C2E">
            <w:pPr>
              <w:spacing w:after="0" w:line="240" w:lineRule="auto"/>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5C96559E"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0E5F7940"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244" w:type="dxa"/>
            <w:tcBorders>
              <w:top w:val="nil"/>
              <w:left w:val="nil"/>
              <w:bottom w:val="nil"/>
              <w:right w:val="nil"/>
            </w:tcBorders>
            <w:shd w:val="clear" w:color="auto" w:fill="auto"/>
            <w:noWrap/>
            <w:vAlign w:val="bottom"/>
            <w:hideMark/>
          </w:tcPr>
          <w:p w14:paraId="7FBB4079"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4DA552F3"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center"/>
            <w:hideMark/>
          </w:tcPr>
          <w:p w14:paraId="5A6C0AD1" w14:textId="77777777" w:rsidR="00721C2E" w:rsidRPr="00721C2E" w:rsidRDefault="00721C2E" w:rsidP="00721C2E">
            <w:pPr>
              <w:spacing w:after="0" w:line="240" w:lineRule="auto"/>
              <w:jc w:val="right"/>
              <w:rPr>
                <w:rFonts w:ascii="Times New Roman" w:eastAsia="Times New Roman" w:hAnsi="Times New Roman"/>
                <w:sz w:val="20"/>
                <w:szCs w:val="20"/>
              </w:rPr>
            </w:pPr>
          </w:p>
        </w:tc>
      </w:tr>
      <w:tr w:rsidR="00721C2E" w:rsidRPr="00721C2E" w14:paraId="6D08C729" w14:textId="77777777" w:rsidTr="00FD0008">
        <w:trPr>
          <w:trHeight w:val="285"/>
        </w:trPr>
        <w:tc>
          <w:tcPr>
            <w:tcW w:w="3244" w:type="dxa"/>
            <w:tcBorders>
              <w:top w:val="nil"/>
              <w:left w:val="nil"/>
              <w:bottom w:val="nil"/>
              <w:right w:val="nil"/>
            </w:tcBorders>
            <w:shd w:val="clear" w:color="auto" w:fill="auto"/>
            <w:noWrap/>
            <w:vAlign w:val="bottom"/>
            <w:hideMark/>
          </w:tcPr>
          <w:p w14:paraId="455F953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Basic</w:t>
            </w:r>
          </w:p>
        </w:tc>
        <w:tc>
          <w:tcPr>
            <w:tcW w:w="1144" w:type="dxa"/>
            <w:tcBorders>
              <w:top w:val="nil"/>
              <w:left w:val="nil"/>
              <w:bottom w:val="nil"/>
              <w:right w:val="nil"/>
            </w:tcBorders>
            <w:shd w:val="clear" w:color="auto" w:fill="auto"/>
            <w:noWrap/>
            <w:vAlign w:val="bottom"/>
            <w:hideMark/>
          </w:tcPr>
          <w:p w14:paraId="7EED295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0.61 </w:t>
            </w:r>
          </w:p>
        </w:tc>
        <w:tc>
          <w:tcPr>
            <w:tcW w:w="164" w:type="dxa"/>
            <w:tcBorders>
              <w:top w:val="nil"/>
              <w:left w:val="nil"/>
              <w:bottom w:val="nil"/>
              <w:right w:val="nil"/>
            </w:tcBorders>
            <w:shd w:val="clear" w:color="auto" w:fill="auto"/>
            <w:noWrap/>
            <w:vAlign w:val="bottom"/>
            <w:hideMark/>
          </w:tcPr>
          <w:p w14:paraId="6B57C2D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20D9F8C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0.68 </w:t>
            </w:r>
          </w:p>
        </w:tc>
        <w:tc>
          <w:tcPr>
            <w:tcW w:w="220" w:type="dxa"/>
            <w:tcBorders>
              <w:top w:val="nil"/>
              <w:left w:val="nil"/>
              <w:bottom w:val="nil"/>
              <w:right w:val="nil"/>
            </w:tcBorders>
            <w:shd w:val="clear" w:color="auto" w:fill="auto"/>
            <w:noWrap/>
            <w:vAlign w:val="bottom"/>
            <w:hideMark/>
          </w:tcPr>
          <w:p w14:paraId="652A12A8"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1A1A967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1.87 </w:t>
            </w:r>
          </w:p>
        </w:tc>
        <w:tc>
          <w:tcPr>
            <w:tcW w:w="164" w:type="dxa"/>
            <w:tcBorders>
              <w:top w:val="nil"/>
              <w:left w:val="nil"/>
              <w:bottom w:val="nil"/>
              <w:right w:val="nil"/>
            </w:tcBorders>
            <w:shd w:val="clear" w:color="auto" w:fill="auto"/>
            <w:noWrap/>
            <w:vAlign w:val="bottom"/>
            <w:hideMark/>
          </w:tcPr>
          <w:p w14:paraId="090C22F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center"/>
            <w:hideMark/>
          </w:tcPr>
          <w:p w14:paraId="31A6F4C4"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2.10 </w:t>
            </w:r>
          </w:p>
        </w:tc>
      </w:tr>
      <w:tr w:rsidR="00721C2E" w:rsidRPr="00721C2E" w14:paraId="18D3EA13" w14:textId="77777777" w:rsidTr="00FD0008">
        <w:trPr>
          <w:trHeight w:val="285"/>
        </w:trPr>
        <w:tc>
          <w:tcPr>
            <w:tcW w:w="3244" w:type="dxa"/>
            <w:tcBorders>
              <w:top w:val="nil"/>
              <w:left w:val="nil"/>
              <w:bottom w:val="nil"/>
              <w:right w:val="nil"/>
            </w:tcBorders>
            <w:shd w:val="clear" w:color="auto" w:fill="auto"/>
            <w:noWrap/>
            <w:vAlign w:val="bottom"/>
            <w:hideMark/>
          </w:tcPr>
          <w:p w14:paraId="04CD666F"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Diluted</w:t>
            </w:r>
          </w:p>
        </w:tc>
        <w:tc>
          <w:tcPr>
            <w:tcW w:w="1144" w:type="dxa"/>
            <w:tcBorders>
              <w:top w:val="nil"/>
              <w:left w:val="nil"/>
              <w:bottom w:val="nil"/>
              <w:right w:val="nil"/>
            </w:tcBorders>
            <w:shd w:val="clear" w:color="auto" w:fill="auto"/>
            <w:noWrap/>
            <w:vAlign w:val="bottom"/>
            <w:hideMark/>
          </w:tcPr>
          <w:p w14:paraId="56DF719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0.61 </w:t>
            </w:r>
          </w:p>
        </w:tc>
        <w:tc>
          <w:tcPr>
            <w:tcW w:w="164" w:type="dxa"/>
            <w:tcBorders>
              <w:top w:val="nil"/>
              <w:left w:val="nil"/>
              <w:bottom w:val="nil"/>
              <w:right w:val="nil"/>
            </w:tcBorders>
            <w:shd w:val="clear" w:color="auto" w:fill="auto"/>
            <w:noWrap/>
            <w:vAlign w:val="bottom"/>
            <w:hideMark/>
          </w:tcPr>
          <w:p w14:paraId="55156959"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31775DB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0.68 </w:t>
            </w:r>
          </w:p>
        </w:tc>
        <w:tc>
          <w:tcPr>
            <w:tcW w:w="220" w:type="dxa"/>
            <w:tcBorders>
              <w:top w:val="nil"/>
              <w:left w:val="nil"/>
              <w:bottom w:val="nil"/>
              <w:right w:val="nil"/>
            </w:tcBorders>
            <w:shd w:val="clear" w:color="auto" w:fill="auto"/>
            <w:noWrap/>
            <w:vAlign w:val="bottom"/>
            <w:hideMark/>
          </w:tcPr>
          <w:p w14:paraId="4B52FBE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49970FF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1.86 </w:t>
            </w:r>
          </w:p>
        </w:tc>
        <w:tc>
          <w:tcPr>
            <w:tcW w:w="164" w:type="dxa"/>
            <w:tcBorders>
              <w:top w:val="nil"/>
              <w:left w:val="nil"/>
              <w:bottom w:val="nil"/>
              <w:right w:val="nil"/>
            </w:tcBorders>
            <w:shd w:val="clear" w:color="auto" w:fill="auto"/>
            <w:noWrap/>
            <w:vAlign w:val="bottom"/>
            <w:hideMark/>
          </w:tcPr>
          <w:p w14:paraId="434BFC9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center"/>
            <w:hideMark/>
          </w:tcPr>
          <w:p w14:paraId="552573AF"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2.08 </w:t>
            </w:r>
          </w:p>
        </w:tc>
      </w:tr>
      <w:tr w:rsidR="00721C2E" w:rsidRPr="00721C2E" w14:paraId="628896B9" w14:textId="77777777" w:rsidTr="00FD0008">
        <w:trPr>
          <w:trHeight w:val="285"/>
        </w:trPr>
        <w:tc>
          <w:tcPr>
            <w:tcW w:w="4388" w:type="dxa"/>
            <w:gridSpan w:val="2"/>
            <w:tcBorders>
              <w:top w:val="nil"/>
              <w:left w:val="nil"/>
              <w:bottom w:val="nil"/>
              <w:right w:val="nil"/>
            </w:tcBorders>
            <w:shd w:val="clear" w:color="auto" w:fill="auto"/>
            <w:noWrap/>
            <w:vAlign w:val="bottom"/>
            <w:hideMark/>
          </w:tcPr>
          <w:p w14:paraId="14C7AB2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Weighted average shares outstanding:</w:t>
            </w:r>
          </w:p>
        </w:tc>
        <w:tc>
          <w:tcPr>
            <w:tcW w:w="164" w:type="dxa"/>
            <w:tcBorders>
              <w:top w:val="nil"/>
              <w:left w:val="nil"/>
              <w:bottom w:val="nil"/>
              <w:right w:val="nil"/>
            </w:tcBorders>
            <w:shd w:val="clear" w:color="auto" w:fill="auto"/>
            <w:noWrap/>
            <w:vAlign w:val="bottom"/>
            <w:hideMark/>
          </w:tcPr>
          <w:p w14:paraId="4AFDBF40"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984" w:type="dxa"/>
            <w:tcBorders>
              <w:top w:val="nil"/>
              <w:left w:val="nil"/>
              <w:bottom w:val="nil"/>
              <w:right w:val="nil"/>
            </w:tcBorders>
            <w:shd w:val="clear" w:color="auto" w:fill="auto"/>
            <w:noWrap/>
            <w:vAlign w:val="bottom"/>
            <w:hideMark/>
          </w:tcPr>
          <w:p w14:paraId="039ECA0D"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7DBA195B"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244" w:type="dxa"/>
            <w:tcBorders>
              <w:top w:val="nil"/>
              <w:left w:val="nil"/>
              <w:bottom w:val="nil"/>
              <w:right w:val="nil"/>
            </w:tcBorders>
            <w:shd w:val="clear" w:color="auto" w:fill="auto"/>
            <w:noWrap/>
            <w:vAlign w:val="bottom"/>
            <w:hideMark/>
          </w:tcPr>
          <w:p w14:paraId="676BA095"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64" w:type="dxa"/>
            <w:tcBorders>
              <w:top w:val="nil"/>
              <w:left w:val="nil"/>
              <w:bottom w:val="nil"/>
              <w:right w:val="nil"/>
            </w:tcBorders>
            <w:shd w:val="clear" w:color="auto" w:fill="auto"/>
            <w:noWrap/>
            <w:vAlign w:val="bottom"/>
            <w:hideMark/>
          </w:tcPr>
          <w:p w14:paraId="26FC5CF5"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center"/>
            <w:hideMark/>
          </w:tcPr>
          <w:p w14:paraId="3A86DAE7" w14:textId="77777777" w:rsidR="00721C2E" w:rsidRPr="00721C2E" w:rsidRDefault="00721C2E" w:rsidP="00721C2E">
            <w:pPr>
              <w:spacing w:after="0" w:line="240" w:lineRule="auto"/>
              <w:jc w:val="right"/>
              <w:rPr>
                <w:rFonts w:ascii="Times New Roman" w:eastAsia="Times New Roman" w:hAnsi="Times New Roman"/>
                <w:sz w:val="20"/>
                <w:szCs w:val="20"/>
              </w:rPr>
            </w:pPr>
          </w:p>
        </w:tc>
      </w:tr>
      <w:tr w:rsidR="00721C2E" w:rsidRPr="00721C2E" w14:paraId="2A659604" w14:textId="77777777" w:rsidTr="00FD0008">
        <w:trPr>
          <w:trHeight w:val="285"/>
        </w:trPr>
        <w:tc>
          <w:tcPr>
            <w:tcW w:w="3244" w:type="dxa"/>
            <w:tcBorders>
              <w:top w:val="nil"/>
              <w:left w:val="nil"/>
              <w:bottom w:val="nil"/>
              <w:right w:val="nil"/>
            </w:tcBorders>
            <w:shd w:val="clear" w:color="auto" w:fill="auto"/>
            <w:noWrap/>
            <w:vAlign w:val="bottom"/>
            <w:hideMark/>
          </w:tcPr>
          <w:p w14:paraId="2D0B2A00"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Basic</w:t>
            </w:r>
          </w:p>
        </w:tc>
        <w:tc>
          <w:tcPr>
            <w:tcW w:w="1144" w:type="dxa"/>
            <w:tcBorders>
              <w:top w:val="nil"/>
              <w:left w:val="nil"/>
              <w:bottom w:val="nil"/>
              <w:right w:val="nil"/>
            </w:tcBorders>
            <w:shd w:val="clear" w:color="auto" w:fill="auto"/>
            <w:noWrap/>
            <w:vAlign w:val="bottom"/>
            <w:hideMark/>
          </w:tcPr>
          <w:p w14:paraId="2056FFF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8,167 </w:t>
            </w:r>
          </w:p>
        </w:tc>
        <w:tc>
          <w:tcPr>
            <w:tcW w:w="164" w:type="dxa"/>
            <w:tcBorders>
              <w:top w:val="nil"/>
              <w:left w:val="nil"/>
              <w:bottom w:val="nil"/>
              <w:right w:val="nil"/>
            </w:tcBorders>
            <w:shd w:val="clear" w:color="auto" w:fill="auto"/>
            <w:noWrap/>
            <w:vAlign w:val="bottom"/>
            <w:hideMark/>
          </w:tcPr>
          <w:p w14:paraId="44A688E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43DE445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8,284 </w:t>
            </w:r>
          </w:p>
        </w:tc>
        <w:tc>
          <w:tcPr>
            <w:tcW w:w="220" w:type="dxa"/>
            <w:tcBorders>
              <w:top w:val="nil"/>
              <w:left w:val="nil"/>
              <w:bottom w:val="nil"/>
              <w:right w:val="nil"/>
            </w:tcBorders>
            <w:shd w:val="clear" w:color="auto" w:fill="auto"/>
            <w:noWrap/>
            <w:vAlign w:val="bottom"/>
            <w:hideMark/>
          </w:tcPr>
          <w:p w14:paraId="40F1335F"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004C94F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8,215 </w:t>
            </w:r>
          </w:p>
        </w:tc>
        <w:tc>
          <w:tcPr>
            <w:tcW w:w="164" w:type="dxa"/>
            <w:tcBorders>
              <w:top w:val="nil"/>
              <w:left w:val="nil"/>
              <w:bottom w:val="nil"/>
              <w:right w:val="nil"/>
            </w:tcBorders>
            <w:shd w:val="clear" w:color="auto" w:fill="auto"/>
            <w:noWrap/>
            <w:vAlign w:val="bottom"/>
            <w:hideMark/>
          </w:tcPr>
          <w:p w14:paraId="14FB65D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0B7F36C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8,317 </w:t>
            </w:r>
          </w:p>
        </w:tc>
      </w:tr>
      <w:tr w:rsidR="00721C2E" w:rsidRPr="00721C2E" w14:paraId="4F1ACD21" w14:textId="77777777" w:rsidTr="00FD0008">
        <w:trPr>
          <w:trHeight w:val="285"/>
        </w:trPr>
        <w:tc>
          <w:tcPr>
            <w:tcW w:w="3244" w:type="dxa"/>
            <w:tcBorders>
              <w:top w:val="nil"/>
              <w:left w:val="nil"/>
              <w:bottom w:val="nil"/>
              <w:right w:val="nil"/>
            </w:tcBorders>
            <w:shd w:val="clear" w:color="auto" w:fill="auto"/>
            <w:noWrap/>
            <w:vAlign w:val="bottom"/>
            <w:hideMark/>
          </w:tcPr>
          <w:p w14:paraId="1638F10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Diluted</w:t>
            </w:r>
          </w:p>
        </w:tc>
        <w:tc>
          <w:tcPr>
            <w:tcW w:w="1144" w:type="dxa"/>
            <w:tcBorders>
              <w:top w:val="nil"/>
              <w:left w:val="nil"/>
              <w:bottom w:val="nil"/>
              <w:right w:val="nil"/>
            </w:tcBorders>
            <w:shd w:val="clear" w:color="auto" w:fill="auto"/>
            <w:noWrap/>
            <w:vAlign w:val="bottom"/>
            <w:hideMark/>
          </w:tcPr>
          <w:p w14:paraId="2184445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8,237 </w:t>
            </w:r>
          </w:p>
        </w:tc>
        <w:tc>
          <w:tcPr>
            <w:tcW w:w="164" w:type="dxa"/>
            <w:tcBorders>
              <w:top w:val="nil"/>
              <w:left w:val="nil"/>
              <w:bottom w:val="nil"/>
              <w:right w:val="nil"/>
            </w:tcBorders>
            <w:shd w:val="clear" w:color="auto" w:fill="auto"/>
            <w:noWrap/>
            <w:vAlign w:val="bottom"/>
            <w:hideMark/>
          </w:tcPr>
          <w:p w14:paraId="6A3F3F9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17771FE2"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8,367 </w:t>
            </w:r>
          </w:p>
        </w:tc>
        <w:tc>
          <w:tcPr>
            <w:tcW w:w="220" w:type="dxa"/>
            <w:tcBorders>
              <w:top w:val="nil"/>
              <w:left w:val="nil"/>
              <w:bottom w:val="nil"/>
              <w:right w:val="nil"/>
            </w:tcBorders>
            <w:shd w:val="clear" w:color="auto" w:fill="auto"/>
            <w:noWrap/>
            <w:vAlign w:val="bottom"/>
            <w:hideMark/>
          </w:tcPr>
          <w:p w14:paraId="500ED20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244" w:type="dxa"/>
            <w:tcBorders>
              <w:top w:val="nil"/>
              <w:left w:val="nil"/>
              <w:bottom w:val="nil"/>
              <w:right w:val="nil"/>
            </w:tcBorders>
            <w:shd w:val="clear" w:color="auto" w:fill="auto"/>
            <w:noWrap/>
            <w:vAlign w:val="bottom"/>
            <w:hideMark/>
          </w:tcPr>
          <w:p w14:paraId="639C47D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8,293 </w:t>
            </w:r>
          </w:p>
        </w:tc>
        <w:tc>
          <w:tcPr>
            <w:tcW w:w="164" w:type="dxa"/>
            <w:tcBorders>
              <w:top w:val="nil"/>
              <w:left w:val="nil"/>
              <w:bottom w:val="nil"/>
              <w:right w:val="nil"/>
            </w:tcBorders>
            <w:shd w:val="clear" w:color="auto" w:fill="auto"/>
            <w:noWrap/>
            <w:vAlign w:val="bottom"/>
            <w:hideMark/>
          </w:tcPr>
          <w:p w14:paraId="7D7CA8C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32645B9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8,411 </w:t>
            </w:r>
          </w:p>
        </w:tc>
      </w:tr>
      <w:tr w:rsidR="00721C2E" w:rsidRPr="00721C2E" w14:paraId="794EBCDD" w14:textId="77777777" w:rsidTr="00FD0008">
        <w:trPr>
          <w:trHeight w:val="570"/>
        </w:trPr>
        <w:tc>
          <w:tcPr>
            <w:tcW w:w="3244" w:type="dxa"/>
            <w:tcBorders>
              <w:top w:val="nil"/>
              <w:left w:val="nil"/>
              <w:bottom w:val="single" w:sz="4" w:space="0" w:color="auto"/>
              <w:right w:val="nil"/>
            </w:tcBorders>
            <w:shd w:val="clear" w:color="auto" w:fill="auto"/>
            <w:vAlign w:val="bottom"/>
            <w:hideMark/>
          </w:tcPr>
          <w:p w14:paraId="523C4EF1"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Cash dividends declared per</w:t>
            </w:r>
            <w:r w:rsidRPr="00721C2E">
              <w:rPr>
                <w:rFonts w:ascii="Segoe UI" w:eastAsia="Times New Roman" w:hAnsi="Segoe UI" w:cs="Segoe UI"/>
                <w:color w:val="666666"/>
                <w:sz w:val="20"/>
                <w:szCs w:val="20"/>
              </w:rPr>
              <w:br/>
              <w:t xml:space="preserve">   common share</w:t>
            </w:r>
          </w:p>
        </w:tc>
        <w:tc>
          <w:tcPr>
            <w:tcW w:w="1144" w:type="dxa"/>
            <w:tcBorders>
              <w:top w:val="nil"/>
              <w:left w:val="nil"/>
              <w:bottom w:val="single" w:sz="4" w:space="0" w:color="auto"/>
              <w:right w:val="nil"/>
            </w:tcBorders>
            <w:shd w:val="clear" w:color="auto" w:fill="auto"/>
            <w:noWrap/>
            <w:vAlign w:val="bottom"/>
            <w:hideMark/>
          </w:tcPr>
          <w:p w14:paraId="6EAD593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0.31 </w:t>
            </w:r>
          </w:p>
        </w:tc>
        <w:tc>
          <w:tcPr>
            <w:tcW w:w="164" w:type="dxa"/>
            <w:tcBorders>
              <w:top w:val="nil"/>
              <w:left w:val="nil"/>
              <w:bottom w:val="single" w:sz="4" w:space="0" w:color="auto"/>
              <w:right w:val="nil"/>
            </w:tcBorders>
            <w:shd w:val="clear" w:color="auto" w:fill="auto"/>
            <w:noWrap/>
            <w:vAlign w:val="bottom"/>
            <w:hideMark/>
          </w:tcPr>
          <w:p w14:paraId="0B44F29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984" w:type="dxa"/>
            <w:tcBorders>
              <w:top w:val="nil"/>
              <w:left w:val="nil"/>
              <w:bottom w:val="single" w:sz="4" w:space="0" w:color="auto"/>
              <w:right w:val="nil"/>
            </w:tcBorders>
            <w:shd w:val="clear" w:color="auto" w:fill="auto"/>
            <w:noWrap/>
            <w:vAlign w:val="bottom"/>
            <w:hideMark/>
          </w:tcPr>
          <w:p w14:paraId="6F1A7F1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0.28 </w:t>
            </w:r>
          </w:p>
        </w:tc>
        <w:tc>
          <w:tcPr>
            <w:tcW w:w="220" w:type="dxa"/>
            <w:tcBorders>
              <w:top w:val="nil"/>
              <w:left w:val="nil"/>
              <w:bottom w:val="single" w:sz="4" w:space="0" w:color="auto"/>
              <w:right w:val="nil"/>
            </w:tcBorders>
            <w:shd w:val="clear" w:color="auto" w:fill="auto"/>
            <w:noWrap/>
            <w:vAlign w:val="bottom"/>
            <w:hideMark/>
          </w:tcPr>
          <w:p w14:paraId="668B5E9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w:t>
            </w:r>
          </w:p>
        </w:tc>
        <w:tc>
          <w:tcPr>
            <w:tcW w:w="1244" w:type="dxa"/>
            <w:tcBorders>
              <w:top w:val="nil"/>
              <w:left w:val="nil"/>
              <w:bottom w:val="single" w:sz="4" w:space="0" w:color="auto"/>
              <w:right w:val="nil"/>
            </w:tcBorders>
            <w:shd w:val="clear" w:color="auto" w:fill="auto"/>
            <w:noWrap/>
            <w:vAlign w:val="bottom"/>
            <w:hideMark/>
          </w:tcPr>
          <w:p w14:paraId="0BB8A5C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0.93 </w:t>
            </w:r>
          </w:p>
        </w:tc>
        <w:tc>
          <w:tcPr>
            <w:tcW w:w="164" w:type="dxa"/>
            <w:tcBorders>
              <w:top w:val="nil"/>
              <w:left w:val="nil"/>
              <w:bottom w:val="single" w:sz="4" w:space="0" w:color="auto"/>
              <w:right w:val="nil"/>
            </w:tcBorders>
            <w:shd w:val="clear" w:color="auto" w:fill="auto"/>
            <w:noWrap/>
            <w:vAlign w:val="bottom"/>
            <w:hideMark/>
          </w:tcPr>
          <w:p w14:paraId="45BD158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984" w:type="dxa"/>
            <w:tcBorders>
              <w:top w:val="nil"/>
              <w:left w:val="nil"/>
              <w:bottom w:val="single" w:sz="4" w:space="0" w:color="auto"/>
              <w:right w:val="nil"/>
            </w:tcBorders>
            <w:shd w:val="clear" w:color="auto" w:fill="auto"/>
            <w:noWrap/>
            <w:vAlign w:val="bottom"/>
            <w:hideMark/>
          </w:tcPr>
          <w:p w14:paraId="01F0433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0.84 </w:t>
            </w:r>
          </w:p>
        </w:tc>
      </w:tr>
    </w:tbl>
    <w:p w14:paraId="02A36860" w14:textId="0D01CF60" w:rsidR="00EA2CC9" w:rsidRDefault="00EA2CC9" w:rsidP="00721C2E"/>
    <w:p w14:paraId="197D4395" w14:textId="77777777" w:rsidR="00EA2CC9" w:rsidRDefault="00EA2CC9">
      <w:pPr>
        <w:spacing w:after="160" w:line="259" w:lineRule="auto"/>
      </w:pPr>
      <w:r>
        <w:br w:type="page"/>
      </w:r>
    </w:p>
    <w:tbl>
      <w:tblPr>
        <w:tblW w:w="7764" w:type="dxa"/>
        <w:tblCellMar>
          <w:left w:w="0" w:type="dxa"/>
          <w:right w:w="0" w:type="dxa"/>
        </w:tblCellMar>
        <w:tblLook w:val="04A0" w:firstRow="1" w:lastRow="0" w:firstColumn="1" w:lastColumn="0" w:noHBand="0" w:noVBand="1"/>
      </w:tblPr>
      <w:tblGrid>
        <w:gridCol w:w="3212"/>
        <w:gridCol w:w="1112"/>
        <w:gridCol w:w="132"/>
        <w:gridCol w:w="952"/>
        <w:gridCol w:w="188"/>
        <w:gridCol w:w="1212"/>
        <w:gridCol w:w="132"/>
        <w:gridCol w:w="952"/>
      </w:tblGrid>
      <w:tr w:rsidR="00721C2E" w:rsidRPr="00721C2E" w14:paraId="393A10B6" w14:textId="77777777" w:rsidTr="00FD0008">
        <w:trPr>
          <w:trHeight w:val="285"/>
        </w:trPr>
        <w:tc>
          <w:tcPr>
            <w:tcW w:w="3196" w:type="dxa"/>
            <w:tcBorders>
              <w:top w:val="nil"/>
              <w:left w:val="nil"/>
              <w:bottom w:val="nil"/>
              <w:right w:val="nil"/>
            </w:tcBorders>
            <w:shd w:val="clear" w:color="auto" w:fill="auto"/>
            <w:noWrap/>
            <w:vAlign w:val="bottom"/>
            <w:hideMark/>
          </w:tcPr>
          <w:p w14:paraId="3F54FB79"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auto" w:fill="auto"/>
            <w:noWrap/>
            <w:vAlign w:val="bottom"/>
            <w:hideMark/>
          </w:tcPr>
          <w:p w14:paraId="3A4016CA"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47B72850"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5892523D" w14:textId="77777777" w:rsidR="00721C2E" w:rsidRPr="00721C2E" w:rsidRDefault="00721C2E" w:rsidP="00721C2E">
            <w:pPr>
              <w:spacing w:after="0" w:line="240" w:lineRule="auto"/>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0069CB73"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5AEB3B8" w14:textId="77777777" w:rsidR="00721C2E" w:rsidRPr="00721C2E" w:rsidRDefault="00721C2E" w:rsidP="00721C2E">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4A319BD8"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6C349B63"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284E10AF" w14:textId="77777777" w:rsidTr="00FD0008">
        <w:trPr>
          <w:trHeight w:val="285"/>
        </w:trPr>
        <w:tc>
          <w:tcPr>
            <w:tcW w:w="3196" w:type="dxa"/>
            <w:tcBorders>
              <w:top w:val="nil"/>
              <w:left w:val="nil"/>
              <w:bottom w:val="nil"/>
              <w:right w:val="nil"/>
            </w:tcBorders>
            <w:shd w:val="clear" w:color="auto" w:fill="auto"/>
            <w:noWrap/>
            <w:vAlign w:val="bottom"/>
            <w:hideMark/>
          </w:tcPr>
          <w:p w14:paraId="039FF7C1"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2AF04E3A" w14:textId="77777777" w:rsidR="00721C2E" w:rsidRPr="00721C2E" w:rsidRDefault="00721C2E" w:rsidP="00721C2E">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5FF5D9DD"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75B3E878" w14:textId="77777777" w:rsidR="00721C2E" w:rsidRPr="00721C2E" w:rsidRDefault="00721C2E" w:rsidP="00721C2E">
            <w:pPr>
              <w:spacing w:after="0" w:line="240" w:lineRule="auto"/>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11EA4719"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3B6352A" w14:textId="77777777" w:rsidR="00721C2E" w:rsidRPr="00721C2E" w:rsidRDefault="00721C2E" w:rsidP="00721C2E">
            <w:pPr>
              <w:spacing w:after="0" w:line="240" w:lineRule="auto"/>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6022771B"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25402166"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7BBCB0DE" w14:textId="77777777" w:rsidTr="00FD0008">
        <w:trPr>
          <w:trHeight w:val="285"/>
        </w:trPr>
        <w:tc>
          <w:tcPr>
            <w:tcW w:w="7764" w:type="dxa"/>
            <w:gridSpan w:val="8"/>
            <w:tcBorders>
              <w:top w:val="nil"/>
              <w:left w:val="nil"/>
              <w:bottom w:val="nil"/>
              <w:right w:val="nil"/>
            </w:tcBorders>
            <w:shd w:val="clear" w:color="auto" w:fill="auto"/>
            <w:noWrap/>
            <w:vAlign w:val="bottom"/>
            <w:hideMark/>
          </w:tcPr>
          <w:p w14:paraId="55E2E01E"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COMPREHENSIVE INCOME STATEMENTS</w:t>
            </w:r>
          </w:p>
        </w:tc>
      </w:tr>
      <w:tr w:rsidR="00721C2E" w:rsidRPr="00721C2E" w14:paraId="1C86B3D3" w14:textId="77777777" w:rsidTr="00FD0008">
        <w:trPr>
          <w:trHeight w:val="285"/>
        </w:trPr>
        <w:tc>
          <w:tcPr>
            <w:tcW w:w="7764" w:type="dxa"/>
            <w:gridSpan w:val="8"/>
            <w:tcBorders>
              <w:top w:val="nil"/>
              <w:left w:val="nil"/>
              <w:bottom w:val="nil"/>
              <w:right w:val="nil"/>
            </w:tcBorders>
            <w:shd w:val="clear" w:color="auto" w:fill="auto"/>
            <w:noWrap/>
            <w:vAlign w:val="bottom"/>
            <w:hideMark/>
          </w:tcPr>
          <w:p w14:paraId="10DA29EA"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 millions)(Unaudited)</w:t>
            </w:r>
          </w:p>
        </w:tc>
      </w:tr>
      <w:tr w:rsidR="00721C2E" w:rsidRPr="00721C2E" w14:paraId="29CBF2E4" w14:textId="77777777" w:rsidTr="00FD0008">
        <w:trPr>
          <w:trHeight w:val="285"/>
        </w:trPr>
        <w:tc>
          <w:tcPr>
            <w:tcW w:w="3196" w:type="dxa"/>
            <w:tcBorders>
              <w:top w:val="nil"/>
              <w:left w:val="nil"/>
              <w:bottom w:val="nil"/>
              <w:right w:val="nil"/>
            </w:tcBorders>
            <w:shd w:val="clear" w:color="auto" w:fill="auto"/>
            <w:noWrap/>
            <w:vAlign w:val="bottom"/>
            <w:hideMark/>
          </w:tcPr>
          <w:p w14:paraId="76AD79DE"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7829402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618EA71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8AC89CD"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4E2F47A7"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6DCA4C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59A9B789"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5EF2F5C8" w14:textId="77777777" w:rsidR="00721C2E" w:rsidRPr="00721C2E" w:rsidRDefault="00721C2E" w:rsidP="00721C2E">
            <w:pPr>
              <w:spacing w:after="0" w:line="240" w:lineRule="auto"/>
              <w:jc w:val="center"/>
              <w:rPr>
                <w:rFonts w:ascii="Times New Roman" w:eastAsia="Times New Roman" w:hAnsi="Times New Roman"/>
                <w:sz w:val="20"/>
                <w:szCs w:val="20"/>
              </w:rPr>
            </w:pPr>
          </w:p>
        </w:tc>
      </w:tr>
      <w:tr w:rsidR="00721C2E" w:rsidRPr="00721C2E" w14:paraId="3D118761" w14:textId="77777777" w:rsidTr="00FD0008">
        <w:trPr>
          <w:trHeight w:val="285"/>
        </w:trPr>
        <w:tc>
          <w:tcPr>
            <w:tcW w:w="3196" w:type="dxa"/>
            <w:tcBorders>
              <w:top w:val="nil"/>
              <w:left w:val="nil"/>
              <w:bottom w:val="nil"/>
              <w:right w:val="nil"/>
            </w:tcBorders>
            <w:shd w:val="clear" w:color="auto" w:fill="auto"/>
            <w:noWrap/>
            <w:vAlign w:val="bottom"/>
            <w:hideMark/>
          </w:tcPr>
          <w:p w14:paraId="1031EAA0"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2148" w:type="dxa"/>
            <w:gridSpan w:val="3"/>
            <w:vMerge w:val="restart"/>
            <w:tcBorders>
              <w:top w:val="nil"/>
              <w:left w:val="nil"/>
              <w:bottom w:val="nil"/>
              <w:right w:val="nil"/>
            </w:tcBorders>
            <w:shd w:val="clear" w:color="auto" w:fill="auto"/>
            <w:vAlign w:val="bottom"/>
            <w:hideMark/>
          </w:tcPr>
          <w:p w14:paraId="6602AEC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Three Months Ended March 31,</w:t>
            </w:r>
          </w:p>
        </w:tc>
        <w:tc>
          <w:tcPr>
            <w:tcW w:w="172" w:type="dxa"/>
            <w:tcBorders>
              <w:top w:val="nil"/>
              <w:left w:val="nil"/>
              <w:bottom w:val="nil"/>
              <w:right w:val="nil"/>
            </w:tcBorders>
            <w:shd w:val="clear" w:color="auto" w:fill="auto"/>
            <w:vAlign w:val="bottom"/>
            <w:hideMark/>
          </w:tcPr>
          <w:p w14:paraId="0FF7DA0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2248" w:type="dxa"/>
            <w:gridSpan w:val="3"/>
            <w:vMerge w:val="restart"/>
            <w:tcBorders>
              <w:top w:val="nil"/>
              <w:left w:val="nil"/>
              <w:bottom w:val="nil"/>
              <w:right w:val="nil"/>
            </w:tcBorders>
            <w:shd w:val="clear" w:color="auto" w:fill="auto"/>
            <w:vAlign w:val="bottom"/>
            <w:hideMark/>
          </w:tcPr>
          <w:p w14:paraId="327491F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Nine Months Ended March 31,</w:t>
            </w:r>
          </w:p>
        </w:tc>
      </w:tr>
      <w:tr w:rsidR="00721C2E" w:rsidRPr="00721C2E" w14:paraId="00714494" w14:textId="77777777" w:rsidTr="00FD0008">
        <w:trPr>
          <w:trHeight w:val="285"/>
        </w:trPr>
        <w:tc>
          <w:tcPr>
            <w:tcW w:w="3196" w:type="dxa"/>
            <w:tcBorders>
              <w:top w:val="nil"/>
              <w:left w:val="nil"/>
              <w:bottom w:val="nil"/>
              <w:right w:val="nil"/>
            </w:tcBorders>
            <w:shd w:val="clear" w:color="auto" w:fill="auto"/>
            <w:noWrap/>
            <w:vAlign w:val="bottom"/>
            <w:hideMark/>
          </w:tcPr>
          <w:p w14:paraId="6483605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2148" w:type="dxa"/>
            <w:gridSpan w:val="3"/>
            <w:vMerge/>
            <w:tcBorders>
              <w:top w:val="nil"/>
              <w:left w:val="nil"/>
              <w:bottom w:val="nil"/>
              <w:right w:val="nil"/>
            </w:tcBorders>
            <w:vAlign w:val="center"/>
            <w:hideMark/>
          </w:tcPr>
          <w:p w14:paraId="1F14BE9B"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vAlign w:val="bottom"/>
            <w:hideMark/>
          </w:tcPr>
          <w:p w14:paraId="79E10C95" w14:textId="77777777" w:rsidR="00721C2E" w:rsidRPr="00721C2E" w:rsidRDefault="00721C2E" w:rsidP="00721C2E">
            <w:pPr>
              <w:spacing w:after="0" w:line="240" w:lineRule="auto"/>
              <w:rPr>
                <w:rFonts w:ascii="Times New Roman" w:eastAsia="Times New Roman" w:hAnsi="Times New Roman"/>
                <w:sz w:val="20"/>
                <w:szCs w:val="20"/>
              </w:rPr>
            </w:pPr>
          </w:p>
        </w:tc>
        <w:tc>
          <w:tcPr>
            <w:tcW w:w="2248" w:type="dxa"/>
            <w:gridSpan w:val="3"/>
            <w:vMerge/>
            <w:tcBorders>
              <w:top w:val="nil"/>
              <w:left w:val="nil"/>
              <w:bottom w:val="nil"/>
              <w:right w:val="nil"/>
            </w:tcBorders>
            <w:vAlign w:val="center"/>
            <w:hideMark/>
          </w:tcPr>
          <w:p w14:paraId="49ACACE2"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r>
      <w:tr w:rsidR="00721C2E" w:rsidRPr="00721C2E" w14:paraId="36B31105" w14:textId="77777777" w:rsidTr="00FD0008">
        <w:trPr>
          <w:trHeight w:val="285"/>
        </w:trPr>
        <w:tc>
          <w:tcPr>
            <w:tcW w:w="3196" w:type="dxa"/>
            <w:tcBorders>
              <w:top w:val="nil"/>
              <w:left w:val="nil"/>
              <w:bottom w:val="single" w:sz="4" w:space="0" w:color="auto"/>
              <w:right w:val="nil"/>
            </w:tcBorders>
            <w:shd w:val="clear" w:color="auto" w:fill="auto"/>
            <w:noWrap/>
            <w:vAlign w:val="bottom"/>
            <w:hideMark/>
          </w:tcPr>
          <w:p w14:paraId="14609984"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58EE15D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2015</w:t>
            </w:r>
          </w:p>
        </w:tc>
        <w:tc>
          <w:tcPr>
            <w:tcW w:w="116" w:type="dxa"/>
            <w:tcBorders>
              <w:top w:val="nil"/>
              <w:left w:val="nil"/>
              <w:bottom w:val="single" w:sz="4" w:space="0" w:color="auto"/>
              <w:right w:val="nil"/>
            </w:tcBorders>
            <w:shd w:val="clear" w:color="auto" w:fill="auto"/>
            <w:noWrap/>
            <w:vAlign w:val="bottom"/>
            <w:hideMark/>
          </w:tcPr>
          <w:p w14:paraId="40C81FD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5879AD7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2014</w:t>
            </w:r>
          </w:p>
        </w:tc>
        <w:tc>
          <w:tcPr>
            <w:tcW w:w="172" w:type="dxa"/>
            <w:tcBorders>
              <w:top w:val="nil"/>
              <w:left w:val="nil"/>
              <w:bottom w:val="single" w:sz="4" w:space="0" w:color="auto"/>
              <w:right w:val="nil"/>
            </w:tcBorders>
            <w:shd w:val="clear" w:color="auto" w:fill="auto"/>
            <w:noWrap/>
            <w:vAlign w:val="bottom"/>
            <w:hideMark/>
          </w:tcPr>
          <w:p w14:paraId="4F011AA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78676F3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2015</w:t>
            </w:r>
          </w:p>
        </w:tc>
        <w:tc>
          <w:tcPr>
            <w:tcW w:w="116" w:type="dxa"/>
            <w:tcBorders>
              <w:top w:val="nil"/>
              <w:left w:val="nil"/>
              <w:bottom w:val="single" w:sz="4" w:space="0" w:color="auto"/>
              <w:right w:val="nil"/>
            </w:tcBorders>
            <w:shd w:val="clear" w:color="auto" w:fill="auto"/>
            <w:noWrap/>
            <w:vAlign w:val="bottom"/>
            <w:hideMark/>
          </w:tcPr>
          <w:p w14:paraId="3323BF2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7D68C0A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2014</w:t>
            </w:r>
          </w:p>
        </w:tc>
      </w:tr>
      <w:tr w:rsidR="00721C2E" w:rsidRPr="00721C2E" w14:paraId="78970BD5" w14:textId="77777777" w:rsidTr="00FD0008">
        <w:trPr>
          <w:trHeight w:val="285"/>
        </w:trPr>
        <w:tc>
          <w:tcPr>
            <w:tcW w:w="3196" w:type="dxa"/>
            <w:tcBorders>
              <w:top w:val="nil"/>
              <w:left w:val="nil"/>
              <w:bottom w:val="nil"/>
              <w:right w:val="nil"/>
            </w:tcBorders>
            <w:shd w:val="clear" w:color="auto" w:fill="auto"/>
            <w:noWrap/>
            <w:vAlign w:val="bottom"/>
            <w:hideMark/>
          </w:tcPr>
          <w:p w14:paraId="0EA0C490"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Net income</w:t>
            </w:r>
          </w:p>
        </w:tc>
        <w:tc>
          <w:tcPr>
            <w:tcW w:w="1096" w:type="dxa"/>
            <w:tcBorders>
              <w:top w:val="nil"/>
              <w:left w:val="nil"/>
              <w:bottom w:val="nil"/>
              <w:right w:val="nil"/>
            </w:tcBorders>
            <w:shd w:val="clear" w:color="auto" w:fill="auto"/>
            <w:noWrap/>
            <w:vAlign w:val="bottom"/>
            <w:hideMark/>
          </w:tcPr>
          <w:p w14:paraId="48A1705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4,985 </w:t>
            </w:r>
          </w:p>
        </w:tc>
        <w:tc>
          <w:tcPr>
            <w:tcW w:w="116" w:type="dxa"/>
            <w:tcBorders>
              <w:top w:val="nil"/>
              <w:left w:val="nil"/>
              <w:bottom w:val="nil"/>
              <w:right w:val="nil"/>
            </w:tcBorders>
            <w:shd w:val="clear" w:color="auto" w:fill="auto"/>
            <w:noWrap/>
            <w:vAlign w:val="bottom"/>
            <w:hideMark/>
          </w:tcPr>
          <w:p w14:paraId="745EF9D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AA3973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5,660 </w:t>
            </w:r>
          </w:p>
        </w:tc>
        <w:tc>
          <w:tcPr>
            <w:tcW w:w="172" w:type="dxa"/>
            <w:tcBorders>
              <w:top w:val="nil"/>
              <w:left w:val="nil"/>
              <w:bottom w:val="nil"/>
              <w:right w:val="nil"/>
            </w:tcBorders>
            <w:shd w:val="clear" w:color="auto" w:fill="auto"/>
            <w:noWrap/>
            <w:vAlign w:val="bottom"/>
            <w:hideMark/>
          </w:tcPr>
          <w:p w14:paraId="70EC8785"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D17ED3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15,388 </w:t>
            </w:r>
          </w:p>
        </w:tc>
        <w:tc>
          <w:tcPr>
            <w:tcW w:w="116" w:type="dxa"/>
            <w:tcBorders>
              <w:top w:val="nil"/>
              <w:left w:val="nil"/>
              <w:bottom w:val="nil"/>
              <w:right w:val="nil"/>
            </w:tcBorders>
            <w:shd w:val="clear" w:color="auto" w:fill="auto"/>
            <w:noWrap/>
            <w:vAlign w:val="bottom"/>
            <w:hideMark/>
          </w:tcPr>
          <w:p w14:paraId="59F4CA4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F00B11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$17,462 </w:t>
            </w:r>
          </w:p>
        </w:tc>
      </w:tr>
      <w:tr w:rsidR="00721C2E" w:rsidRPr="00721C2E" w14:paraId="419AB38C" w14:textId="77777777" w:rsidTr="00FD0008">
        <w:trPr>
          <w:trHeight w:val="285"/>
        </w:trPr>
        <w:tc>
          <w:tcPr>
            <w:tcW w:w="4292" w:type="dxa"/>
            <w:gridSpan w:val="2"/>
            <w:tcBorders>
              <w:top w:val="nil"/>
              <w:left w:val="nil"/>
              <w:bottom w:val="nil"/>
              <w:right w:val="nil"/>
            </w:tcBorders>
            <w:shd w:val="clear" w:color="auto" w:fill="auto"/>
            <w:noWrap/>
            <w:vAlign w:val="bottom"/>
            <w:hideMark/>
          </w:tcPr>
          <w:p w14:paraId="55ADDEF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Other comprehensive income (loss):</w:t>
            </w:r>
          </w:p>
        </w:tc>
        <w:tc>
          <w:tcPr>
            <w:tcW w:w="116" w:type="dxa"/>
            <w:tcBorders>
              <w:top w:val="nil"/>
              <w:left w:val="nil"/>
              <w:bottom w:val="nil"/>
              <w:right w:val="nil"/>
            </w:tcBorders>
            <w:shd w:val="clear" w:color="auto" w:fill="auto"/>
            <w:noWrap/>
            <w:vAlign w:val="bottom"/>
            <w:hideMark/>
          </w:tcPr>
          <w:p w14:paraId="0A4F9BDA"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2B1A9FD0"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72" w:type="dxa"/>
            <w:tcBorders>
              <w:top w:val="nil"/>
              <w:left w:val="nil"/>
              <w:bottom w:val="nil"/>
              <w:right w:val="nil"/>
            </w:tcBorders>
            <w:shd w:val="clear" w:color="auto" w:fill="auto"/>
            <w:noWrap/>
            <w:vAlign w:val="bottom"/>
            <w:hideMark/>
          </w:tcPr>
          <w:p w14:paraId="3771A915"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E705F27"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6" w:type="dxa"/>
            <w:tcBorders>
              <w:top w:val="nil"/>
              <w:left w:val="nil"/>
              <w:bottom w:val="nil"/>
              <w:right w:val="nil"/>
            </w:tcBorders>
            <w:shd w:val="clear" w:color="auto" w:fill="auto"/>
            <w:noWrap/>
            <w:vAlign w:val="bottom"/>
            <w:hideMark/>
          </w:tcPr>
          <w:p w14:paraId="57FF0A72"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6E40A8DA" w14:textId="77777777" w:rsidR="00721C2E" w:rsidRPr="00721C2E" w:rsidRDefault="00721C2E" w:rsidP="00721C2E">
            <w:pPr>
              <w:spacing w:after="0" w:line="240" w:lineRule="auto"/>
              <w:jc w:val="right"/>
              <w:rPr>
                <w:rFonts w:ascii="Times New Roman" w:eastAsia="Times New Roman" w:hAnsi="Times New Roman"/>
                <w:sz w:val="20"/>
                <w:szCs w:val="20"/>
              </w:rPr>
            </w:pPr>
          </w:p>
        </w:tc>
      </w:tr>
      <w:tr w:rsidR="00721C2E" w:rsidRPr="00721C2E" w14:paraId="69230A98" w14:textId="77777777" w:rsidTr="00FD0008">
        <w:trPr>
          <w:trHeight w:val="855"/>
        </w:trPr>
        <w:tc>
          <w:tcPr>
            <w:tcW w:w="3196" w:type="dxa"/>
            <w:tcBorders>
              <w:top w:val="nil"/>
              <w:left w:val="nil"/>
              <w:bottom w:val="nil"/>
              <w:right w:val="nil"/>
            </w:tcBorders>
            <w:shd w:val="clear" w:color="auto" w:fill="auto"/>
            <w:vAlign w:val="bottom"/>
            <w:hideMark/>
          </w:tcPr>
          <w:p w14:paraId="66E6E18A"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Net unrealized gains (losses) on </w:t>
            </w:r>
            <w:r w:rsidRPr="00721C2E">
              <w:rPr>
                <w:rFonts w:ascii="Segoe UI" w:eastAsia="Times New Roman" w:hAnsi="Segoe UI" w:cs="Segoe UI"/>
                <w:color w:val="666666"/>
                <w:sz w:val="20"/>
                <w:szCs w:val="20"/>
              </w:rPr>
              <w:br/>
              <w:t xml:space="preserve">      derivatives (net of tax effects </w:t>
            </w:r>
            <w:r w:rsidRPr="00721C2E">
              <w:rPr>
                <w:rFonts w:ascii="Segoe UI" w:eastAsia="Times New Roman" w:hAnsi="Segoe UI" w:cs="Segoe UI"/>
                <w:color w:val="666666"/>
                <w:sz w:val="20"/>
                <w:szCs w:val="20"/>
              </w:rPr>
              <w:br/>
              <w:t xml:space="preserve">      of </w:t>
            </w:r>
            <w:r w:rsidRPr="00721C2E">
              <w:rPr>
                <w:rFonts w:ascii="Segoe UI" w:eastAsia="Times New Roman" w:hAnsi="Segoe UI" w:cs="Segoe UI"/>
                <w:b/>
                <w:bCs/>
                <w:color w:val="666666"/>
                <w:sz w:val="20"/>
                <w:szCs w:val="20"/>
              </w:rPr>
              <w:t>$21</w:t>
            </w:r>
            <w:r w:rsidRPr="00721C2E">
              <w:rPr>
                <w:rFonts w:ascii="Segoe UI" w:eastAsia="Times New Roman" w:hAnsi="Segoe UI" w:cs="Segoe UI"/>
                <w:color w:val="666666"/>
                <w:sz w:val="20"/>
                <w:szCs w:val="20"/>
              </w:rPr>
              <w:t xml:space="preserve">, $1, </w:t>
            </w:r>
            <w:r w:rsidRPr="00721C2E">
              <w:rPr>
                <w:rFonts w:ascii="Segoe UI" w:eastAsia="Times New Roman" w:hAnsi="Segoe UI" w:cs="Segoe UI"/>
                <w:b/>
                <w:bCs/>
                <w:color w:val="666666"/>
                <w:sz w:val="20"/>
                <w:szCs w:val="20"/>
              </w:rPr>
              <w:t>$31</w:t>
            </w:r>
            <w:r w:rsidRPr="00721C2E">
              <w:rPr>
                <w:rFonts w:ascii="Segoe UI" w:eastAsia="Times New Roman" w:hAnsi="Segoe UI" w:cs="Segoe UI"/>
                <w:color w:val="666666"/>
                <w:sz w:val="20"/>
                <w:szCs w:val="20"/>
              </w:rPr>
              <w:t>, and $(1))</w:t>
            </w:r>
          </w:p>
        </w:tc>
        <w:tc>
          <w:tcPr>
            <w:tcW w:w="1096" w:type="dxa"/>
            <w:tcBorders>
              <w:top w:val="nil"/>
              <w:left w:val="nil"/>
              <w:bottom w:val="nil"/>
              <w:right w:val="nil"/>
            </w:tcBorders>
            <w:shd w:val="clear" w:color="auto" w:fill="auto"/>
            <w:noWrap/>
            <w:vAlign w:val="bottom"/>
            <w:hideMark/>
          </w:tcPr>
          <w:p w14:paraId="4267699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401 </w:t>
            </w:r>
          </w:p>
        </w:tc>
        <w:tc>
          <w:tcPr>
            <w:tcW w:w="116" w:type="dxa"/>
            <w:tcBorders>
              <w:top w:val="nil"/>
              <w:left w:val="nil"/>
              <w:bottom w:val="nil"/>
              <w:right w:val="nil"/>
            </w:tcBorders>
            <w:shd w:val="clear" w:color="auto" w:fill="auto"/>
            <w:noWrap/>
            <w:vAlign w:val="bottom"/>
            <w:hideMark/>
          </w:tcPr>
          <w:p w14:paraId="144B76E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E1CCDE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(31)</w:t>
            </w:r>
          </w:p>
        </w:tc>
        <w:tc>
          <w:tcPr>
            <w:tcW w:w="172" w:type="dxa"/>
            <w:tcBorders>
              <w:top w:val="nil"/>
              <w:left w:val="nil"/>
              <w:bottom w:val="nil"/>
              <w:right w:val="nil"/>
            </w:tcBorders>
            <w:shd w:val="clear" w:color="auto" w:fill="auto"/>
            <w:noWrap/>
            <w:vAlign w:val="bottom"/>
            <w:hideMark/>
          </w:tcPr>
          <w:p w14:paraId="22144F9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03F306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967 </w:t>
            </w:r>
          </w:p>
        </w:tc>
        <w:tc>
          <w:tcPr>
            <w:tcW w:w="116" w:type="dxa"/>
            <w:tcBorders>
              <w:top w:val="nil"/>
              <w:left w:val="nil"/>
              <w:bottom w:val="nil"/>
              <w:right w:val="nil"/>
            </w:tcBorders>
            <w:shd w:val="clear" w:color="auto" w:fill="auto"/>
            <w:noWrap/>
            <w:vAlign w:val="bottom"/>
            <w:hideMark/>
          </w:tcPr>
          <w:p w14:paraId="133178C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BF3201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(14)</w:t>
            </w:r>
          </w:p>
        </w:tc>
      </w:tr>
      <w:tr w:rsidR="00721C2E" w:rsidRPr="00721C2E" w14:paraId="367AF658" w14:textId="77777777" w:rsidTr="00FD0008">
        <w:trPr>
          <w:trHeight w:val="1140"/>
        </w:trPr>
        <w:tc>
          <w:tcPr>
            <w:tcW w:w="3196" w:type="dxa"/>
            <w:tcBorders>
              <w:top w:val="nil"/>
              <w:left w:val="nil"/>
              <w:bottom w:val="nil"/>
              <w:right w:val="nil"/>
            </w:tcBorders>
            <w:shd w:val="clear" w:color="auto" w:fill="auto"/>
            <w:vAlign w:val="bottom"/>
            <w:hideMark/>
          </w:tcPr>
          <w:p w14:paraId="005A5F63"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Net unrealized gains (losses) on </w:t>
            </w:r>
            <w:r w:rsidRPr="00721C2E">
              <w:rPr>
                <w:rFonts w:ascii="Segoe UI" w:eastAsia="Times New Roman" w:hAnsi="Segoe UI" w:cs="Segoe UI"/>
                <w:color w:val="666666"/>
                <w:sz w:val="20"/>
                <w:szCs w:val="20"/>
              </w:rPr>
              <w:br/>
              <w:t xml:space="preserve">      investments (net of tax effects </w:t>
            </w:r>
            <w:r w:rsidRPr="00721C2E">
              <w:rPr>
                <w:rFonts w:ascii="Segoe UI" w:eastAsia="Times New Roman" w:hAnsi="Segoe UI" w:cs="Segoe UI"/>
                <w:color w:val="666666"/>
                <w:sz w:val="20"/>
                <w:szCs w:val="20"/>
              </w:rPr>
              <w:br/>
              <w:t xml:space="preserve">      of </w:t>
            </w:r>
            <w:r w:rsidRPr="00721C2E">
              <w:rPr>
                <w:rFonts w:ascii="Segoe UI" w:eastAsia="Times New Roman" w:hAnsi="Segoe UI" w:cs="Segoe UI"/>
                <w:b/>
                <w:bCs/>
                <w:color w:val="666666"/>
                <w:sz w:val="20"/>
                <w:szCs w:val="20"/>
              </w:rPr>
              <w:t>$68</w:t>
            </w:r>
            <w:r w:rsidRPr="00721C2E">
              <w:rPr>
                <w:rFonts w:ascii="Segoe UI" w:eastAsia="Times New Roman" w:hAnsi="Segoe UI" w:cs="Segoe UI"/>
                <w:color w:val="666666"/>
                <w:sz w:val="20"/>
                <w:szCs w:val="20"/>
              </w:rPr>
              <w:t xml:space="preserve">, $37, </w:t>
            </w:r>
            <w:r w:rsidRPr="00721C2E">
              <w:rPr>
                <w:rFonts w:ascii="Segoe UI" w:eastAsia="Times New Roman" w:hAnsi="Segoe UI" w:cs="Segoe UI"/>
                <w:b/>
                <w:bCs/>
                <w:color w:val="666666"/>
                <w:sz w:val="20"/>
                <w:szCs w:val="20"/>
              </w:rPr>
              <w:t>$(158)</w:t>
            </w:r>
            <w:r w:rsidRPr="00721C2E">
              <w:rPr>
                <w:rFonts w:ascii="Segoe UI" w:eastAsia="Times New Roman" w:hAnsi="Segoe UI" w:cs="Segoe UI"/>
                <w:color w:val="666666"/>
                <w:sz w:val="20"/>
                <w:szCs w:val="20"/>
              </w:rPr>
              <w:t xml:space="preserve">, and </w:t>
            </w:r>
            <w:r w:rsidRPr="00721C2E">
              <w:rPr>
                <w:rFonts w:ascii="Segoe UI" w:eastAsia="Times New Roman" w:hAnsi="Segoe UI" w:cs="Segoe UI"/>
                <w:color w:val="666666"/>
                <w:sz w:val="20"/>
                <w:szCs w:val="20"/>
              </w:rPr>
              <w:br/>
              <w:t xml:space="preserve">      $774)</w:t>
            </w:r>
          </w:p>
        </w:tc>
        <w:tc>
          <w:tcPr>
            <w:tcW w:w="1096" w:type="dxa"/>
            <w:tcBorders>
              <w:top w:val="nil"/>
              <w:left w:val="nil"/>
              <w:bottom w:val="nil"/>
              <w:right w:val="nil"/>
            </w:tcBorders>
            <w:shd w:val="clear" w:color="auto" w:fill="auto"/>
            <w:noWrap/>
            <w:vAlign w:val="bottom"/>
            <w:hideMark/>
          </w:tcPr>
          <w:p w14:paraId="2609F73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125 </w:t>
            </w:r>
          </w:p>
        </w:tc>
        <w:tc>
          <w:tcPr>
            <w:tcW w:w="116" w:type="dxa"/>
            <w:tcBorders>
              <w:top w:val="nil"/>
              <w:left w:val="nil"/>
              <w:bottom w:val="nil"/>
              <w:right w:val="nil"/>
            </w:tcBorders>
            <w:shd w:val="clear" w:color="auto" w:fill="auto"/>
            <w:noWrap/>
            <w:vAlign w:val="bottom"/>
            <w:hideMark/>
          </w:tcPr>
          <w:p w14:paraId="675EA15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45FBDE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68 </w:t>
            </w:r>
          </w:p>
        </w:tc>
        <w:tc>
          <w:tcPr>
            <w:tcW w:w="172" w:type="dxa"/>
            <w:tcBorders>
              <w:top w:val="nil"/>
              <w:left w:val="nil"/>
              <w:bottom w:val="nil"/>
              <w:right w:val="nil"/>
            </w:tcBorders>
            <w:shd w:val="clear" w:color="auto" w:fill="auto"/>
            <w:noWrap/>
            <w:vAlign w:val="bottom"/>
            <w:hideMark/>
          </w:tcPr>
          <w:p w14:paraId="5805FF98"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92B438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(295)</w:t>
            </w:r>
          </w:p>
        </w:tc>
        <w:tc>
          <w:tcPr>
            <w:tcW w:w="116" w:type="dxa"/>
            <w:tcBorders>
              <w:top w:val="nil"/>
              <w:left w:val="nil"/>
              <w:bottom w:val="nil"/>
              <w:right w:val="nil"/>
            </w:tcBorders>
            <w:shd w:val="clear" w:color="auto" w:fill="auto"/>
            <w:noWrap/>
            <w:vAlign w:val="bottom"/>
            <w:hideMark/>
          </w:tcPr>
          <w:p w14:paraId="0BCAA60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8502A7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1,502 </w:t>
            </w:r>
          </w:p>
        </w:tc>
      </w:tr>
      <w:tr w:rsidR="00721C2E" w:rsidRPr="00721C2E" w14:paraId="563E8799" w14:textId="77777777" w:rsidTr="00FD0008">
        <w:trPr>
          <w:trHeight w:val="855"/>
        </w:trPr>
        <w:tc>
          <w:tcPr>
            <w:tcW w:w="3196" w:type="dxa"/>
            <w:tcBorders>
              <w:top w:val="nil"/>
              <w:left w:val="nil"/>
              <w:bottom w:val="single" w:sz="4" w:space="0" w:color="auto"/>
              <w:right w:val="nil"/>
            </w:tcBorders>
            <w:shd w:val="clear" w:color="auto" w:fill="auto"/>
            <w:vAlign w:val="bottom"/>
            <w:hideMark/>
          </w:tcPr>
          <w:p w14:paraId="26496E6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Translation adjustments and </w:t>
            </w:r>
            <w:r w:rsidRPr="00721C2E">
              <w:rPr>
                <w:rFonts w:ascii="Segoe UI" w:eastAsia="Times New Roman" w:hAnsi="Segoe UI" w:cs="Segoe UI"/>
                <w:color w:val="666666"/>
                <w:sz w:val="20"/>
                <w:szCs w:val="20"/>
              </w:rPr>
              <w:br/>
              <w:t xml:space="preserve">      other (net of tax effects of </w:t>
            </w:r>
            <w:r w:rsidRPr="00721C2E">
              <w:rPr>
                <w:rFonts w:ascii="Segoe UI" w:eastAsia="Times New Roman" w:hAnsi="Segoe UI" w:cs="Segoe UI"/>
                <w:color w:val="666666"/>
                <w:sz w:val="20"/>
                <w:szCs w:val="20"/>
              </w:rPr>
              <w:br/>
              <w:t xml:space="preserve">      </w:t>
            </w:r>
            <w:r w:rsidRPr="00721C2E">
              <w:rPr>
                <w:rFonts w:ascii="Segoe UI" w:eastAsia="Times New Roman" w:hAnsi="Segoe UI" w:cs="Segoe UI"/>
                <w:b/>
                <w:bCs/>
                <w:color w:val="666666"/>
                <w:sz w:val="20"/>
                <w:szCs w:val="20"/>
              </w:rPr>
              <w:t>$(174)</w:t>
            </w:r>
            <w:r w:rsidRPr="00721C2E">
              <w:rPr>
                <w:rFonts w:ascii="Segoe UI" w:eastAsia="Times New Roman" w:hAnsi="Segoe UI" w:cs="Segoe UI"/>
                <w:color w:val="666666"/>
                <w:sz w:val="20"/>
                <w:szCs w:val="20"/>
              </w:rPr>
              <w:t xml:space="preserve">, $9, </w:t>
            </w:r>
            <w:r w:rsidRPr="00721C2E">
              <w:rPr>
                <w:rFonts w:ascii="Segoe UI" w:eastAsia="Times New Roman" w:hAnsi="Segoe UI" w:cs="Segoe UI"/>
                <w:b/>
                <w:bCs/>
                <w:color w:val="666666"/>
                <w:sz w:val="20"/>
                <w:szCs w:val="20"/>
              </w:rPr>
              <w:t>$(432)</w:t>
            </w:r>
            <w:r w:rsidRPr="00721C2E">
              <w:rPr>
                <w:rFonts w:ascii="Segoe UI" w:eastAsia="Times New Roman" w:hAnsi="Segoe UI" w:cs="Segoe UI"/>
                <w:color w:val="666666"/>
                <w:sz w:val="20"/>
                <w:szCs w:val="20"/>
              </w:rPr>
              <w:t>, and $53)</w:t>
            </w:r>
          </w:p>
        </w:tc>
        <w:tc>
          <w:tcPr>
            <w:tcW w:w="1096" w:type="dxa"/>
            <w:tcBorders>
              <w:top w:val="nil"/>
              <w:left w:val="nil"/>
              <w:bottom w:val="single" w:sz="4" w:space="0" w:color="auto"/>
              <w:right w:val="nil"/>
            </w:tcBorders>
            <w:shd w:val="clear" w:color="auto" w:fill="auto"/>
            <w:noWrap/>
            <w:vAlign w:val="bottom"/>
            <w:hideMark/>
          </w:tcPr>
          <w:p w14:paraId="6A1D367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(438)</w:t>
            </w:r>
          </w:p>
        </w:tc>
        <w:tc>
          <w:tcPr>
            <w:tcW w:w="116" w:type="dxa"/>
            <w:tcBorders>
              <w:top w:val="nil"/>
              <w:left w:val="nil"/>
              <w:bottom w:val="nil"/>
              <w:right w:val="nil"/>
            </w:tcBorders>
            <w:shd w:val="clear" w:color="auto" w:fill="auto"/>
            <w:noWrap/>
            <w:vAlign w:val="bottom"/>
            <w:hideMark/>
          </w:tcPr>
          <w:p w14:paraId="7DC047C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48E8C7C"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18 </w:t>
            </w:r>
          </w:p>
        </w:tc>
        <w:tc>
          <w:tcPr>
            <w:tcW w:w="172" w:type="dxa"/>
            <w:tcBorders>
              <w:top w:val="nil"/>
              <w:left w:val="nil"/>
              <w:bottom w:val="nil"/>
              <w:right w:val="nil"/>
            </w:tcBorders>
            <w:shd w:val="clear" w:color="auto" w:fill="auto"/>
            <w:noWrap/>
            <w:vAlign w:val="bottom"/>
            <w:hideMark/>
          </w:tcPr>
          <w:p w14:paraId="7BB0602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38661369"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(909)</w:t>
            </w:r>
          </w:p>
        </w:tc>
        <w:tc>
          <w:tcPr>
            <w:tcW w:w="116" w:type="dxa"/>
            <w:tcBorders>
              <w:top w:val="nil"/>
              <w:left w:val="nil"/>
              <w:bottom w:val="nil"/>
              <w:right w:val="nil"/>
            </w:tcBorders>
            <w:shd w:val="clear" w:color="auto" w:fill="auto"/>
            <w:noWrap/>
            <w:vAlign w:val="bottom"/>
            <w:hideMark/>
          </w:tcPr>
          <w:p w14:paraId="3F03693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00E7C35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101 </w:t>
            </w:r>
          </w:p>
        </w:tc>
      </w:tr>
      <w:tr w:rsidR="00721C2E" w:rsidRPr="00721C2E" w14:paraId="0FFDCD8C" w14:textId="77777777" w:rsidTr="00FD0008">
        <w:trPr>
          <w:trHeight w:val="570"/>
        </w:trPr>
        <w:tc>
          <w:tcPr>
            <w:tcW w:w="3196" w:type="dxa"/>
            <w:tcBorders>
              <w:top w:val="nil"/>
              <w:left w:val="nil"/>
              <w:bottom w:val="single" w:sz="4" w:space="0" w:color="auto"/>
              <w:right w:val="nil"/>
            </w:tcBorders>
            <w:shd w:val="clear" w:color="auto" w:fill="auto"/>
            <w:vAlign w:val="bottom"/>
            <w:hideMark/>
          </w:tcPr>
          <w:p w14:paraId="37E4D6FE"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Other comprehensive income </w:t>
            </w:r>
            <w:r w:rsidRPr="00721C2E">
              <w:rPr>
                <w:rFonts w:ascii="Segoe UI" w:eastAsia="Times New Roman" w:hAnsi="Segoe UI" w:cs="Segoe UI"/>
                <w:color w:val="666666"/>
                <w:sz w:val="20"/>
                <w:szCs w:val="20"/>
              </w:rPr>
              <w:br/>
              <w:t xml:space="preserve">        (loss)</w:t>
            </w:r>
          </w:p>
        </w:tc>
        <w:tc>
          <w:tcPr>
            <w:tcW w:w="1096" w:type="dxa"/>
            <w:tcBorders>
              <w:top w:val="nil"/>
              <w:left w:val="nil"/>
              <w:bottom w:val="single" w:sz="4" w:space="0" w:color="auto"/>
              <w:right w:val="nil"/>
            </w:tcBorders>
            <w:shd w:val="clear" w:color="auto" w:fill="auto"/>
            <w:noWrap/>
            <w:vAlign w:val="bottom"/>
            <w:hideMark/>
          </w:tcPr>
          <w:p w14:paraId="6118AE7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88 </w:t>
            </w:r>
          </w:p>
        </w:tc>
        <w:tc>
          <w:tcPr>
            <w:tcW w:w="116" w:type="dxa"/>
            <w:tcBorders>
              <w:top w:val="nil"/>
              <w:left w:val="nil"/>
              <w:bottom w:val="nil"/>
              <w:right w:val="nil"/>
            </w:tcBorders>
            <w:shd w:val="clear" w:color="auto" w:fill="auto"/>
            <w:noWrap/>
            <w:vAlign w:val="bottom"/>
            <w:hideMark/>
          </w:tcPr>
          <w:p w14:paraId="0AEA873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62521D5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55 </w:t>
            </w:r>
          </w:p>
        </w:tc>
        <w:tc>
          <w:tcPr>
            <w:tcW w:w="172" w:type="dxa"/>
            <w:tcBorders>
              <w:top w:val="nil"/>
              <w:left w:val="nil"/>
              <w:bottom w:val="nil"/>
              <w:right w:val="nil"/>
            </w:tcBorders>
            <w:shd w:val="clear" w:color="auto" w:fill="auto"/>
            <w:noWrap/>
            <w:vAlign w:val="bottom"/>
            <w:hideMark/>
          </w:tcPr>
          <w:p w14:paraId="033CCD68"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4EA0BBB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(237)</w:t>
            </w:r>
          </w:p>
        </w:tc>
        <w:tc>
          <w:tcPr>
            <w:tcW w:w="116" w:type="dxa"/>
            <w:tcBorders>
              <w:top w:val="nil"/>
              <w:left w:val="nil"/>
              <w:bottom w:val="nil"/>
              <w:right w:val="nil"/>
            </w:tcBorders>
            <w:shd w:val="clear" w:color="auto" w:fill="auto"/>
            <w:noWrap/>
            <w:vAlign w:val="bottom"/>
            <w:hideMark/>
          </w:tcPr>
          <w:p w14:paraId="074F1AE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00C7E73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1,589 </w:t>
            </w:r>
          </w:p>
        </w:tc>
      </w:tr>
      <w:tr w:rsidR="00721C2E" w:rsidRPr="00721C2E" w14:paraId="1BFCD05A" w14:textId="77777777" w:rsidTr="00FD0008">
        <w:trPr>
          <w:trHeight w:val="300"/>
        </w:trPr>
        <w:tc>
          <w:tcPr>
            <w:tcW w:w="3196" w:type="dxa"/>
            <w:tcBorders>
              <w:top w:val="nil"/>
              <w:left w:val="nil"/>
              <w:bottom w:val="nil"/>
              <w:right w:val="nil"/>
            </w:tcBorders>
            <w:shd w:val="clear" w:color="auto" w:fill="auto"/>
            <w:noWrap/>
            <w:vAlign w:val="bottom"/>
            <w:hideMark/>
          </w:tcPr>
          <w:p w14:paraId="16C33FEA"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Comprehensive income</w:t>
            </w:r>
          </w:p>
        </w:tc>
        <w:tc>
          <w:tcPr>
            <w:tcW w:w="1096" w:type="dxa"/>
            <w:tcBorders>
              <w:top w:val="nil"/>
              <w:left w:val="nil"/>
              <w:bottom w:val="single" w:sz="8" w:space="0" w:color="auto"/>
              <w:right w:val="nil"/>
            </w:tcBorders>
            <w:shd w:val="clear" w:color="auto" w:fill="auto"/>
            <w:noWrap/>
            <w:vAlign w:val="bottom"/>
            <w:hideMark/>
          </w:tcPr>
          <w:p w14:paraId="5B77C0F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5,073 </w:t>
            </w:r>
          </w:p>
        </w:tc>
        <w:tc>
          <w:tcPr>
            <w:tcW w:w="116" w:type="dxa"/>
            <w:tcBorders>
              <w:top w:val="nil"/>
              <w:left w:val="nil"/>
              <w:bottom w:val="nil"/>
              <w:right w:val="nil"/>
            </w:tcBorders>
            <w:shd w:val="clear" w:color="auto" w:fill="auto"/>
            <w:noWrap/>
            <w:vAlign w:val="bottom"/>
            <w:hideMark/>
          </w:tcPr>
          <w:p w14:paraId="1C33D5B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0B99710C"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5,715 </w:t>
            </w:r>
          </w:p>
        </w:tc>
        <w:tc>
          <w:tcPr>
            <w:tcW w:w="172" w:type="dxa"/>
            <w:tcBorders>
              <w:top w:val="nil"/>
              <w:left w:val="nil"/>
              <w:bottom w:val="nil"/>
              <w:right w:val="nil"/>
            </w:tcBorders>
            <w:shd w:val="clear" w:color="auto" w:fill="auto"/>
            <w:noWrap/>
            <w:vAlign w:val="bottom"/>
            <w:hideMark/>
          </w:tcPr>
          <w:p w14:paraId="18927E01"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8" w:space="0" w:color="auto"/>
              <w:right w:val="nil"/>
            </w:tcBorders>
            <w:shd w:val="clear" w:color="auto" w:fill="auto"/>
            <w:noWrap/>
            <w:vAlign w:val="bottom"/>
            <w:hideMark/>
          </w:tcPr>
          <w:p w14:paraId="46F8990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15,151 </w:t>
            </w:r>
          </w:p>
        </w:tc>
        <w:tc>
          <w:tcPr>
            <w:tcW w:w="116" w:type="dxa"/>
            <w:tcBorders>
              <w:top w:val="nil"/>
              <w:left w:val="nil"/>
              <w:bottom w:val="nil"/>
              <w:right w:val="nil"/>
            </w:tcBorders>
            <w:shd w:val="clear" w:color="auto" w:fill="auto"/>
            <w:noWrap/>
            <w:vAlign w:val="bottom"/>
            <w:hideMark/>
          </w:tcPr>
          <w:p w14:paraId="4A13388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5E6D23A1"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$19,051 </w:t>
            </w:r>
          </w:p>
        </w:tc>
      </w:tr>
    </w:tbl>
    <w:p w14:paraId="47900BF1" w14:textId="66A0D587" w:rsidR="00EA2CC9" w:rsidRDefault="00EA2CC9" w:rsidP="00721C2E"/>
    <w:p w14:paraId="432C8624" w14:textId="77777777" w:rsidR="00EA2CC9" w:rsidRDefault="00EA2CC9">
      <w:pPr>
        <w:spacing w:after="160" w:line="259" w:lineRule="auto"/>
      </w:pPr>
      <w:r>
        <w:br w:type="page"/>
      </w:r>
    </w:p>
    <w:tbl>
      <w:tblPr>
        <w:tblW w:w="7888" w:type="dxa"/>
        <w:tblCellMar>
          <w:left w:w="0" w:type="dxa"/>
          <w:right w:w="0" w:type="dxa"/>
        </w:tblCellMar>
        <w:tblLook w:val="04A0" w:firstRow="1" w:lastRow="0" w:firstColumn="1" w:lastColumn="0" w:noHBand="0" w:noVBand="1"/>
      </w:tblPr>
      <w:tblGrid>
        <w:gridCol w:w="3228"/>
        <w:gridCol w:w="1128"/>
        <w:gridCol w:w="148"/>
        <w:gridCol w:w="600"/>
        <w:gridCol w:w="368"/>
        <w:gridCol w:w="148"/>
        <w:gridCol w:w="984"/>
        <w:gridCol w:w="228"/>
        <w:gridCol w:w="16"/>
        <w:gridCol w:w="148"/>
        <w:gridCol w:w="968"/>
        <w:gridCol w:w="36"/>
      </w:tblGrid>
      <w:tr w:rsidR="00721C2E" w:rsidRPr="00721C2E" w14:paraId="2CCF49F9"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4EF7380D"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lastRenderedPageBreak/>
              <w:t>MICROSOFT CORPORATION</w:t>
            </w:r>
          </w:p>
        </w:tc>
        <w:tc>
          <w:tcPr>
            <w:tcW w:w="1472" w:type="dxa"/>
            <w:gridSpan w:val="3"/>
            <w:tcBorders>
              <w:top w:val="nil"/>
              <w:left w:val="nil"/>
              <w:bottom w:val="nil"/>
              <w:right w:val="nil"/>
            </w:tcBorders>
            <w:shd w:val="clear" w:color="auto" w:fill="auto"/>
            <w:noWrap/>
            <w:vAlign w:val="bottom"/>
            <w:hideMark/>
          </w:tcPr>
          <w:p w14:paraId="7D2E2169"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6DC4BF6A"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2FF03288"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0621D277"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2755A2A3"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472" w:type="dxa"/>
            <w:gridSpan w:val="3"/>
            <w:tcBorders>
              <w:top w:val="nil"/>
              <w:left w:val="nil"/>
              <w:bottom w:val="nil"/>
              <w:right w:val="nil"/>
            </w:tcBorders>
            <w:shd w:val="clear" w:color="auto" w:fill="auto"/>
            <w:noWrap/>
            <w:vAlign w:val="bottom"/>
            <w:hideMark/>
          </w:tcPr>
          <w:p w14:paraId="1B4CFE24" w14:textId="77777777" w:rsidR="00721C2E" w:rsidRPr="00721C2E" w:rsidRDefault="00721C2E" w:rsidP="00721C2E">
            <w:pPr>
              <w:spacing w:after="0" w:line="240" w:lineRule="auto"/>
              <w:rPr>
                <w:rFonts w:ascii="Times New Roman" w:eastAsia="Times New Roman" w:hAnsi="Times New Roman"/>
                <w:sz w:val="20"/>
                <w:szCs w:val="20"/>
              </w:rPr>
            </w:pPr>
          </w:p>
        </w:tc>
        <w:tc>
          <w:tcPr>
            <w:tcW w:w="212" w:type="dxa"/>
            <w:tcBorders>
              <w:top w:val="nil"/>
              <w:left w:val="nil"/>
              <w:bottom w:val="nil"/>
              <w:right w:val="nil"/>
            </w:tcBorders>
            <w:shd w:val="clear" w:color="auto" w:fill="auto"/>
            <w:noWrap/>
            <w:vAlign w:val="bottom"/>
            <w:hideMark/>
          </w:tcPr>
          <w:p w14:paraId="73BE6405"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6A1015D1"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71AE7674" w14:textId="77777777" w:rsidTr="00C05E95">
        <w:trPr>
          <w:trHeight w:val="285"/>
        </w:trPr>
        <w:tc>
          <w:tcPr>
            <w:tcW w:w="7888" w:type="dxa"/>
            <w:gridSpan w:val="12"/>
            <w:tcBorders>
              <w:top w:val="nil"/>
              <w:left w:val="nil"/>
              <w:bottom w:val="nil"/>
              <w:right w:val="nil"/>
            </w:tcBorders>
            <w:shd w:val="clear" w:color="auto" w:fill="auto"/>
            <w:noWrap/>
            <w:vAlign w:val="bottom"/>
            <w:hideMark/>
          </w:tcPr>
          <w:p w14:paraId="5A93C30B"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BALANCE SHEETS</w:t>
            </w:r>
          </w:p>
        </w:tc>
      </w:tr>
      <w:tr w:rsidR="00721C2E" w:rsidRPr="00721C2E" w14:paraId="0D8F46C3" w14:textId="77777777" w:rsidTr="00C05E95">
        <w:trPr>
          <w:trHeight w:val="285"/>
        </w:trPr>
        <w:tc>
          <w:tcPr>
            <w:tcW w:w="7888" w:type="dxa"/>
            <w:gridSpan w:val="12"/>
            <w:tcBorders>
              <w:top w:val="nil"/>
              <w:left w:val="nil"/>
              <w:bottom w:val="nil"/>
              <w:right w:val="nil"/>
            </w:tcBorders>
            <w:shd w:val="clear" w:color="auto" w:fill="auto"/>
            <w:noWrap/>
            <w:vAlign w:val="bottom"/>
            <w:hideMark/>
          </w:tcPr>
          <w:p w14:paraId="4D032AD7"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 millions)(Unaudited)</w:t>
            </w:r>
          </w:p>
        </w:tc>
      </w:tr>
      <w:tr w:rsidR="00721C2E" w:rsidRPr="00721C2E" w14:paraId="66E06482"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4C9A5359" w14:textId="77777777" w:rsidR="00721C2E" w:rsidRPr="00721C2E" w:rsidRDefault="00721C2E" w:rsidP="00721C2E">
            <w:pPr>
              <w:spacing w:after="0" w:line="240" w:lineRule="auto"/>
              <w:jc w:val="center"/>
              <w:rPr>
                <w:rFonts w:ascii="Segoe UI" w:eastAsia="Times New Roman" w:hAnsi="Segoe UI" w:cs="Segoe UI"/>
                <w:color w:val="666666"/>
                <w:sz w:val="20"/>
                <w:szCs w:val="20"/>
              </w:rPr>
            </w:pPr>
          </w:p>
        </w:tc>
        <w:tc>
          <w:tcPr>
            <w:tcW w:w="1472" w:type="dxa"/>
            <w:gridSpan w:val="3"/>
            <w:tcBorders>
              <w:top w:val="nil"/>
              <w:left w:val="nil"/>
              <w:bottom w:val="nil"/>
              <w:right w:val="nil"/>
            </w:tcBorders>
            <w:shd w:val="clear" w:color="auto" w:fill="auto"/>
            <w:noWrap/>
            <w:vAlign w:val="bottom"/>
            <w:hideMark/>
          </w:tcPr>
          <w:p w14:paraId="577C5320"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212" w:type="dxa"/>
            <w:tcBorders>
              <w:top w:val="nil"/>
              <w:left w:val="nil"/>
              <w:bottom w:val="nil"/>
              <w:right w:val="nil"/>
            </w:tcBorders>
            <w:shd w:val="clear" w:color="auto" w:fill="auto"/>
            <w:noWrap/>
            <w:vAlign w:val="bottom"/>
            <w:hideMark/>
          </w:tcPr>
          <w:p w14:paraId="578DCBA4" w14:textId="77777777" w:rsidR="00721C2E" w:rsidRPr="00721C2E" w:rsidRDefault="00721C2E" w:rsidP="00721C2E">
            <w:pPr>
              <w:spacing w:after="0" w:line="240" w:lineRule="auto"/>
              <w:jc w:val="center"/>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75CA2452" w14:textId="77777777" w:rsidR="00721C2E" w:rsidRPr="00721C2E" w:rsidRDefault="00721C2E" w:rsidP="00721C2E">
            <w:pPr>
              <w:spacing w:after="0" w:line="240" w:lineRule="auto"/>
              <w:jc w:val="center"/>
              <w:rPr>
                <w:rFonts w:ascii="Times New Roman" w:eastAsia="Times New Roman" w:hAnsi="Times New Roman"/>
                <w:sz w:val="20"/>
                <w:szCs w:val="20"/>
              </w:rPr>
            </w:pPr>
          </w:p>
        </w:tc>
      </w:tr>
      <w:tr w:rsidR="00721C2E" w:rsidRPr="00721C2E" w14:paraId="68BFECC0" w14:textId="77777777" w:rsidTr="00C05E95">
        <w:trPr>
          <w:trHeight w:val="570"/>
        </w:trPr>
        <w:tc>
          <w:tcPr>
            <w:tcW w:w="5052" w:type="dxa"/>
            <w:gridSpan w:val="4"/>
            <w:tcBorders>
              <w:top w:val="nil"/>
              <w:left w:val="nil"/>
              <w:bottom w:val="single" w:sz="4" w:space="0" w:color="auto"/>
              <w:right w:val="nil"/>
            </w:tcBorders>
            <w:shd w:val="clear" w:color="auto" w:fill="auto"/>
            <w:noWrap/>
            <w:vAlign w:val="bottom"/>
            <w:hideMark/>
          </w:tcPr>
          <w:p w14:paraId="497CBFD8"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1472" w:type="dxa"/>
            <w:gridSpan w:val="3"/>
            <w:tcBorders>
              <w:top w:val="nil"/>
              <w:left w:val="nil"/>
              <w:bottom w:val="single" w:sz="4" w:space="0" w:color="auto"/>
              <w:right w:val="nil"/>
            </w:tcBorders>
            <w:shd w:val="clear" w:color="auto" w:fill="auto"/>
            <w:vAlign w:val="bottom"/>
            <w:hideMark/>
          </w:tcPr>
          <w:p w14:paraId="51D89B8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March 31,</w:t>
            </w:r>
            <w:r w:rsidRPr="00721C2E">
              <w:rPr>
                <w:rFonts w:ascii="Segoe UI" w:eastAsia="Times New Roman" w:hAnsi="Segoe UI" w:cs="Segoe UI"/>
                <w:b/>
                <w:bCs/>
                <w:color w:val="666666"/>
                <w:sz w:val="20"/>
                <w:szCs w:val="20"/>
              </w:rPr>
              <w:br/>
              <w:t>2015</w:t>
            </w:r>
          </w:p>
        </w:tc>
        <w:tc>
          <w:tcPr>
            <w:tcW w:w="212" w:type="dxa"/>
            <w:tcBorders>
              <w:top w:val="nil"/>
              <w:left w:val="nil"/>
              <w:bottom w:val="single" w:sz="4" w:space="0" w:color="auto"/>
              <w:right w:val="nil"/>
            </w:tcBorders>
            <w:shd w:val="clear" w:color="auto" w:fill="auto"/>
            <w:vAlign w:val="bottom"/>
            <w:hideMark/>
          </w:tcPr>
          <w:p w14:paraId="7DD396F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w:t>
            </w:r>
          </w:p>
        </w:tc>
        <w:tc>
          <w:tcPr>
            <w:tcW w:w="1152" w:type="dxa"/>
            <w:gridSpan w:val="4"/>
            <w:tcBorders>
              <w:top w:val="nil"/>
              <w:left w:val="nil"/>
              <w:bottom w:val="single" w:sz="4" w:space="0" w:color="auto"/>
              <w:right w:val="nil"/>
            </w:tcBorders>
            <w:shd w:val="clear" w:color="auto" w:fill="auto"/>
            <w:vAlign w:val="bottom"/>
            <w:hideMark/>
          </w:tcPr>
          <w:p w14:paraId="39540E9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June 30, 2014</w:t>
            </w:r>
          </w:p>
        </w:tc>
      </w:tr>
      <w:tr w:rsidR="00721C2E" w:rsidRPr="00721C2E" w14:paraId="02DCCA81"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25EA694E"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Assets</w:t>
            </w:r>
          </w:p>
        </w:tc>
        <w:tc>
          <w:tcPr>
            <w:tcW w:w="1472" w:type="dxa"/>
            <w:gridSpan w:val="3"/>
            <w:tcBorders>
              <w:top w:val="nil"/>
              <w:left w:val="nil"/>
              <w:bottom w:val="nil"/>
              <w:right w:val="nil"/>
            </w:tcBorders>
            <w:shd w:val="clear" w:color="auto" w:fill="auto"/>
            <w:vAlign w:val="bottom"/>
            <w:hideMark/>
          </w:tcPr>
          <w:p w14:paraId="2CD689DD"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3D73A36D"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185152A9"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668246E1" w14:textId="77777777" w:rsidTr="00C05E95">
        <w:trPr>
          <w:trHeight w:val="450"/>
        </w:trPr>
        <w:tc>
          <w:tcPr>
            <w:tcW w:w="5052" w:type="dxa"/>
            <w:gridSpan w:val="4"/>
            <w:tcBorders>
              <w:top w:val="nil"/>
              <w:left w:val="nil"/>
              <w:bottom w:val="nil"/>
              <w:right w:val="nil"/>
            </w:tcBorders>
            <w:shd w:val="clear" w:color="auto" w:fill="auto"/>
            <w:noWrap/>
            <w:vAlign w:val="bottom"/>
            <w:hideMark/>
          </w:tcPr>
          <w:p w14:paraId="6B5177A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Current assets:</w:t>
            </w:r>
          </w:p>
        </w:tc>
        <w:tc>
          <w:tcPr>
            <w:tcW w:w="1472" w:type="dxa"/>
            <w:gridSpan w:val="3"/>
            <w:tcBorders>
              <w:top w:val="nil"/>
              <w:left w:val="nil"/>
              <w:bottom w:val="nil"/>
              <w:right w:val="nil"/>
            </w:tcBorders>
            <w:shd w:val="clear" w:color="auto" w:fill="auto"/>
            <w:noWrap/>
            <w:vAlign w:val="bottom"/>
            <w:hideMark/>
          </w:tcPr>
          <w:p w14:paraId="2F690643"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6B21FDCC"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12126390"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6C7CA7E8"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2EE60F1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Cash and cash equivalents</w:t>
            </w:r>
          </w:p>
        </w:tc>
        <w:tc>
          <w:tcPr>
            <w:tcW w:w="1472" w:type="dxa"/>
            <w:gridSpan w:val="3"/>
            <w:tcBorders>
              <w:top w:val="nil"/>
              <w:left w:val="nil"/>
              <w:bottom w:val="nil"/>
              <w:right w:val="nil"/>
            </w:tcBorders>
            <w:shd w:val="clear" w:color="auto" w:fill="auto"/>
            <w:noWrap/>
            <w:vAlign w:val="bottom"/>
            <w:hideMark/>
          </w:tcPr>
          <w:p w14:paraId="4ADDA7A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7,414 </w:t>
            </w:r>
          </w:p>
        </w:tc>
        <w:tc>
          <w:tcPr>
            <w:tcW w:w="212" w:type="dxa"/>
            <w:tcBorders>
              <w:top w:val="nil"/>
              <w:left w:val="nil"/>
              <w:bottom w:val="nil"/>
              <w:right w:val="nil"/>
            </w:tcBorders>
            <w:shd w:val="clear" w:color="auto" w:fill="auto"/>
            <w:noWrap/>
            <w:vAlign w:val="bottom"/>
            <w:hideMark/>
          </w:tcPr>
          <w:p w14:paraId="34761B7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3207B37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8,669 </w:t>
            </w:r>
          </w:p>
        </w:tc>
      </w:tr>
      <w:tr w:rsidR="00721C2E" w:rsidRPr="00721C2E" w14:paraId="448EA68E" w14:textId="77777777" w:rsidTr="00C05E95">
        <w:trPr>
          <w:trHeight w:val="570"/>
        </w:trPr>
        <w:tc>
          <w:tcPr>
            <w:tcW w:w="5052" w:type="dxa"/>
            <w:gridSpan w:val="4"/>
            <w:tcBorders>
              <w:top w:val="nil"/>
              <w:left w:val="nil"/>
              <w:bottom w:val="single" w:sz="4" w:space="0" w:color="auto"/>
              <w:right w:val="nil"/>
            </w:tcBorders>
            <w:shd w:val="clear" w:color="auto" w:fill="auto"/>
            <w:vAlign w:val="bottom"/>
            <w:hideMark/>
          </w:tcPr>
          <w:p w14:paraId="05425AA8"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Short-term investments (including securities</w:t>
            </w:r>
            <w:r w:rsidRPr="00721C2E">
              <w:rPr>
                <w:rFonts w:ascii="Segoe UI" w:eastAsia="Times New Roman" w:hAnsi="Segoe UI" w:cs="Segoe UI"/>
                <w:color w:val="666666"/>
                <w:sz w:val="20"/>
                <w:szCs w:val="20"/>
              </w:rPr>
              <w:br/>
              <w:t xml:space="preserve">    loaned of </w:t>
            </w:r>
            <w:r w:rsidRPr="00721C2E">
              <w:rPr>
                <w:rFonts w:ascii="Segoe UI" w:eastAsia="Times New Roman" w:hAnsi="Segoe UI" w:cs="Segoe UI"/>
                <w:b/>
                <w:bCs/>
                <w:color w:val="666666"/>
                <w:sz w:val="20"/>
                <w:szCs w:val="20"/>
              </w:rPr>
              <w:t>$76</w:t>
            </w:r>
            <w:r w:rsidRPr="00721C2E">
              <w:rPr>
                <w:rFonts w:ascii="Segoe UI" w:eastAsia="Times New Roman" w:hAnsi="Segoe UI" w:cs="Segoe UI"/>
                <w:color w:val="666666"/>
                <w:sz w:val="20"/>
                <w:szCs w:val="20"/>
              </w:rPr>
              <w:t xml:space="preserve"> and $541)</w:t>
            </w:r>
          </w:p>
        </w:tc>
        <w:tc>
          <w:tcPr>
            <w:tcW w:w="1472" w:type="dxa"/>
            <w:gridSpan w:val="3"/>
            <w:tcBorders>
              <w:top w:val="nil"/>
              <w:left w:val="nil"/>
              <w:bottom w:val="single" w:sz="4" w:space="0" w:color="auto"/>
              <w:right w:val="nil"/>
            </w:tcBorders>
            <w:shd w:val="clear" w:color="auto" w:fill="auto"/>
            <w:noWrap/>
            <w:vAlign w:val="bottom"/>
            <w:hideMark/>
          </w:tcPr>
          <w:p w14:paraId="5D9C9DB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88,024 </w:t>
            </w:r>
          </w:p>
        </w:tc>
        <w:tc>
          <w:tcPr>
            <w:tcW w:w="212" w:type="dxa"/>
            <w:tcBorders>
              <w:top w:val="nil"/>
              <w:left w:val="nil"/>
              <w:bottom w:val="nil"/>
              <w:right w:val="nil"/>
            </w:tcBorders>
            <w:shd w:val="clear" w:color="auto" w:fill="auto"/>
            <w:noWrap/>
            <w:vAlign w:val="bottom"/>
            <w:hideMark/>
          </w:tcPr>
          <w:p w14:paraId="5C5C838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4" w:space="0" w:color="auto"/>
              <w:right w:val="nil"/>
            </w:tcBorders>
            <w:shd w:val="clear" w:color="auto" w:fill="auto"/>
            <w:noWrap/>
            <w:vAlign w:val="bottom"/>
            <w:hideMark/>
          </w:tcPr>
          <w:p w14:paraId="642D9A8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77,040 </w:t>
            </w:r>
          </w:p>
        </w:tc>
      </w:tr>
      <w:tr w:rsidR="00721C2E" w:rsidRPr="00721C2E" w14:paraId="5CC13DDB" w14:textId="77777777" w:rsidTr="00C05E95">
        <w:trPr>
          <w:trHeight w:val="570"/>
        </w:trPr>
        <w:tc>
          <w:tcPr>
            <w:tcW w:w="5052" w:type="dxa"/>
            <w:gridSpan w:val="4"/>
            <w:tcBorders>
              <w:top w:val="nil"/>
              <w:left w:val="nil"/>
              <w:bottom w:val="nil"/>
              <w:right w:val="nil"/>
            </w:tcBorders>
            <w:shd w:val="clear" w:color="auto" w:fill="auto"/>
            <w:vAlign w:val="bottom"/>
            <w:hideMark/>
          </w:tcPr>
          <w:p w14:paraId="2F986A2E"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cash, cash equivalents, and short-term </w:t>
            </w:r>
            <w:r w:rsidRPr="00721C2E">
              <w:rPr>
                <w:rFonts w:ascii="Segoe UI" w:eastAsia="Times New Roman" w:hAnsi="Segoe UI" w:cs="Segoe UI"/>
                <w:color w:val="666666"/>
                <w:sz w:val="20"/>
                <w:szCs w:val="20"/>
              </w:rPr>
              <w:br/>
              <w:t xml:space="preserve">      investments</w:t>
            </w:r>
          </w:p>
        </w:tc>
        <w:tc>
          <w:tcPr>
            <w:tcW w:w="1472" w:type="dxa"/>
            <w:gridSpan w:val="3"/>
            <w:tcBorders>
              <w:top w:val="nil"/>
              <w:left w:val="nil"/>
              <w:bottom w:val="nil"/>
              <w:right w:val="nil"/>
            </w:tcBorders>
            <w:shd w:val="clear" w:color="auto" w:fill="auto"/>
            <w:noWrap/>
            <w:vAlign w:val="bottom"/>
            <w:hideMark/>
          </w:tcPr>
          <w:p w14:paraId="052E435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95,438 </w:t>
            </w:r>
          </w:p>
        </w:tc>
        <w:tc>
          <w:tcPr>
            <w:tcW w:w="212" w:type="dxa"/>
            <w:tcBorders>
              <w:top w:val="nil"/>
              <w:left w:val="nil"/>
              <w:bottom w:val="nil"/>
              <w:right w:val="nil"/>
            </w:tcBorders>
            <w:shd w:val="clear" w:color="auto" w:fill="auto"/>
            <w:noWrap/>
            <w:vAlign w:val="bottom"/>
            <w:hideMark/>
          </w:tcPr>
          <w:p w14:paraId="5AD98E1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672DA28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85,709 </w:t>
            </w:r>
          </w:p>
        </w:tc>
      </w:tr>
      <w:tr w:rsidR="00721C2E" w:rsidRPr="00721C2E" w14:paraId="2E50F5A9" w14:textId="77777777" w:rsidTr="00C05E95">
        <w:trPr>
          <w:trHeight w:val="570"/>
        </w:trPr>
        <w:tc>
          <w:tcPr>
            <w:tcW w:w="5052" w:type="dxa"/>
            <w:gridSpan w:val="4"/>
            <w:tcBorders>
              <w:top w:val="nil"/>
              <w:left w:val="nil"/>
              <w:bottom w:val="nil"/>
              <w:right w:val="nil"/>
            </w:tcBorders>
            <w:shd w:val="clear" w:color="auto" w:fill="auto"/>
            <w:vAlign w:val="bottom"/>
            <w:hideMark/>
          </w:tcPr>
          <w:p w14:paraId="7C6EDD76"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Accounts receivable, net of allowance for doubtful</w:t>
            </w:r>
            <w:r w:rsidRPr="00721C2E">
              <w:rPr>
                <w:rFonts w:ascii="Segoe UI" w:eastAsia="Times New Roman" w:hAnsi="Segoe UI" w:cs="Segoe UI"/>
                <w:color w:val="666666"/>
                <w:sz w:val="20"/>
                <w:szCs w:val="20"/>
              </w:rPr>
              <w:br/>
              <w:t xml:space="preserve">    accounts of </w:t>
            </w:r>
            <w:r w:rsidRPr="00721C2E">
              <w:rPr>
                <w:rFonts w:ascii="Segoe UI" w:eastAsia="Times New Roman" w:hAnsi="Segoe UI" w:cs="Segoe UI"/>
                <w:b/>
                <w:bCs/>
                <w:color w:val="666666"/>
                <w:sz w:val="20"/>
                <w:szCs w:val="20"/>
              </w:rPr>
              <w:t>$268</w:t>
            </w:r>
            <w:r w:rsidRPr="00721C2E">
              <w:rPr>
                <w:rFonts w:ascii="Segoe UI" w:eastAsia="Times New Roman" w:hAnsi="Segoe UI" w:cs="Segoe UI"/>
                <w:color w:val="666666"/>
                <w:sz w:val="20"/>
                <w:szCs w:val="20"/>
              </w:rPr>
              <w:t xml:space="preserve"> and $301</w:t>
            </w:r>
          </w:p>
        </w:tc>
        <w:tc>
          <w:tcPr>
            <w:tcW w:w="1472" w:type="dxa"/>
            <w:gridSpan w:val="3"/>
            <w:tcBorders>
              <w:top w:val="nil"/>
              <w:left w:val="nil"/>
              <w:bottom w:val="nil"/>
              <w:right w:val="nil"/>
            </w:tcBorders>
            <w:shd w:val="clear" w:color="auto" w:fill="auto"/>
            <w:noWrap/>
            <w:vAlign w:val="bottom"/>
            <w:hideMark/>
          </w:tcPr>
          <w:p w14:paraId="4432EF1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12,427 </w:t>
            </w:r>
          </w:p>
        </w:tc>
        <w:tc>
          <w:tcPr>
            <w:tcW w:w="212" w:type="dxa"/>
            <w:tcBorders>
              <w:top w:val="nil"/>
              <w:left w:val="nil"/>
              <w:bottom w:val="nil"/>
              <w:right w:val="nil"/>
            </w:tcBorders>
            <w:shd w:val="clear" w:color="auto" w:fill="auto"/>
            <w:noWrap/>
            <w:vAlign w:val="bottom"/>
            <w:hideMark/>
          </w:tcPr>
          <w:p w14:paraId="710AABC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416DD9FF"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19,544 </w:t>
            </w:r>
          </w:p>
        </w:tc>
      </w:tr>
      <w:tr w:rsidR="00721C2E" w:rsidRPr="00721C2E" w14:paraId="1E40DCA2"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2ED2F0E"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Inventories</w:t>
            </w:r>
          </w:p>
        </w:tc>
        <w:tc>
          <w:tcPr>
            <w:tcW w:w="1472" w:type="dxa"/>
            <w:gridSpan w:val="3"/>
            <w:tcBorders>
              <w:top w:val="nil"/>
              <w:left w:val="nil"/>
              <w:bottom w:val="nil"/>
              <w:right w:val="nil"/>
            </w:tcBorders>
            <w:shd w:val="clear" w:color="auto" w:fill="auto"/>
            <w:noWrap/>
            <w:vAlign w:val="bottom"/>
            <w:hideMark/>
          </w:tcPr>
          <w:p w14:paraId="1033240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2,469 </w:t>
            </w:r>
          </w:p>
        </w:tc>
        <w:tc>
          <w:tcPr>
            <w:tcW w:w="212" w:type="dxa"/>
            <w:tcBorders>
              <w:top w:val="nil"/>
              <w:left w:val="nil"/>
              <w:bottom w:val="nil"/>
              <w:right w:val="nil"/>
            </w:tcBorders>
            <w:shd w:val="clear" w:color="auto" w:fill="auto"/>
            <w:noWrap/>
            <w:vAlign w:val="bottom"/>
            <w:hideMark/>
          </w:tcPr>
          <w:p w14:paraId="14FAB2D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70AC54DF"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2,660 </w:t>
            </w:r>
          </w:p>
        </w:tc>
      </w:tr>
      <w:tr w:rsidR="00721C2E" w:rsidRPr="00721C2E" w14:paraId="0117D580"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395D02C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Deferred income taxes</w:t>
            </w:r>
          </w:p>
        </w:tc>
        <w:tc>
          <w:tcPr>
            <w:tcW w:w="1472" w:type="dxa"/>
            <w:gridSpan w:val="3"/>
            <w:tcBorders>
              <w:top w:val="nil"/>
              <w:left w:val="nil"/>
              <w:bottom w:val="nil"/>
              <w:right w:val="nil"/>
            </w:tcBorders>
            <w:shd w:val="clear" w:color="auto" w:fill="auto"/>
            <w:noWrap/>
            <w:vAlign w:val="bottom"/>
            <w:hideMark/>
          </w:tcPr>
          <w:p w14:paraId="4041450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1,688 </w:t>
            </w:r>
          </w:p>
        </w:tc>
        <w:tc>
          <w:tcPr>
            <w:tcW w:w="212" w:type="dxa"/>
            <w:tcBorders>
              <w:top w:val="nil"/>
              <w:left w:val="nil"/>
              <w:bottom w:val="nil"/>
              <w:right w:val="nil"/>
            </w:tcBorders>
            <w:shd w:val="clear" w:color="auto" w:fill="auto"/>
            <w:noWrap/>
            <w:vAlign w:val="bottom"/>
            <w:hideMark/>
          </w:tcPr>
          <w:p w14:paraId="2302974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3572684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1,941 </w:t>
            </w:r>
          </w:p>
        </w:tc>
      </w:tr>
      <w:tr w:rsidR="00721C2E" w:rsidRPr="00721C2E" w14:paraId="0B54AE9B" w14:textId="77777777" w:rsidTr="00C05E95">
        <w:trPr>
          <w:trHeight w:val="285"/>
        </w:trPr>
        <w:tc>
          <w:tcPr>
            <w:tcW w:w="5052" w:type="dxa"/>
            <w:gridSpan w:val="4"/>
            <w:tcBorders>
              <w:top w:val="nil"/>
              <w:left w:val="nil"/>
              <w:bottom w:val="single" w:sz="4" w:space="0" w:color="auto"/>
              <w:right w:val="nil"/>
            </w:tcBorders>
            <w:shd w:val="clear" w:color="auto" w:fill="auto"/>
            <w:noWrap/>
            <w:vAlign w:val="center"/>
            <w:hideMark/>
          </w:tcPr>
          <w:p w14:paraId="0A663139"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Other</w:t>
            </w:r>
          </w:p>
        </w:tc>
        <w:tc>
          <w:tcPr>
            <w:tcW w:w="1472" w:type="dxa"/>
            <w:gridSpan w:val="3"/>
            <w:tcBorders>
              <w:top w:val="nil"/>
              <w:left w:val="nil"/>
              <w:bottom w:val="single" w:sz="4" w:space="0" w:color="auto"/>
              <w:right w:val="nil"/>
            </w:tcBorders>
            <w:shd w:val="clear" w:color="auto" w:fill="auto"/>
            <w:noWrap/>
            <w:vAlign w:val="bottom"/>
            <w:hideMark/>
          </w:tcPr>
          <w:p w14:paraId="0D7B012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6,376 </w:t>
            </w:r>
          </w:p>
        </w:tc>
        <w:tc>
          <w:tcPr>
            <w:tcW w:w="212" w:type="dxa"/>
            <w:tcBorders>
              <w:top w:val="nil"/>
              <w:left w:val="nil"/>
              <w:bottom w:val="nil"/>
              <w:right w:val="nil"/>
            </w:tcBorders>
            <w:shd w:val="clear" w:color="auto" w:fill="auto"/>
            <w:noWrap/>
            <w:vAlign w:val="bottom"/>
            <w:hideMark/>
          </w:tcPr>
          <w:p w14:paraId="42E7B89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4" w:space="0" w:color="auto"/>
              <w:right w:val="nil"/>
            </w:tcBorders>
            <w:shd w:val="clear" w:color="auto" w:fill="auto"/>
            <w:noWrap/>
            <w:vAlign w:val="bottom"/>
            <w:hideMark/>
          </w:tcPr>
          <w:p w14:paraId="4EA0D69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4,392 </w:t>
            </w:r>
          </w:p>
        </w:tc>
      </w:tr>
      <w:tr w:rsidR="00721C2E" w:rsidRPr="00721C2E" w14:paraId="73AC7D38"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4ABB24AF"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current assets</w:t>
            </w:r>
          </w:p>
        </w:tc>
        <w:tc>
          <w:tcPr>
            <w:tcW w:w="1472" w:type="dxa"/>
            <w:gridSpan w:val="3"/>
            <w:tcBorders>
              <w:top w:val="nil"/>
              <w:left w:val="nil"/>
              <w:bottom w:val="nil"/>
              <w:right w:val="nil"/>
            </w:tcBorders>
            <w:shd w:val="clear" w:color="auto" w:fill="auto"/>
            <w:noWrap/>
            <w:vAlign w:val="bottom"/>
            <w:hideMark/>
          </w:tcPr>
          <w:p w14:paraId="087B262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118,398 </w:t>
            </w:r>
          </w:p>
        </w:tc>
        <w:tc>
          <w:tcPr>
            <w:tcW w:w="212" w:type="dxa"/>
            <w:tcBorders>
              <w:top w:val="nil"/>
              <w:left w:val="nil"/>
              <w:bottom w:val="nil"/>
              <w:right w:val="nil"/>
            </w:tcBorders>
            <w:shd w:val="clear" w:color="auto" w:fill="auto"/>
            <w:noWrap/>
            <w:vAlign w:val="bottom"/>
            <w:hideMark/>
          </w:tcPr>
          <w:p w14:paraId="7773016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1208B8F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114,246 </w:t>
            </w:r>
          </w:p>
        </w:tc>
      </w:tr>
      <w:tr w:rsidR="00721C2E" w:rsidRPr="00721C2E" w14:paraId="1F075BEF" w14:textId="77777777" w:rsidTr="00C05E95">
        <w:trPr>
          <w:trHeight w:val="570"/>
        </w:trPr>
        <w:tc>
          <w:tcPr>
            <w:tcW w:w="5052" w:type="dxa"/>
            <w:gridSpan w:val="4"/>
            <w:tcBorders>
              <w:top w:val="nil"/>
              <w:left w:val="nil"/>
              <w:bottom w:val="nil"/>
              <w:right w:val="nil"/>
            </w:tcBorders>
            <w:shd w:val="clear" w:color="auto" w:fill="auto"/>
            <w:vAlign w:val="bottom"/>
            <w:hideMark/>
          </w:tcPr>
          <w:p w14:paraId="3B4CD4F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Property and equipment, net of accumulated</w:t>
            </w:r>
            <w:r w:rsidRPr="00721C2E">
              <w:rPr>
                <w:rFonts w:ascii="Segoe UI" w:eastAsia="Times New Roman" w:hAnsi="Segoe UI" w:cs="Segoe UI"/>
                <w:color w:val="666666"/>
                <w:sz w:val="20"/>
                <w:szCs w:val="20"/>
              </w:rPr>
              <w:br/>
              <w:t xml:space="preserve">  depreciation of </w:t>
            </w:r>
            <w:r w:rsidRPr="00721C2E">
              <w:rPr>
                <w:rFonts w:ascii="Segoe UI" w:eastAsia="Times New Roman" w:hAnsi="Segoe UI" w:cs="Segoe UI"/>
                <w:b/>
                <w:bCs/>
                <w:color w:val="666666"/>
                <w:sz w:val="20"/>
                <w:szCs w:val="20"/>
              </w:rPr>
              <w:t>$16,839</w:t>
            </w:r>
            <w:r w:rsidRPr="00721C2E">
              <w:rPr>
                <w:rFonts w:ascii="Segoe UI" w:eastAsia="Times New Roman" w:hAnsi="Segoe UI" w:cs="Segoe UI"/>
                <w:color w:val="666666"/>
                <w:sz w:val="20"/>
                <w:szCs w:val="20"/>
              </w:rPr>
              <w:t xml:space="preserve"> and $14,793</w:t>
            </w:r>
          </w:p>
        </w:tc>
        <w:tc>
          <w:tcPr>
            <w:tcW w:w="1472" w:type="dxa"/>
            <w:gridSpan w:val="3"/>
            <w:tcBorders>
              <w:top w:val="nil"/>
              <w:left w:val="nil"/>
              <w:bottom w:val="nil"/>
              <w:right w:val="nil"/>
            </w:tcBorders>
            <w:shd w:val="clear" w:color="auto" w:fill="auto"/>
            <w:noWrap/>
            <w:vAlign w:val="bottom"/>
            <w:hideMark/>
          </w:tcPr>
          <w:p w14:paraId="0D92D8E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14,375 </w:t>
            </w:r>
          </w:p>
        </w:tc>
        <w:tc>
          <w:tcPr>
            <w:tcW w:w="212" w:type="dxa"/>
            <w:tcBorders>
              <w:top w:val="nil"/>
              <w:left w:val="nil"/>
              <w:bottom w:val="nil"/>
              <w:right w:val="nil"/>
            </w:tcBorders>
            <w:shd w:val="clear" w:color="auto" w:fill="auto"/>
            <w:noWrap/>
            <w:vAlign w:val="bottom"/>
            <w:hideMark/>
          </w:tcPr>
          <w:p w14:paraId="5596FEB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1CB67731"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13,011 </w:t>
            </w:r>
          </w:p>
        </w:tc>
      </w:tr>
      <w:tr w:rsidR="00721C2E" w:rsidRPr="00721C2E" w14:paraId="51F4847A"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85E9E16"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Equity and other investments</w:t>
            </w:r>
          </w:p>
        </w:tc>
        <w:tc>
          <w:tcPr>
            <w:tcW w:w="1472" w:type="dxa"/>
            <w:gridSpan w:val="3"/>
            <w:tcBorders>
              <w:top w:val="nil"/>
              <w:left w:val="nil"/>
              <w:bottom w:val="nil"/>
              <w:right w:val="nil"/>
            </w:tcBorders>
            <w:shd w:val="clear" w:color="auto" w:fill="auto"/>
            <w:noWrap/>
            <w:vAlign w:val="bottom"/>
            <w:hideMark/>
          </w:tcPr>
          <w:p w14:paraId="60E3B00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12,019 </w:t>
            </w:r>
          </w:p>
        </w:tc>
        <w:tc>
          <w:tcPr>
            <w:tcW w:w="212" w:type="dxa"/>
            <w:tcBorders>
              <w:top w:val="nil"/>
              <w:left w:val="nil"/>
              <w:bottom w:val="nil"/>
              <w:right w:val="nil"/>
            </w:tcBorders>
            <w:shd w:val="clear" w:color="auto" w:fill="auto"/>
            <w:noWrap/>
            <w:vAlign w:val="bottom"/>
            <w:hideMark/>
          </w:tcPr>
          <w:p w14:paraId="19E49DB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7284210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14,597 </w:t>
            </w:r>
          </w:p>
        </w:tc>
      </w:tr>
      <w:tr w:rsidR="00721C2E" w:rsidRPr="00721C2E" w14:paraId="57370ED1"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2C8B224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Goodwill</w:t>
            </w:r>
          </w:p>
        </w:tc>
        <w:tc>
          <w:tcPr>
            <w:tcW w:w="1472" w:type="dxa"/>
            <w:gridSpan w:val="3"/>
            <w:tcBorders>
              <w:top w:val="nil"/>
              <w:left w:val="nil"/>
              <w:bottom w:val="nil"/>
              <w:right w:val="nil"/>
            </w:tcBorders>
            <w:shd w:val="clear" w:color="auto" w:fill="auto"/>
            <w:noWrap/>
            <w:vAlign w:val="bottom"/>
            <w:hideMark/>
          </w:tcPr>
          <w:p w14:paraId="70AF9F9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21,728 </w:t>
            </w:r>
          </w:p>
        </w:tc>
        <w:tc>
          <w:tcPr>
            <w:tcW w:w="212" w:type="dxa"/>
            <w:tcBorders>
              <w:top w:val="nil"/>
              <w:left w:val="nil"/>
              <w:bottom w:val="nil"/>
              <w:right w:val="nil"/>
            </w:tcBorders>
            <w:shd w:val="clear" w:color="auto" w:fill="auto"/>
            <w:noWrap/>
            <w:vAlign w:val="bottom"/>
            <w:hideMark/>
          </w:tcPr>
          <w:p w14:paraId="1C8B3A5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244A735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20,127 </w:t>
            </w:r>
          </w:p>
        </w:tc>
      </w:tr>
      <w:tr w:rsidR="00721C2E" w:rsidRPr="00721C2E" w14:paraId="62DFA3DD"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64055B1"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Intangible assets, net</w:t>
            </w:r>
          </w:p>
        </w:tc>
        <w:tc>
          <w:tcPr>
            <w:tcW w:w="1472" w:type="dxa"/>
            <w:gridSpan w:val="3"/>
            <w:tcBorders>
              <w:top w:val="nil"/>
              <w:left w:val="nil"/>
              <w:bottom w:val="nil"/>
              <w:right w:val="nil"/>
            </w:tcBorders>
            <w:shd w:val="clear" w:color="auto" w:fill="auto"/>
            <w:noWrap/>
            <w:vAlign w:val="bottom"/>
            <w:hideMark/>
          </w:tcPr>
          <w:p w14:paraId="1D246B7A"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6,963 </w:t>
            </w:r>
          </w:p>
        </w:tc>
        <w:tc>
          <w:tcPr>
            <w:tcW w:w="212" w:type="dxa"/>
            <w:tcBorders>
              <w:top w:val="nil"/>
              <w:left w:val="nil"/>
              <w:bottom w:val="nil"/>
              <w:right w:val="nil"/>
            </w:tcBorders>
            <w:shd w:val="clear" w:color="auto" w:fill="auto"/>
            <w:noWrap/>
            <w:vAlign w:val="bottom"/>
            <w:hideMark/>
          </w:tcPr>
          <w:p w14:paraId="193BEAA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2AA6FA5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6,981 </w:t>
            </w:r>
          </w:p>
        </w:tc>
      </w:tr>
      <w:tr w:rsidR="00721C2E" w:rsidRPr="00721C2E" w14:paraId="1F5947D7" w14:textId="77777777" w:rsidTr="00C05E95">
        <w:trPr>
          <w:trHeight w:val="285"/>
        </w:trPr>
        <w:tc>
          <w:tcPr>
            <w:tcW w:w="5052" w:type="dxa"/>
            <w:gridSpan w:val="4"/>
            <w:tcBorders>
              <w:top w:val="nil"/>
              <w:left w:val="nil"/>
              <w:bottom w:val="single" w:sz="4" w:space="0" w:color="auto"/>
              <w:right w:val="nil"/>
            </w:tcBorders>
            <w:shd w:val="clear" w:color="auto" w:fill="auto"/>
            <w:noWrap/>
            <w:vAlign w:val="bottom"/>
            <w:hideMark/>
          </w:tcPr>
          <w:p w14:paraId="389E4C92"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Other long-term assets</w:t>
            </w:r>
          </w:p>
        </w:tc>
        <w:tc>
          <w:tcPr>
            <w:tcW w:w="1472" w:type="dxa"/>
            <w:gridSpan w:val="3"/>
            <w:tcBorders>
              <w:top w:val="nil"/>
              <w:left w:val="nil"/>
              <w:bottom w:val="single" w:sz="4" w:space="0" w:color="auto"/>
              <w:right w:val="nil"/>
            </w:tcBorders>
            <w:shd w:val="clear" w:color="auto" w:fill="auto"/>
            <w:noWrap/>
            <w:vAlign w:val="bottom"/>
            <w:hideMark/>
          </w:tcPr>
          <w:p w14:paraId="2BEC5D79"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3,200 </w:t>
            </w:r>
          </w:p>
        </w:tc>
        <w:tc>
          <w:tcPr>
            <w:tcW w:w="212" w:type="dxa"/>
            <w:tcBorders>
              <w:top w:val="nil"/>
              <w:left w:val="nil"/>
              <w:bottom w:val="nil"/>
              <w:right w:val="nil"/>
            </w:tcBorders>
            <w:shd w:val="clear" w:color="auto" w:fill="auto"/>
            <w:noWrap/>
            <w:vAlign w:val="bottom"/>
            <w:hideMark/>
          </w:tcPr>
          <w:p w14:paraId="25CABC0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4" w:space="0" w:color="auto"/>
              <w:right w:val="nil"/>
            </w:tcBorders>
            <w:shd w:val="clear" w:color="auto" w:fill="auto"/>
            <w:noWrap/>
            <w:vAlign w:val="bottom"/>
            <w:hideMark/>
          </w:tcPr>
          <w:p w14:paraId="6D9C46E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3,422 </w:t>
            </w:r>
          </w:p>
        </w:tc>
      </w:tr>
      <w:tr w:rsidR="00721C2E" w:rsidRPr="00721C2E" w14:paraId="4A233E23" w14:textId="77777777" w:rsidTr="00C05E95">
        <w:trPr>
          <w:trHeight w:val="300"/>
        </w:trPr>
        <w:tc>
          <w:tcPr>
            <w:tcW w:w="5052" w:type="dxa"/>
            <w:gridSpan w:val="4"/>
            <w:tcBorders>
              <w:top w:val="nil"/>
              <w:left w:val="nil"/>
              <w:bottom w:val="nil"/>
              <w:right w:val="nil"/>
            </w:tcBorders>
            <w:shd w:val="clear" w:color="auto" w:fill="auto"/>
            <w:noWrap/>
            <w:vAlign w:val="bottom"/>
            <w:hideMark/>
          </w:tcPr>
          <w:p w14:paraId="3F25CBDC"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assets</w:t>
            </w:r>
          </w:p>
        </w:tc>
        <w:tc>
          <w:tcPr>
            <w:tcW w:w="1472" w:type="dxa"/>
            <w:gridSpan w:val="3"/>
            <w:tcBorders>
              <w:top w:val="nil"/>
              <w:left w:val="nil"/>
              <w:bottom w:val="single" w:sz="8" w:space="0" w:color="auto"/>
              <w:right w:val="nil"/>
            </w:tcBorders>
            <w:shd w:val="clear" w:color="auto" w:fill="auto"/>
            <w:noWrap/>
            <w:vAlign w:val="bottom"/>
            <w:hideMark/>
          </w:tcPr>
          <w:p w14:paraId="280A9F1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176,683 </w:t>
            </w:r>
          </w:p>
        </w:tc>
        <w:tc>
          <w:tcPr>
            <w:tcW w:w="212" w:type="dxa"/>
            <w:tcBorders>
              <w:top w:val="nil"/>
              <w:left w:val="nil"/>
              <w:bottom w:val="nil"/>
              <w:right w:val="nil"/>
            </w:tcBorders>
            <w:shd w:val="clear" w:color="auto" w:fill="auto"/>
            <w:noWrap/>
            <w:vAlign w:val="bottom"/>
            <w:hideMark/>
          </w:tcPr>
          <w:p w14:paraId="3A8561D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8" w:space="0" w:color="auto"/>
              <w:right w:val="nil"/>
            </w:tcBorders>
            <w:shd w:val="clear" w:color="auto" w:fill="auto"/>
            <w:noWrap/>
            <w:vAlign w:val="bottom"/>
            <w:hideMark/>
          </w:tcPr>
          <w:p w14:paraId="2A062E1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172,384 </w:t>
            </w:r>
          </w:p>
        </w:tc>
      </w:tr>
      <w:tr w:rsidR="00721C2E" w:rsidRPr="00721C2E" w14:paraId="24EECA73"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4513A260"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p>
        </w:tc>
        <w:tc>
          <w:tcPr>
            <w:tcW w:w="1472" w:type="dxa"/>
            <w:gridSpan w:val="3"/>
            <w:tcBorders>
              <w:top w:val="nil"/>
              <w:left w:val="nil"/>
              <w:bottom w:val="nil"/>
              <w:right w:val="nil"/>
            </w:tcBorders>
            <w:shd w:val="clear" w:color="auto" w:fill="auto"/>
            <w:noWrap/>
            <w:vAlign w:val="bottom"/>
            <w:hideMark/>
          </w:tcPr>
          <w:p w14:paraId="1D4918AA" w14:textId="77777777" w:rsidR="00721C2E" w:rsidRPr="00721C2E" w:rsidRDefault="00721C2E" w:rsidP="00721C2E">
            <w:pPr>
              <w:spacing w:after="0" w:line="240" w:lineRule="auto"/>
              <w:rPr>
                <w:rFonts w:ascii="Times New Roman" w:eastAsia="Times New Roman" w:hAnsi="Times New Roman"/>
                <w:sz w:val="20"/>
                <w:szCs w:val="20"/>
              </w:rPr>
            </w:pPr>
          </w:p>
        </w:tc>
        <w:tc>
          <w:tcPr>
            <w:tcW w:w="212" w:type="dxa"/>
            <w:tcBorders>
              <w:top w:val="nil"/>
              <w:left w:val="nil"/>
              <w:bottom w:val="nil"/>
              <w:right w:val="nil"/>
            </w:tcBorders>
            <w:shd w:val="clear" w:color="auto" w:fill="auto"/>
            <w:noWrap/>
            <w:vAlign w:val="bottom"/>
            <w:hideMark/>
          </w:tcPr>
          <w:p w14:paraId="1843F8CB"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02AC3EB8"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6F056465"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7D95AB1" w14:textId="77777777" w:rsidR="00721C2E" w:rsidRPr="00721C2E" w:rsidRDefault="00721C2E" w:rsidP="00721C2E">
            <w:pPr>
              <w:spacing w:after="0" w:line="240" w:lineRule="auto"/>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Liabilities and stockholders' equity</w:t>
            </w:r>
          </w:p>
        </w:tc>
        <w:tc>
          <w:tcPr>
            <w:tcW w:w="1472" w:type="dxa"/>
            <w:gridSpan w:val="3"/>
            <w:tcBorders>
              <w:top w:val="nil"/>
              <w:left w:val="nil"/>
              <w:bottom w:val="nil"/>
              <w:right w:val="nil"/>
            </w:tcBorders>
            <w:shd w:val="clear" w:color="auto" w:fill="auto"/>
            <w:noWrap/>
            <w:vAlign w:val="bottom"/>
            <w:hideMark/>
          </w:tcPr>
          <w:p w14:paraId="687942FE" w14:textId="77777777" w:rsidR="00721C2E" w:rsidRPr="00721C2E" w:rsidRDefault="00721C2E" w:rsidP="00721C2E">
            <w:pPr>
              <w:spacing w:after="0" w:line="240" w:lineRule="auto"/>
              <w:rPr>
                <w:rFonts w:ascii="Segoe UI" w:eastAsia="Times New Roman" w:hAnsi="Segoe UI" w:cs="Segoe UI"/>
                <w:b/>
                <w:bCs/>
                <w:color w:val="666666"/>
                <w:sz w:val="20"/>
                <w:szCs w:val="20"/>
              </w:rPr>
            </w:pPr>
          </w:p>
        </w:tc>
        <w:tc>
          <w:tcPr>
            <w:tcW w:w="212" w:type="dxa"/>
            <w:tcBorders>
              <w:top w:val="nil"/>
              <w:left w:val="nil"/>
              <w:bottom w:val="nil"/>
              <w:right w:val="nil"/>
            </w:tcBorders>
            <w:shd w:val="clear" w:color="auto" w:fill="auto"/>
            <w:noWrap/>
            <w:vAlign w:val="bottom"/>
            <w:hideMark/>
          </w:tcPr>
          <w:p w14:paraId="0F0BEC82"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577CEFB9"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4BAA7E2C"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3CE96EE0"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Current liabilities:</w:t>
            </w:r>
          </w:p>
        </w:tc>
        <w:tc>
          <w:tcPr>
            <w:tcW w:w="1472" w:type="dxa"/>
            <w:gridSpan w:val="3"/>
            <w:tcBorders>
              <w:top w:val="nil"/>
              <w:left w:val="nil"/>
              <w:bottom w:val="nil"/>
              <w:right w:val="nil"/>
            </w:tcBorders>
            <w:shd w:val="clear" w:color="auto" w:fill="auto"/>
            <w:noWrap/>
            <w:vAlign w:val="bottom"/>
            <w:hideMark/>
          </w:tcPr>
          <w:p w14:paraId="624F6EB3"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1C56B560"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4578F060"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526DE39F"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66B73C04"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Accounts payable</w:t>
            </w:r>
          </w:p>
        </w:tc>
        <w:tc>
          <w:tcPr>
            <w:tcW w:w="1472" w:type="dxa"/>
            <w:gridSpan w:val="3"/>
            <w:tcBorders>
              <w:top w:val="nil"/>
              <w:left w:val="nil"/>
              <w:bottom w:val="nil"/>
              <w:right w:val="nil"/>
            </w:tcBorders>
            <w:shd w:val="clear" w:color="auto" w:fill="auto"/>
            <w:noWrap/>
            <w:vAlign w:val="bottom"/>
            <w:hideMark/>
          </w:tcPr>
          <w:p w14:paraId="1E86641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6,690 </w:t>
            </w:r>
          </w:p>
        </w:tc>
        <w:tc>
          <w:tcPr>
            <w:tcW w:w="212" w:type="dxa"/>
            <w:tcBorders>
              <w:top w:val="nil"/>
              <w:left w:val="nil"/>
              <w:bottom w:val="nil"/>
              <w:right w:val="nil"/>
            </w:tcBorders>
            <w:shd w:val="clear" w:color="auto" w:fill="auto"/>
            <w:noWrap/>
            <w:vAlign w:val="bottom"/>
            <w:hideMark/>
          </w:tcPr>
          <w:p w14:paraId="24BA526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1AF8B614"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7,432 </w:t>
            </w:r>
          </w:p>
        </w:tc>
      </w:tr>
      <w:tr w:rsidR="00721C2E" w:rsidRPr="00721C2E" w14:paraId="361F9967"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5CC23A1B"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Short-term debt</w:t>
            </w:r>
          </w:p>
        </w:tc>
        <w:tc>
          <w:tcPr>
            <w:tcW w:w="1472" w:type="dxa"/>
            <w:gridSpan w:val="3"/>
            <w:tcBorders>
              <w:top w:val="nil"/>
              <w:left w:val="nil"/>
              <w:bottom w:val="nil"/>
              <w:right w:val="nil"/>
            </w:tcBorders>
            <w:shd w:val="clear" w:color="auto" w:fill="auto"/>
            <w:noWrap/>
            <w:vAlign w:val="bottom"/>
            <w:hideMark/>
          </w:tcPr>
          <w:p w14:paraId="223BF48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1,725 </w:t>
            </w:r>
          </w:p>
        </w:tc>
        <w:tc>
          <w:tcPr>
            <w:tcW w:w="212" w:type="dxa"/>
            <w:tcBorders>
              <w:top w:val="nil"/>
              <w:left w:val="nil"/>
              <w:bottom w:val="nil"/>
              <w:right w:val="nil"/>
            </w:tcBorders>
            <w:shd w:val="clear" w:color="auto" w:fill="auto"/>
            <w:noWrap/>
            <w:vAlign w:val="bottom"/>
            <w:hideMark/>
          </w:tcPr>
          <w:p w14:paraId="711FB26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680C2CC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2,000 </w:t>
            </w:r>
          </w:p>
        </w:tc>
      </w:tr>
      <w:tr w:rsidR="00721C2E" w:rsidRPr="00721C2E" w14:paraId="78DA8D1C"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54CD19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Current portion of long-term debt</w:t>
            </w:r>
          </w:p>
        </w:tc>
        <w:tc>
          <w:tcPr>
            <w:tcW w:w="1472" w:type="dxa"/>
            <w:gridSpan w:val="3"/>
            <w:tcBorders>
              <w:top w:val="nil"/>
              <w:left w:val="nil"/>
              <w:bottom w:val="nil"/>
              <w:right w:val="nil"/>
            </w:tcBorders>
            <w:shd w:val="clear" w:color="auto" w:fill="auto"/>
            <w:noWrap/>
            <w:vAlign w:val="bottom"/>
            <w:hideMark/>
          </w:tcPr>
          <w:p w14:paraId="1F11918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2,499 </w:t>
            </w:r>
          </w:p>
        </w:tc>
        <w:tc>
          <w:tcPr>
            <w:tcW w:w="212" w:type="dxa"/>
            <w:tcBorders>
              <w:top w:val="nil"/>
              <w:left w:val="nil"/>
              <w:bottom w:val="nil"/>
              <w:right w:val="nil"/>
            </w:tcBorders>
            <w:shd w:val="clear" w:color="auto" w:fill="auto"/>
            <w:noWrap/>
            <w:vAlign w:val="bottom"/>
            <w:hideMark/>
          </w:tcPr>
          <w:p w14:paraId="0007E140"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4959107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0 </w:t>
            </w:r>
          </w:p>
        </w:tc>
      </w:tr>
      <w:tr w:rsidR="00721C2E" w:rsidRPr="00721C2E" w14:paraId="4C8C2266"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36462C1"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Accrued compensation</w:t>
            </w:r>
          </w:p>
        </w:tc>
        <w:tc>
          <w:tcPr>
            <w:tcW w:w="1472" w:type="dxa"/>
            <w:gridSpan w:val="3"/>
            <w:tcBorders>
              <w:top w:val="nil"/>
              <w:left w:val="nil"/>
              <w:bottom w:val="nil"/>
              <w:right w:val="nil"/>
            </w:tcBorders>
            <w:shd w:val="clear" w:color="auto" w:fill="auto"/>
            <w:noWrap/>
            <w:vAlign w:val="bottom"/>
            <w:hideMark/>
          </w:tcPr>
          <w:p w14:paraId="6D2D826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3,902 </w:t>
            </w:r>
          </w:p>
        </w:tc>
        <w:tc>
          <w:tcPr>
            <w:tcW w:w="212" w:type="dxa"/>
            <w:tcBorders>
              <w:top w:val="nil"/>
              <w:left w:val="nil"/>
              <w:bottom w:val="nil"/>
              <w:right w:val="nil"/>
            </w:tcBorders>
            <w:shd w:val="clear" w:color="auto" w:fill="auto"/>
            <w:noWrap/>
            <w:vAlign w:val="bottom"/>
            <w:hideMark/>
          </w:tcPr>
          <w:p w14:paraId="05F129E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0FE12D1B"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4,797 </w:t>
            </w:r>
          </w:p>
        </w:tc>
      </w:tr>
      <w:tr w:rsidR="00721C2E" w:rsidRPr="00721C2E" w14:paraId="556F551B"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371088BC"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Income taxes</w:t>
            </w:r>
          </w:p>
        </w:tc>
        <w:tc>
          <w:tcPr>
            <w:tcW w:w="1472" w:type="dxa"/>
            <w:gridSpan w:val="3"/>
            <w:tcBorders>
              <w:top w:val="nil"/>
              <w:left w:val="nil"/>
              <w:bottom w:val="nil"/>
              <w:right w:val="nil"/>
            </w:tcBorders>
            <w:shd w:val="clear" w:color="auto" w:fill="auto"/>
            <w:noWrap/>
            <w:vAlign w:val="bottom"/>
            <w:hideMark/>
          </w:tcPr>
          <w:p w14:paraId="105A5A6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758 </w:t>
            </w:r>
          </w:p>
        </w:tc>
        <w:tc>
          <w:tcPr>
            <w:tcW w:w="212" w:type="dxa"/>
            <w:tcBorders>
              <w:top w:val="nil"/>
              <w:left w:val="nil"/>
              <w:bottom w:val="nil"/>
              <w:right w:val="nil"/>
            </w:tcBorders>
            <w:shd w:val="clear" w:color="auto" w:fill="auto"/>
            <w:noWrap/>
            <w:vAlign w:val="bottom"/>
            <w:hideMark/>
          </w:tcPr>
          <w:p w14:paraId="754C0865"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00EB141D"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782 </w:t>
            </w:r>
          </w:p>
        </w:tc>
      </w:tr>
      <w:tr w:rsidR="00721C2E" w:rsidRPr="00721C2E" w14:paraId="0CFAF072"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2B20CBF8"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Short-term unearned revenue</w:t>
            </w:r>
          </w:p>
        </w:tc>
        <w:tc>
          <w:tcPr>
            <w:tcW w:w="1472" w:type="dxa"/>
            <w:gridSpan w:val="3"/>
            <w:tcBorders>
              <w:top w:val="nil"/>
              <w:left w:val="nil"/>
              <w:bottom w:val="nil"/>
              <w:right w:val="nil"/>
            </w:tcBorders>
            <w:shd w:val="clear" w:color="auto" w:fill="auto"/>
            <w:noWrap/>
            <w:vAlign w:val="bottom"/>
            <w:hideMark/>
          </w:tcPr>
          <w:p w14:paraId="243DC24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18,232 </w:t>
            </w:r>
          </w:p>
        </w:tc>
        <w:tc>
          <w:tcPr>
            <w:tcW w:w="212" w:type="dxa"/>
            <w:tcBorders>
              <w:top w:val="nil"/>
              <w:left w:val="nil"/>
              <w:bottom w:val="nil"/>
              <w:right w:val="nil"/>
            </w:tcBorders>
            <w:shd w:val="clear" w:color="auto" w:fill="auto"/>
            <w:noWrap/>
            <w:vAlign w:val="bottom"/>
            <w:hideMark/>
          </w:tcPr>
          <w:p w14:paraId="70523DA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1E14548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23,150 </w:t>
            </w:r>
          </w:p>
        </w:tc>
      </w:tr>
      <w:tr w:rsidR="00721C2E" w:rsidRPr="00721C2E" w14:paraId="302EF08E"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11E70A80"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Securities lending payable</w:t>
            </w:r>
          </w:p>
        </w:tc>
        <w:tc>
          <w:tcPr>
            <w:tcW w:w="1472" w:type="dxa"/>
            <w:gridSpan w:val="3"/>
            <w:tcBorders>
              <w:top w:val="nil"/>
              <w:left w:val="nil"/>
              <w:bottom w:val="nil"/>
              <w:right w:val="nil"/>
            </w:tcBorders>
            <w:shd w:val="clear" w:color="auto" w:fill="auto"/>
            <w:noWrap/>
            <w:vAlign w:val="bottom"/>
            <w:hideMark/>
          </w:tcPr>
          <w:p w14:paraId="678A961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96 </w:t>
            </w:r>
          </w:p>
        </w:tc>
        <w:tc>
          <w:tcPr>
            <w:tcW w:w="212" w:type="dxa"/>
            <w:tcBorders>
              <w:top w:val="nil"/>
              <w:left w:val="nil"/>
              <w:bottom w:val="nil"/>
              <w:right w:val="nil"/>
            </w:tcBorders>
            <w:shd w:val="clear" w:color="auto" w:fill="auto"/>
            <w:noWrap/>
            <w:vAlign w:val="bottom"/>
            <w:hideMark/>
          </w:tcPr>
          <w:p w14:paraId="4AAD803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7D1BD7B3"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558 </w:t>
            </w:r>
          </w:p>
        </w:tc>
      </w:tr>
      <w:tr w:rsidR="00721C2E" w:rsidRPr="00721C2E" w14:paraId="287F9E77" w14:textId="77777777" w:rsidTr="00C05E95">
        <w:trPr>
          <w:trHeight w:val="285"/>
        </w:trPr>
        <w:tc>
          <w:tcPr>
            <w:tcW w:w="5052" w:type="dxa"/>
            <w:gridSpan w:val="4"/>
            <w:tcBorders>
              <w:top w:val="nil"/>
              <w:left w:val="nil"/>
              <w:bottom w:val="single" w:sz="4" w:space="0" w:color="auto"/>
              <w:right w:val="nil"/>
            </w:tcBorders>
            <w:shd w:val="clear" w:color="auto" w:fill="auto"/>
            <w:noWrap/>
            <w:vAlign w:val="bottom"/>
            <w:hideMark/>
          </w:tcPr>
          <w:p w14:paraId="13CF3B40"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lastRenderedPageBreak/>
              <w:t xml:space="preserve">  Other</w:t>
            </w:r>
          </w:p>
        </w:tc>
        <w:tc>
          <w:tcPr>
            <w:tcW w:w="1472" w:type="dxa"/>
            <w:gridSpan w:val="3"/>
            <w:tcBorders>
              <w:top w:val="nil"/>
              <w:left w:val="nil"/>
              <w:bottom w:val="single" w:sz="4" w:space="0" w:color="auto"/>
              <w:right w:val="nil"/>
            </w:tcBorders>
            <w:shd w:val="clear" w:color="auto" w:fill="auto"/>
            <w:noWrap/>
            <w:vAlign w:val="bottom"/>
            <w:hideMark/>
          </w:tcPr>
          <w:p w14:paraId="1020BA8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6,846 </w:t>
            </w:r>
          </w:p>
        </w:tc>
        <w:tc>
          <w:tcPr>
            <w:tcW w:w="212" w:type="dxa"/>
            <w:tcBorders>
              <w:top w:val="nil"/>
              <w:left w:val="nil"/>
              <w:bottom w:val="nil"/>
              <w:right w:val="nil"/>
            </w:tcBorders>
            <w:shd w:val="clear" w:color="auto" w:fill="auto"/>
            <w:noWrap/>
            <w:vAlign w:val="bottom"/>
            <w:hideMark/>
          </w:tcPr>
          <w:p w14:paraId="52A184D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4" w:space="0" w:color="auto"/>
              <w:right w:val="nil"/>
            </w:tcBorders>
            <w:shd w:val="clear" w:color="auto" w:fill="auto"/>
            <w:noWrap/>
            <w:vAlign w:val="bottom"/>
            <w:hideMark/>
          </w:tcPr>
          <w:p w14:paraId="19713EB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6,906 </w:t>
            </w:r>
          </w:p>
        </w:tc>
      </w:tr>
      <w:tr w:rsidR="00721C2E" w:rsidRPr="00721C2E" w14:paraId="52FC622D"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42EF069C"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current liabilities</w:t>
            </w:r>
          </w:p>
        </w:tc>
        <w:tc>
          <w:tcPr>
            <w:tcW w:w="1472" w:type="dxa"/>
            <w:gridSpan w:val="3"/>
            <w:tcBorders>
              <w:top w:val="nil"/>
              <w:left w:val="nil"/>
              <w:bottom w:val="nil"/>
              <w:right w:val="nil"/>
            </w:tcBorders>
            <w:shd w:val="clear" w:color="auto" w:fill="auto"/>
            <w:noWrap/>
            <w:vAlign w:val="bottom"/>
            <w:hideMark/>
          </w:tcPr>
          <w:p w14:paraId="66DD5E2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40,748 </w:t>
            </w:r>
          </w:p>
        </w:tc>
        <w:tc>
          <w:tcPr>
            <w:tcW w:w="212" w:type="dxa"/>
            <w:tcBorders>
              <w:top w:val="nil"/>
              <w:left w:val="nil"/>
              <w:bottom w:val="nil"/>
              <w:right w:val="nil"/>
            </w:tcBorders>
            <w:shd w:val="clear" w:color="auto" w:fill="auto"/>
            <w:noWrap/>
            <w:vAlign w:val="bottom"/>
            <w:hideMark/>
          </w:tcPr>
          <w:p w14:paraId="55728D1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269C3DD2"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45,625 </w:t>
            </w:r>
          </w:p>
        </w:tc>
      </w:tr>
      <w:tr w:rsidR="00721C2E" w:rsidRPr="00721C2E" w14:paraId="7FF206A7"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374F3DBA"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Long-term debt</w:t>
            </w:r>
          </w:p>
        </w:tc>
        <w:tc>
          <w:tcPr>
            <w:tcW w:w="1472" w:type="dxa"/>
            <w:gridSpan w:val="3"/>
            <w:tcBorders>
              <w:top w:val="nil"/>
              <w:left w:val="nil"/>
              <w:bottom w:val="nil"/>
              <w:right w:val="nil"/>
            </w:tcBorders>
            <w:shd w:val="clear" w:color="auto" w:fill="auto"/>
            <w:noWrap/>
            <w:vAlign w:val="bottom"/>
            <w:hideMark/>
          </w:tcPr>
          <w:p w14:paraId="75FFD93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27,644 </w:t>
            </w:r>
          </w:p>
        </w:tc>
        <w:tc>
          <w:tcPr>
            <w:tcW w:w="212" w:type="dxa"/>
            <w:tcBorders>
              <w:top w:val="nil"/>
              <w:left w:val="nil"/>
              <w:bottom w:val="nil"/>
              <w:right w:val="nil"/>
            </w:tcBorders>
            <w:shd w:val="clear" w:color="auto" w:fill="auto"/>
            <w:noWrap/>
            <w:vAlign w:val="bottom"/>
            <w:hideMark/>
          </w:tcPr>
          <w:p w14:paraId="733C17B8"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6366F5D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20,645 </w:t>
            </w:r>
          </w:p>
        </w:tc>
      </w:tr>
      <w:tr w:rsidR="00721C2E" w:rsidRPr="00721C2E" w14:paraId="11657318"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02F634CD"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Long-term unearned revenue</w:t>
            </w:r>
          </w:p>
        </w:tc>
        <w:tc>
          <w:tcPr>
            <w:tcW w:w="1472" w:type="dxa"/>
            <w:gridSpan w:val="3"/>
            <w:tcBorders>
              <w:top w:val="nil"/>
              <w:left w:val="nil"/>
              <w:bottom w:val="nil"/>
              <w:right w:val="nil"/>
            </w:tcBorders>
            <w:shd w:val="clear" w:color="auto" w:fill="auto"/>
            <w:noWrap/>
            <w:vAlign w:val="bottom"/>
            <w:hideMark/>
          </w:tcPr>
          <w:p w14:paraId="3A5440F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1,966 </w:t>
            </w:r>
          </w:p>
        </w:tc>
        <w:tc>
          <w:tcPr>
            <w:tcW w:w="212" w:type="dxa"/>
            <w:tcBorders>
              <w:top w:val="nil"/>
              <w:left w:val="nil"/>
              <w:bottom w:val="nil"/>
              <w:right w:val="nil"/>
            </w:tcBorders>
            <w:shd w:val="clear" w:color="auto" w:fill="auto"/>
            <w:noWrap/>
            <w:vAlign w:val="bottom"/>
            <w:hideMark/>
          </w:tcPr>
          <w:p w14:paraId="4D4D08D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1F58168A"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2,008 </w:t>
            </w:r>
          </w:p>
        </w:tc>
      </w:tr>
      <w:tr w:rsidR="00721C2E" w:rsidRPr="00721C2E" w14:paraId="789665FD"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7BFD13B7"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Deferred income taxes</w:t>
            </w:r>
          </w:p>
        </w:tc>
        <w:tc>
          <w:tcPr>
            <w:tcW w:w="1472" w:type="dxa"/>
            <w:gridSpan w:val="3"/>
            <w:tcBorders>
              <w:top w:val="nil"/>
              <w:left w:val="nil"/>
              <w:bottom w:val="nil"/>
              <w:right w:val="nil"/>
            </w:tcBorders>
            <w:shd w:val="clear" w:color="auto" w:fill="auto"/>
            <w:noWrap/>
            <w:vAlign w:val="bottom"/>
            <w:hideMark/>
          </w:tcPr>
          <w:p w14:paraId="36EA55EE"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2,919 </w:t>
            </w:r>
          </w:p>
        </w:tc>
        <w:tc>
          <w:tcPr>
            <w:tcW w:w="212" w:type="dxa"/>
            <w:tcBorders>
              <w:top w:val="nil"/>
              <w:left w:val="nil"/>
              <w:bottom w:val="nil"/>
              <w:right w:val="nil"/>
            </w:tcBorders>
            <w:shd w:val="clear" w:color="auto" w:fill="auto"/>
            <w:noWrap/>
            <w:vAlign w:val="bottom"/>
            <w:hideMark/>
          </w:tcPr>
          <w:p w14:paraId="56EF6E71"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3A6CBCDE"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2,728 </w:t>
            </w:r>
          </w:p>
        </w:tc>
      </w:tr>
      <w:tr w:rsidR="00721C2E" w:rsidRPr="00721C2E" w14:paraId="236748C0" w14:textId="77777777" w:rsidTr="00C05E95">
        <w:trPr>
          <w:trHeight w:val="330"/>
        </w:trPr>
        <w:tc>
          <w:tcPr>
            <w:tcW w:w="5052" w:type="dxa"/>
            <w:gridSpan w:val="4"/>
            <w:tcBorders>
              <w:top w:val="nil"/>
              <w:left w:val="nil"/>
              <w:bottom w:val="single" w:sz="4" w:space="0" w:color="auto"/>
              <w:right w:val="nil"/>
            </w:tcBorders>
            <w:shd w:val="clear" w:color="auto" w:fill="auto"/>
            <w:noWrap/>
            <w:vAlign w:val="bottom"/>
            <w:hideMark/>
          </w:tcPr>
          <w:p w14:paraId="3CD396D8"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Other long-term liabilities</w:t>
            </w:r>
          </w:p>
        </w:tc>
        <w:tc>
          <w:tcPr>
            <w:tcW w:w="1472" w:type="dxa"/>
            <w:gridSpan w:val="3"/>
            <w:tcBorders>
              <w:top w:val="nil"/>
              <w:left w:val="nil"/>
              <w:bottom w:val="single" w:sz="4" w:space="0" w:color="auto"/>
              <w:right w:val="nil"/>
            </w:tcBorders>
            <w:shd w:val="clear" w:color="auto" w:fill="auto"/>
            <w:noWrap/>
            <w:vAlign w:val="bottom"/>
            <w:hideMark/>
          </w:tcPr>
          <w:p w14:paraId="1C4EA0B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13,274 </w:t>
            </w:r>
          </w:p>
        </w:tc>
        <w:tc>
          <w:tcPr>
            <w:tcW w:w="212" w:type="dxa"/>
            <w:tcBorders>
              <w:top w:val="nil"/>
              <w:left w:val="nil"/>
              <w:bottom w:val="nil"/>
              <w:right w:val="nil"/>
            </w:tcBorders>
            <w:shd w:val="clear" w:color="auto" w:fill="auto"/>
            <w:noWrap/>
            <w:vAlign w:val="bottom"/>
            <w:hideMark/>
          </w:tcPr>
          <w:p w14:paraId="0F78EB9F"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4" w:space="0" w:color="auto"/>
              <w:right w:val="nil"/>
            </w:tcBorders>
            <w:shd w:val="clear" w:color="auto" w:fill="auto"/>
            <w:noWrap/>
            <w:vAlign w:val="bottom"/>
            <w:hideMark/>
          </w:tcPr>
          <w:p w14:paraId="2CF3E364"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11,594 </w:t>
            </w:r>
          </w:p>
        </w:tc>
      </w:tr>
      <w:tr w:rsidR="00721C2E" w:rsidRPr="00721C2E" w14:paraId="2F528E56" w14:textId="77777777" w:rsidTr="00C05E95">
        <w:trPr>
          <w:trHeight w:val="285"/>
        </w:trPr>
        <w:tc>
          <w:tcPr>
            <w:tcW w:w="5052" w:type="dxa"/>
            <w:gridSpan w:val="4"/>
            <w:tcBorders>
              <w:top w:val="nil"/>
              <w:left w:val="nil"/>
              <w:bottom w:val="single" w:sz="4" w:space="0" w:color="auto"/>
              <w:right w:val="nil"/>
            </w:tcBorders>
            <w:shd w:val="clear" w:color="auto" w:fill="auto"/>
            <w:noWrap/>
            <w:vAlign w:val="bottom"/>
            <w:hideMark/>
          </w:tcPr>
          <w:p w14:paraId="4C5EA3EC"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liabilities</w:t>
            </w:r>
          </w:p>
        </w:tc>
        <w:tc>
          <w:tcPr>
            <w:tcW w:w="1472" w:type="dxa"/>
            <w:gridSpan w:val="3"/>
            <w:tcBorders>
              <w:top w:val="nil"/>
              <w:left w:val="nil"/>
              <w:bottom w:val="single" w:sz="4" w:space="0" w:color="auto"/>
              <w:right w:val="nil"/>
            </w:tcBorders>
            <w:shd w:val="clear" w:color="auto" w:fill="auto"/>
            <w:noWrap/>
            <w:vAlign w:val="bottom"/>
            <w:hideMark/>
          </w:tcPr>
          <w:p w14:paraId="65C37B1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86,551 </w:t>
            </w:r>
          </w:p>
        </w:tc>
        <w:tc>
          <w:tcPr>
            <w:tcW w:w="212" w:type="dxa"/>
            <w:tcBorders>
              <w:top w:val="nil"/>
              <w:left w:val="nil"/>
              <w:bottom w:val="nil"/>
              <w:right w:val="nil"/>
            </w:tcBorders>
            <w:shd w:val="clear" w:color="auto" w:fill="auto"/>
            <w:noWrap/>
            <w:vAlign w:val="bottom"/>
            <w:hideMark/>
          </w:tcPr>
          <w:p w14:paraId="1755D97B"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4" w:space="0" w:color="auto"/>
              <w:right w:val="nil"/>
            </w:tcBorders>
            <w:shd w:val="clear" w:color="auto" w:fill="auto"/>
            <w:noWrap/>
            <w:vAlign w:val="bottom"/>
            <w:hideMark/>
          </w:tcPr>
          <w:p w14:paraId="5384F908"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82,600 </w:t>
            </w:r>
          </w:p>
        </w:tc>
      </w:tr>
      <w:tr w:rsidR="00721C2E" w:rsidRPr="00721C2E" w14:paraId="75F43F1C"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0D2B3856"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Commitments and contingencies</w:t>
            </w:r>
          </w:p>
        </w:tc>
        <w:tc>
          <w:tcPr>
            <w:tcW w:w="1472" w:type="dxa"/>
            <w:gridSpan w:val="3"/>
            <w:tcBorders>
              <w:top w:val="nil"/>
              <w:left w:val="nil"/>
              <w:bottom w:val="nil"/>
              <w:right w:val="nil"/>
            </w:tcBorders>
            <w:shd w:val="clear" w:color="auto" w:fill="auto"/>
            <w:noWrap/>
            <w:vAlign w:val="bottom"/>
            <w:hideMark/>
          </w:tcPr>
          <w:p w14:paraId="4E1CEC78"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46A89E65"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4DD16A9F"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66098869" w14:textId="77777777" w:rsidTr="00C05E95">
        <w:trPr>
          <w:trHeight w:val="285"/>
        </w:trPr>
        <w:tc>
          <w:tcPr>
            <w:tcW w:w="5052" w:type="dxa"/>
            <w:gridSpan w:val="4"/>
            <w:tcBorders>
              <w:top w:val="nil"/>
              <w:left w:val="nil"/>
              <w:bottom w:val="nil"/>
              <w:right w:val="nil"/>
            </w:tcBorders>
            <w:shd w:val="clear" w:color="auto" w:fill="auto"/>
            <w:noWrap/>
            <w:vAlign w:val="bottom"/>
            <w:hideMark/>
          </w:tcPr>
          <w:p w14:paraId="3625FDD9"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Stockholders' equity:</w:t>
            </w:r>
          </w:p>
        </w:tc>
        <w:tc>
          <w:tcPr>
            <w:tcW w:w="1472" w:type="dxa"/>
            <w:gridSpan w:val="3"/>
            <w:tcBorders>
              <w:top w:val="nil"/>
              <w:left w:val="nil"/>
              <w:bottom w:val="nil"/>
              <w:right w:val="nil"/>
            </w:tcBorders>
            <w:shd w:val="clear" w:color="auto" w:fill="auto"/>
            <w:noWrap/>
            <w:vAlign w:val="bottom"/>
            <w:hideMark/>
          </w:tcPr>
          <w:p w14:paraId="6A883E3A" w14:textId="77777777" w:rsidR="00721C2E" w:rsidRPr="00721C2E" w:rsidRDefault="00721C2E" w:rsidP="00721C2E">
            <w:pPr>
              <w:spacing w:after="0" w:line="240" w:lineRule="auto"/>
              <w:rPr>
                <w:rFonts w:ascii="Segoe UI" w:eastAsia="Times New Roman" w:hAnsi="Segoe UI" w:cs="Segoe UI"/>
                <w:color w:val="666666"/>
                <w:sz w:val="20"/>
                <w:szCs w:val="20"/>
              </w:rPr>
            </w:pPr>
          </w:p>
        </w:tc>
        <w:tc>
          <w:tcPr>
            <w:tcW w:w="212" w:type="dxa"/>
            <w:tcBorders>
              <w:top w:val="nil"/>
              <w:left w:val="nil"/>
              <w:bottom w:val="nil"/>
              <w:right w:val="nil"/>
            </w:tcBorders>
            <w:shd w:val="clear" w:color="auto" w:fill="auto"/>
            <w:noWrap/>
            <w:vAlign w:val="bottom"/>
            <w:hideMark/>
          </w:tcPr>
          <w:p w14:paraId="07C83374" w14:textId="77777777" w:rsidR="00721C2E" w:rsidRPr="00721C2E" w:rsidRDefault="00721C2E" w:rsidP="00721C2E">
            <w:pPr>
              <w:spacing w:after="0" w:line="240" w:lineRule="auto"/>
              <w:jc w:val="right"/>
              <w:rPr>
                <w:rFonts w:ascii="Times New Roman" w:eastAsia="Times New Roman" w:hAnsi="Times New Roman"/>
                <w:sz w:val="20"/>
                <w:szCs w:val="20"/>
              </w:rPr>
            </w:pPr>
          </w:p>
        </w:tc>
        <w:tc>
          <w:tcPr>
            <w:tcW w:w="1152" w:type="dxa"/>
            <w:gridSpan w:val="4"/>
            <w:tcBorders>
              <w:top w:val="nil"/>
              <w:left w:val="nil"/>
              <w:bottom w:val="nil"/>
              <w:right w:val="nil"/>
            </w:tcBorders>
            <w:shd w:val="clear" w:color="auto" w:fill="auto"/>
            <w:noWrap/>
            <w:vAlign w:val="bottom"/>
            <w:hideMark/>
          </w:tcPr>
          <w:p w14:paraId="266AB0B3" w14:textId="77777777" w:rsidR="00721C2E" w:rsidRPr="00721C2E" w:rsidRDefault="00721C2E" w:rsidP="00721C2E">
            <w:pPr>
              <w:spacing w:after="0" w:line="240" w:lineRule="auto"/>
              <w:rPr>
                <w:rFonts w:ascii="Times New Roman" w:eastAsia="Times New Roman" w:hAnsi="Times New Roman"/>
                <w:sz w:val="20"/>
                <w:szCs w:val="20"/>
              </w:rPr>
            </w:pPr>
          </w:p>
        </w:tc>
      </w:tr>
      <w:tr w:rsidR="00721C2E" w:rsidRPr="00721C2E" w14:paraId="2B4BDD12" w14:textId="77777777" w:rsidTr="00C05E95">
        <w:trPr>
          <w:trHeight w:val="570"/>
        </w:trPr>
        <w:tc>
          <w:tcPr>
            <w:tcW w:w="5052" w:type="dxa"/>
            <w:gridSpan w:val="4"/>
            <w:tcBorders>
              <w:top w:val="nil"/>
              <w:left w:val="nil"/>
              <w:bottom w:val="nil"/>
              <w:right w:val="nil"/>
            </w:tcBorders>
            <w:shd w:val="clear" w:color="auto" w:fill="auto"/>
            <w:vAlign w:val="bottom"/>
            <w:hideMark/>
          </w:tcPr>
          <w:p w14:paraId="16C305A1"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Common stock and paid-in capital - shares</w:t>
            </w:r>
            <w:r w:rsidRPr="00721C2E">
              <w:rPr>
                <w:rFonts w:ascii="Segoe UI" w:eastAsia="Times New Roman" w:hAnsi="Segoe UI" w:cs="Segoe UI"/>
                <w:color w:val="666666"/>
                <w:sz w:val="20"/>
                <w:szCs w:val="20"/>
              </w:rPr>
              <w:br/>
              <w:t xml:space="preserve">     authorized 24,000; outstanding </w:t>
            </w:r>
            <w:r w:rsidRPr="00721C2E">
              <w:rPr>
                <w:rFonts w:ascii="Segoe UI" w:eastAsia="Times New Roman" w:hAnsi="Segoe UI" w:cs="Segoe UI"/>
                <w:b/>
                <w:bCs/>
                <w:color w:val="666666"/>
                <w:sz w:val="20"/>
                <w:szCs w:val="20"/>
              </w:rPr>
              <w:t>8,113</w:t>
            </w:r>
            <w:r w:rsidRPr="00721C2E">
              <w:rPr>
                <w:rFonts w:ascii="Segoe UI" w:eastAsia="Times New Roman" w:hAnsi="Segoe UI" w:cs="Segoe UI"/>
                <w:color w:val="666666"/>
                <w:sz w:val="20"/>
                <w:szCs w:val="20"/>
              </w:rPr>
              <w:t xml:space="preserve"> and 8,239</w:t>
            </w:r>
          </w:p>
        </w:tc>
        <w:tc>
          <w:tcPr>
            <w:tcW w:w="1472" w:type="dxa"/>
            <w:gridSpan w:val="3"/>
            <w:tcBorders>
              <w:top w:val="nil"/>
              <w:left w:val="nil"/>
              <w:bottom w:val="nil"/>
              <w:right w:val="nil"/>
            </w:tcBorders>
            <w:shd w:val="clear" w:color="auto" w:fill="auto"/>
            <w:noWrap/>
            <w:vAlign w:val="bottom"/>
            <w:hideMark/>
          </w:tcPr>
          <w:p w14:paraId="52BBB107"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68,475 </w:t>
            </w:r>
          </w:p>
        </w:tc>
        <w:tc>
          <w:tcPr>
            <w:tcW w:w="212" w:type="dxa"/>
            <w:tcBorders>
              <w:top w:val="nil"/>
              <w:left w:val="nil"/>
              <w:bottom w:val="nil"/>
              <w:right w:val="nil"/>
            </w:tcBorders>
            <w:shd w:val="clear" w:color="auto" w:fill="auto"/>
            <w:noWrap/>
            <w:vAlign w:val="bottom"/>
            <w:hideMark/>
          </w:tcPr>
          <w:p w14:paraId="0583349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15850635"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68,366 </w:t>
            </w:r>
          </w:p>
        </w:tc>
      </w:tr>
      <w:tr w:rsidR="00721C2E" w:rsidRPr="00721C2E" w14:paraId="5E897137" w14:textId="77777777" w:rsidTr="00C05E95">
        <w:trPr>
          <w:trHeight w:val="285"/>
        </w:trPr>
        <w:tc>
          <w:tcPr>
            <w:tcW w:w="5052" w:type="dxa"/>
            <w:gridSpan w:val="4"/>
            <w:tcBorders>
              <w:top w:val="nil"/>
              <w:left w:val="nil"/>
              <w:bottom w:val="nil"/>
              <w:right w:val="nil"/>
            </w:tcBorders>
            <w:shd w:val="clear" w:color="auto" w:fill="auto"/>
            <w:vAlign w:val="bottom"/>
            <w:hideMark/>
          </w:tcPr>
          <w:p w14:paraId="186CCFC3"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Retained earnings</w:t>
            </w:r>
          </w:p>
        </w:tc>
        <w:tc>
          <w:tcPr>
            <w:tcW w:w="1472" w:type="dxa"/>
            <w:gridSpan w:val="3"/>
            <w:tcBorders>
              <w:top w:val="nil"/>
              <w:left w:val="nil"/>
              <w:bottom w:val="nil"/>
              <w:right w:val="nil"/>
            </w:tcBorders>
            <w:shd w:val="clear" w:color="auto" w:fill="auto"/>
            <w:noWrap/>
            <w:vAlign w:val="bottom"/>
            <w:hideMark/>
          </w:tcPr>
          <w:p w14:paraId="216B259D"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18,186 </w:t>
            </w:r>
          </w:p>
        </w:tc>
        <w:tc>
          <w:tcPr>
            <w:tcW w:w="212" w:type="dxa"/>
            <w:tcBorders>
              <w:top w:val="nil"/>
              <w:left w:val="nil"/>
              <w:bottom w:val="nil"/>
              <w:right w:val="nil"/>
            </w:tcBorders>
            <w:shd w:val="clear" w:color="auto" w:fill="auto"/>
            <w:noWrap/>
            <w:vAlign w:val="bottom"/>
            <w:hideMark/>
          </w:tcPr>
          <w:p w14:paraId="268EAD3C"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4A98AF49"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17,710 </w:t>
            </w:r>
          </w:p>
        </w:tc>
      </w:tr>
      <w:tr w:rsidR="00721C2E" w:rsidRPr="00721C2E" w14:paraId="057A3563" w14:textId="77777777" w:rsidTr="00C05E95">
        <w:trPr>
          <w:trHeight w:val="285"/>
        </w:trPr>
        <w:tc>
          <w:tcPr>
            <w:tcW w:w="5052" w:type="dxa"/>
            <w:gridSpan w:val="4"/>
            <w:tcBorders>
              <w:top w:val="nil"/>
              <w:left w:val="nil"/>
              <w:bottom w:val="single" w:sz="4" w:space="0" w:color="auto"/>
              <w:right w:val="nil"/>
            </w:tcBorders>
            <w:shd w:val="clear" w:color="auto" w:fill="auto"/>
            <w:noWrap/>
            <w:vAlign w:val="bottom"/>
            <w:hideMark/>
          </w:tcPr>
          <w:p w14:paraId="59C921D2"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Accumulated other comprehensive income</w:t>
            </w:r>
          </w:p>
        </w:tc>
        <w:tc>
          <w:tcPr>
            <w:tcW w:w="1472" w:type="dxa"/>
            <w:gridSpan w:val="3"/>
            <w:tcBorders>
              <w:top w:val="nil"/>
              <w:left w:val="nil"/>
              <w:bottom w:val="single" w:sz="4" w:space="0" w:color="auto"/>
              <w:right w:val="nil"/>
            </w:tcBorders>
            <w:shd w:val="clear" w:color="auto" w:fill="auto"/>
            <w:noWrap/>
            <w:vAlign w:val="bottom"/>
            <w:hideMark/>
          </w:tcPr>
          <w:p w14:paraId="14236323"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3,471 </w:t>
            </w:r>
          </w:p>
        </w:tc>
        <w:tc>
          <w:tcPr>
            <w:tcW w:w="212" w:type="dxa"/>
            <w:tcBorders>
              <w:top w:val="nil"/>
              <w:left w:val="nil"/>
              <w:bottom w:val="nil"/>
              <w:right w:val="nil"/>
            </w:tcBorders>
            <w:shd w:val="clear" w:color="auto" w:fill="auto"/>
            <w:noWrap/>
            <w:vAlign w:val="bottom"/>
            <w:hideMark/>
          </w:tcPr>
          <w:p w14:paraId="2C9EF422"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nil"/>
              <w:right w:val="nil"/>
            </w:tcBorders>
            <w:shd w:val="clear" w:color="auto" w:fill="auto"/>
            <w:noWrap/>
            <w:vAlign w:val="bottom"/>
            <w:hideMark/>
          </w:tcPr>
          <w:p w14:paraId="69087B97"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3,708 </w:t>
            </w:r>
          </w:p>
        </w:tc>
      </w:tr>
      <w:tr w:rsidR="00721C2E" w:rsidRPr="00721C2E" w14:paraId="4D600C33" w14:textId="77777777" w:rsidTr="00C05E95">
        <w:trPr>
          <w:trHeight w:val="330"/>
        </w:trPr>
        <w:tc>
          <w:tcPr>
            <w:tcW w:w="5052" w:type="dxa"/>
            <w:gridSpan w:val="4"/>
            <w:tcBorders>
              <w:top w:val="nil"/>
              <w:left w:val="nil"/>
              <w:bottom w:val="single" w:sz="4" w:space="0" w:color="auto"/>
              <w:right w:val="nil"/>
            </w:tcBorders>
            <w:shd w:val="clear" w:color="auto" w:fill="auto"/>
            <w:noWrap/>
            <w:vAlign w:val="bottom"/>
            <w:hideMark/>
          </w:tcPr>
          <w:p w14:paraId="3C5ECF29"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stockholders' equity</w:t>
            </w:r>
          </w:p>
        </w:tc>
        <w:tc>
          <w:tcPr>
            <w:tcW w:w="1472" w:type="dxa"/>
            <w:gridSpan w:val="3"/>
            <w:tcBorders>
              <w:top w:val="nil"/>
              <w:left w:val="nil"/>
              <w:bottom w:val="single" w:sz="4" w:space="0" w:color="auto"/>
              <w:right w:val="nil"/>
            </w:tcBorders>
            <w:shd w:val="clear" w:color="auto" w:fill="auto"/>
            <w:noWrap/>
            <w:vAlign w:val="bottom"/>
            <w:hideMark/>
          </w:tcPr>
          <w:p w14:paraId="1C3E3A9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90,132 </w:t>
            </w:r>
          </w:p>
        </w:tc>
        <w:tc>
          <w:tcPr>
            <w:tcW w:w="212" w:type="dxa"/>
            <w:tcBorders>
              <w:top w:val="nil"/>
              <w:left w:val="nil"/>
              <w:bottom w:val="nil"/>
              <w:right w:val="nil"/>
            </w:tcBorders>
            <w:shd w:val="clear" w:color="auto" w:fill="auto"/>
            <w:noWrap/>
            <w:vAlign w:val="bottom"/>
            <w:hideMark/>
          </w:tcPr>
          <w:p w14:paraId="1A59FBB6"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single" w:sz="4" w:space="0" w:color="auto"/>
              <w:left w:val="nil"/>
              <w:bottom w:val="single" w:sz="4" w:space="0" w:color="auto"/>
              <w:right w:val="nil"/>
            </w:tcBorders>
            <w:shd w:val="clear" w:color="auto" w:fill="auto"/>
            <w:noWrap/>
            <w:vAlign w:val="bottom"/>
            <w:hideMark/>
          </w:tcPr>
          <w:p w14:paraId="091A3496"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89,784 </w:t>
            </w:r>
          </w:p>
        </w:tc>
      </w:tr>
      <w:tr w:rsidR="00721C2E" w:rsidRPr="00721C2E" w14:paraId="744C97CD" w14:textId="77777777" w:rsidTr="00C05E95">
        <w:trPr>
          <w:trHeight w:val="345"/>
        </w:trPr>
        <w:tc>
          <w:tcPr>
            <w:tcW w:w="5052" w:type="dxa"/>
            <w:gridSpan w:val="4"/>
            <w:tcBorders>
              <w:top w:val="nil"/>
              <w:left w:val="nil"/>
              <w:bottom w:val="nil"/>
              <w:right w:val="nil"/>
            </w:tcBorders>
            <w:shd w:val="clear" w:color="auto" w:fill="auto"/>
            <w:noWrap/>
            <w:vAlign w:val="bottom"/>
            <w:hideMark/>
          </w:tcPr>
          <w:p w14:paraId="78C0D2B8" w14:textId="77777777" w:rsidR="00721C2E" w:rsidRPr="00721C2E" w:rsidRDefault="00721C2E" w:rsidP="00721C2E">
            <w:pPr>
              <w:spacing w:after="0" w:line="240" w:lineRule="auto"/>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Total liabilities and stockholders' equity</w:t>
            </w:r>
          </w:p>
        </w:tc>
        <w:tc>
          <w:tcPr>
            <w:tcW w:w="1472" w:type="dxa"/>
            <w:gridSpan w:val="3"/>
            <w:tcBorders>
              <w:top w:val="nil"/>
              <w:left w:val="nil"/>
              <w:bottom w:val="single" w:sz="8" w:space="0" w:color="auto"/>
              <w:right w:val="nil"/>
            </w:tcBorders>
            <w:shd w:val="clear" w:color="auto" w:fill="auto"/>
            <w:noWrap/>
            <w:vAlign w:val="bottom"/>
            <w:hideMark/>
          </w:tcPr>
          <w:p w14:paraId="1860E70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r w:rsidRPr="00721C2E">
              <w:rPr>
                <w:rFonts w:ascii="Segoe UI" w:eastAsia="Times New Roman" w:hAnsi="Segoe UI" w:cs="Segoe UI"/>
                <w:b/>
                <w:bCs/>
                <w:color w:val="666666"/>
                <w:sz w:val="20"/>
                <w:szCs w:val="20"/>
              </w:rPr>
              <w:t xml:space="preserve"> $       176,683 </w:t>
            </w:r>
          </w:p>
        </w:tc>
        <w:tc>
          <w:tcPr>
            <w:tcW w:w="212" w:type="dxa"/>
            <w:tcBorders>
              <w:top w:val="nil"/>
              <w:left w:val="nil"/>
              <w:bottom w:val="nil"/>
              <w:right w:val="nil"/>
            </w:tcBorders>
            <w:shd w:val="clear" w:color="auto" w:fill="auto"/>
            <w:noWrap/>
            <w:vAlign w:val="bottom"/>
            <w:hideMark/>
          </w:tcPr>
          <w:p w14:paraId="588B35D4" w14:textId="77777777" w:rsidR="00721C2E" w:rsidRPr="00721C2E" w:rsidRDefault="00721C2E" w:rsidP="00721C2E">
            <w:pPr>
              <w:spacing w:after="0" w:line="240" w:lineRule="auto"/>
              <w:jc w:val="right"/>
              <w:rPr>
                <w:rFonts w:ascii="Segoe UI" w:eastAsia="Times New Roman" w:hAnsi="Segoe UI" w:cs="Segoe UI"/>
                <w:b/>
                <w:bCs/>
                <w:color w:val="666666"/>
                <w:sz w:val="20"/>
                <w:szCs w:val="20"/>
              </w:rPr>
            </w:pPr>
          </w:p>
        </w:tc>
        <w:tc>
          <w:tcPr>
            <w:tcW w:w="1152" w:type="dxa"/>
            <w:gridSpan w:val="4"/>
            <w:tcBorders>
              <w:top w:val="nil"/>
              <w:left w:val="nil"/>
              <w:bottom w:val="single" w:sz="8" w:space="0" w:color="auto"/>
              <w:right w:val="nil"/>
            </w:tcBorders>
            <w:shd w:val="clear" w:color="auto" w:fill="auto"/>
            <w:noWrap/>
            <w:vAlign w:val="bottom"/>
            <w:hideMark/>
          </w:tcPr>
          <w:p w14:paraId="6F9CFAC0" w14:textId="77777777" w:rsidR="00721C2E" w:rsidRPr="00721C2E" w:rsidRDefault="00721C2E" w:rsidP="00721C2E">
            <w:pPr>
              <w:spacing w:after="0" w:line="240" w:lineRule="auto"/>
              <w:jc w:val="right"/>
              <w:rPr>
                <w:rFonts w:ascii="Segoe UI" w:eastAsia="Times New Roman" w:hAnsi="Segoe UI" w:cs="Segoe UI"/>
                <w:color w:val="666666"/>
                <w:sz w:val="20"/>
                <w:szCs w:val="20"/>
              </w:rPr>
            </w:pPr>
            <w:r w:rsidRPr="00721C2E">
              <w:rPr>
                <w:rFonts w:ascii="Segoe UI" w:eastAsia="Times New Roman" w:hAnsi="Segoe UI" w:cs="Segoe UI"/>
                <w:color w:val="666666"/>
                <w:sz w:val="20"/>
                <w:szCs w:val="20"/>
              </w:rPr>
              <w:t xml:space="preserve"> $  172,384 </w:t>
            </w:r>
          </w:p>
        </w:tc>
      </w:tr>
      <w:tr w:rsidR="005366CC" w:rsidRPr="005366CC" w14:paraId="2204D100"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022FDFAD"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MICROSOFT CORPORATION</w:t>
            </w:r>
          </w:p>
        </w:tc>
        <w:tc>
          <w:tcPr>
            <w:tcW w:w="1112" w:type="dxa"/>
            <w:tcBorders>
              <w:top w:val="nil"/>
              <w:left w:val="nil"/>
              <w:bottom w:val="nil"/>
              <w:right w:val="nil"/>
            </w:tcBorders>
            <w:shd w:val="clear" w:color="auto" w:fill="auto"/>
            <w:noWrap/>
            <w:vAlign w:val="bottom"/>
            <w:hideMark/>
          </w:tcPr>
          <w:p w14:paraId="01A4B0AA"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261A21CF"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538FC793"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4DE8471A"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62FC99CB"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0FA4E96D"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449BA48F" w14:textId="77777777" w:rsidR="005366CC" w:rsidRPr="005366CC" w:rsidRDefault="005366CC" w:rsidP="005366CC">
            <w:pPr>
              <w:spacing w:after="0" w:line="240" w:lineRule="auto"/>
              <w:rPr>
                <w:rFonts w:ascii="Times New Roman" w:eastAsia="Times New Roman" w:hAnsi="Times New Roman"/>
                <w:sz w:val="20"/>
                <w:szCs w:val="20"/>
              </w:rPr>
            </w:pPr>
          </w:p>
        </w:tc>
      </w:tr>
      <w:tr w:rsidR="005366CC" w:rsidRPr="005366CC" w14:paraId="4B213241"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2DD2B8AE"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112" w:type="dxa"/>
            <w:tcBorders>
              <w:top w:val="nil"/>
              <w:left w:val="nil"/>
              <w:bottom w:val="nil"/>
              <w:right w:val="nil"/>
            </w:tcBorders>
            <w:shd w:val="clear" w:color="auto" w:fill="auto"/>
            <w:noWrap/>
            <w:vAlign w:val="bottom"/>
            <w:hideMark/>
          </w:tcPr>
          <w:p w14:paraId="0803B039"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108C395A"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6E80DF79"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610A247C"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5D2688E1"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2A5E05CB"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7410FF5B" w14:textId="77777777" w:rsidR="005366CC" w:rsidRPr="005366CC" w:rsidRDefault="005366CC" w:rsidP="005366CC">
            <w:pPr>
              <w:spacing w:after="0" w:line="240" w:lineRule="auto"/>
              <w:rPr>
                <w:rFonts w:ascii="Times New Roman" w:eastAsia="Times New Roman" w:hAnsi="Times New Roman"/>
                <w:sz w:val="20"/>
                <w:szCs w:val="20"/>
              </w:rPr>
            </w:pPr>
          </w:p>
        </w:tc>
      </w:tr>
      <w:tr w:rsidR="005366CC" w:rsidRPr="005366CC" w14:paraId="1B60BDAD" w14:textId="77777777" w:rsidTr="00C05E95">
        <w:trPr>
          <w:gridAfter w:val="1"/>
          <w:wAfter w:w="52" w:type="dxa"/>
          <w:trHeight w:val="285"/>
        </w:trPr>
        <w:tc>
          <w:tcPr>
            <w:tcW w:w="7836" w:type="dxa"/>
            <w:gridSpan w:val="11"/>
            <w:tcBorders>
              <w:top w:val="nil"/>
              <w:left w:val="nil"/>
              <w:bottom w:val="nil"/>
              <w:right w:val="nil"/>
            </w:tcBorders>
            <w:shd w:val="clear" w:color="auto" w:fill="auto"/>
            <w:noWrap/>
            <w:vAlign w:val="bottom"/>
            <w:hideMark/>
          </w:tcPr>
          <w:p w14:paraId="5391CC8A"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CASH FLOWS STATEMENTS</w:t>
            </w:r>
          </w:p>
        </w:tc>
      </w:tr>
      <w:tr w:rsidR="005366CC" w:rsidRPr="005366CC" w14:paraId="21E300E1" w14:textId="77777777" w:rsidTr="00C05E95">
        <w:trPr>
          <w:gridAfter w:val="1"/>
          <w:wAfter w:w="52" w:type="dxa"/>
          <w:trHeight w:val="285"/>
        </w:trPr>
        <w:tc>
          <w:tcPr>
            <w:tcW w:w="7836" w:type="dxa"/>
            <w:gridSpan w:val="11"/>
            <w:tcBorders>
              <w:top w:val="nil"/>
              <w:left w:val="nil"/>
              <w:bottom w:val="nil"/>
              <w:right w:val="nil"/>
            </w:tcBorders>
            <w:shd w:val="clear" w:color="auto" w:fill="auto"/>
            <w:noWrap/>
            <w:vAlign w:val="bottom"/>
            <w:hideMark/>
          </w:tcPr>
          <w:p w14:paraId="69594CC5"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(In millions)(Unaudited)</w:t>
            </w:r>
          </w:p>
        </w:tc>
      </w:tr>
      <w:tr w:rsidR="005366CC" w:rsidRPr="005366CC" w14:paraId="3C61051C"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1CA56D04"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p>
        </w:tc>
        <w:tc>
          <w:tcPr>
            <w:tcW w:w="1112" w:type="dxa"/>
            <w:tcBorders>
              <w:top w:val="nil"/>
              <w:left w:val="nil"/>
              <w:bottom w:val="nil"/>
              <w:right w:val="nil"/>
            </w:tcBorders>
            <w:shd w:val="clear" w:color="auto" w:fill="auto"/>
            <w:noWrap/>
            <w:vAlign w:val="bottom"/>
            <w:hideMark/>
          </w:tcPr>
          <w:p w14:paraId="1153EB8D"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5B80436F"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62A7D08A"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5AF82874"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7D34E0AC"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709C3452"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33902826" w14:textId="77777777" w:rsidR="005366CC" w:rsidRPr="005366CC" w:rsidRDefault="005366CC" w:rsidP="005366CC">
            <w:pPr>
              <w:spacing w:after="0" w:line="240" w:lineRule="auto"/>
              <w:jc w:val="center"/>
              <w:rPr>
                <w:rFonts w:ascii="Times New Roman" w:eastAsia="Times New Roman" w:hAnsi="Times New Roman"/>
                <w:sz w:val="20"/>
                <w:szCs w:val="20"/>
              </w:rPr>
            </w:pPr>
          </w:p>
        </w:tc>
      </w:tr>
      <w:tr w:rsidR="005366CC" w:rsidRPr="005366CC" w14:paraId="5D9606CC" w14:textId="77777777" w:rsidTr="00C05E95">
        <w:trPr>
          <w:gridAfter w:val="1"/>
          <w:wAfter w:w="52" w:type="dxa"/>
          <w:trHeight w:val="300"/>
        </w:trPr>
        <w:tc>
          <w:tcPr>
            <w:tcW w:w="3212" w:type="dxa"/>
            <w:tcBorders>
              <w:top w:val="nil"/>
              <w:left w:val="nil"/>
              <w:bottom w:val="nil"/>
              <w:right w:val="nil"/>
            </w:tcBorders>
            <w:shd w:val="clear" w:color="auto" w:fill="auto"/>
            <w:noWrap/>
            <w:vAlign w:val="bottom"/>
            <w:hideMark/>
          </w:tcPr>
          <w:p w14:paraId="710DCBB3"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2196" w:type="dxa"/>
            <w:gridSpan w:val="4"/>
            <w:vMerge w:val="restart"/>
            <w:tcBorders>
              <w:top w:val="nil"/>
              <w:left w:val="nil"/>
              <w:bottom w:val="nil"/>
              <w:right w:val="nil"/>
            </w:tcBorders>
            <w:shd w:val="clear" w:color="auto" w:fill="auto"/>
            <w:vAlign w:val="bottom"/>
            <w:hideMark/>
          </w:tcPr>
          <w:p w14:paraId="394C8BA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Three Months Ended March 31,</w:t>
            </w:r>
          </w:p>
        </w:tc>
        <w:tc>
          <w:tcPr>
            <w:tcW w:w="132" w:type="dxa"/>
            <w:tcBorders>
              <w:top w:val="nil"/>
              <w:left w:val="nil"/>
              <w:bottom w:val="nil"/>
              <w:right w:val="nil"/>
            </w:tcBorders>
            <w:shd w:val="clear" w:color="auto" w:fill="auto"/>
            <w:noWrap/>
            <w:vAlign w:val="bottom"/>
            <w:hideMark/>
          </w:tcPr>
          <w:p w14:paraId="4895BE9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2296" w:type="dxa"/>
            <w:gridSpan w:val="5"/>
            <w:vMerge w:val="restart"/>
            <w:tcBorders>
              <w:top w:val="nil"/>
              <w:left w:val="nil"/>
              <w:bottom w:val="nil"/>
              <w:right w:val="nil"/>
            </w:tcBorders>
            <w:shd w:val="clear" w:color="auto" w:fill="auto"/>
            <w:vAlign w:val="bottom"/>
            <w:hideMark/>
          </w:tcPr>
          <w:p w14:paraId="33BC65B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Nine Months Ended March 31,</w:t>
            </w:r>
          </w:p>
        </w:tc>
      </w:tr>
      <w:tr w:rsidR="005366CC" w:rsidRPr="005366CC" w14:paraId="79383251"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5F8FB59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2196" w:type="dxa"/>
            <w:gridSpan w:val="4"/>
            <w:vMerge/>
            <w:tcBorders>
              <w:top w:val="nil"/>
              <w:left w:val="nil"/>
              <w:bottom w:val="nil"/>
              <w:right w:val="nil"/>
            </w:tcBorders>
            <w:vAlign w:val="center"/>
            <w:hideMark/>
          </w:tcPr>
          <w:p w14:paraId="2736813B"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71087552" w14:textId="77777777" w:rsidR="005366CC" w:rsidRPr="005366CC" w:rsidRDefault="005366CC" w:rsidP="005366CC">
            <w:pPr>
              <w:spacing w:after="0" w:line="240" w:lineRule="auto"/>
              <w:rPr>
                <w:rFonts w:ascii="Times New Roman" w:eastAsia="Times New Roman" w:hAnsi="Times New Roman"/>
                <w:sz w:val="20"/>
                <w:szCs w:val="20"/>
              </w:rPr>
            </w:pPr>
          </w:p>
        </w:tc>
        <w:tc>
          <w:tcPr>
            <w:tcW w:w="2296" w:type="dxa"/>
            <w:gridSpan w:val="5"/>
            <w:vMerge/>
            <w:tcBorders>
              <w:top w:val="nil"/>
              <w:left w:val="nil"/>
              <w:bottom w:val="nil"/>
              <w:right w:val="nil"/>
            </w:tcBorders>
            <w:vAlign w:val="center"/>
            <w:hideMark/>
          </w:tcPr>
          <w:p w14:paraId="6C89B02A"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r>
      <w:tr w:rsidR="005366CC" w:rsidRPr="005366CC" w14:paraId="76354E2A" w14:textId="77777777" w:rsidTr="00C05E95">
        <w:trPr>
          <w:gridAfter w:val="1"/>
          <w:wAfter w:w="52" w:type="dxa"/>
          <w:trHeight w:val="285"/>
        </w:trPr>
        <w:tc>
          <w:tcPr>
            <w:tcW w:w="3212" w:type="dxa"/>
            <w:tcBorders>
              <w:top w:val="nil"/>
              <w:left w:val="nil"/>
              <w:bottom w:val="single" w:sz="4" w:space="0" w:color="auto"/>
              <w:right w:val="nil"/>
            </w:tcBorders>
            <w:shd w:val="clear" w:color="auto" w:fill="auto"/>
            <w:noWrap/>
            <w:vAlign w:val="bottom"/>
            <w:hideMark/>
          </w:tcPr>
          <w:p w14:paraId="7BEF3F63"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112" w:type="dxa"/>
            <w:tcBorders>
              <w:top w:val="nil"/>
              <w:left w:val="nil"/>
              <w:bottom w:val="single" w:sz="4" w:space="0" w:color="auto"/>
              <w:right w:val="nil"/>
            </w:tcBorders>
            <w:shd w:val="clear" w:color="auto" w:fill="auto"/>
            <w:noWrap/>
            <w:vAlign w:val="bottom"/>
            <w:hideMark/>
          </w:tcPr>
          <w:p w14:paraId="245FC3C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2015</w:t>
            </w:r>
          </w:p>
        </w:tc>
        <w:tc>
          <w:tcPr>
            <w:tcW w:w="132" w:type="dxa"/>
            <w:tcBorders>
              <w:top w:val="nil"/>
              <w:left w:val="nil"/>
              <w:bottom w:val="single" w:sz="4" w:space="0" w:color="auto"/>
              <w:right w:val="nil"/>
            </w:tcBorders>
            <w:shd w:val="clear" w:color="auto" w:fill="auto"/>
            <w:noWrap/>
            <w:vAlign w:val="bottom"/>
            <w:hideMark/>
          </w:tcPr>
          <w:p w14:paraId="08E7A60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52" w:type="dxa"/>
            <w:gridSpan w:val="2"/>
            <w:tcBorders>
              <w:top w:val="nil"/>
              <w:left w:val="nil"/>
              <w:bottom w:val="single" w:sz="4" w:space="0" w:color="auto"/>
              <w:right w:val="nil"/>
            </w:tcBorders>
            <w:shd w:val="clear" w:color="auto" w:fill="auto"/>
            <w:noWrap/>
            <w:vAlign w:val="bottom"/>
            <w:hideMark/>
          </w:tcPr>
          <w:p w14:paraId="39D84AF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2014</w:t>
            </w:r>
          </w:p>
        </w:tc>
        <w:tc>
          <w:tcPr>
            <w:tcW w:w="132" w:type="dxa"/>
            <w:tcBorders>
              <w:top w:val="nil"/>
              <w:left w:val="nil"/>
              <w:bottom w:val="single" w:sz="4" w:space="0" w:color="auto"/>
              <w:right w:val="nil"/>
            </w:tcBorders>
            <w:shd w:val="clear" w:color="auto" w:fill="auto"/>
            <w:noWrap/>
            <w:vAlign w:val="bottom"/>
            <w:hideMark/>
          </w:tcPr>
          <w:p w14:paraId="39C15820" w14:textId="77777777" w:rsidR="005366CC" w:rsidRPr="005366CC" w:rsidRDefault="005366CC" w:rsidP="005366CC">
            <w:pPr>
              <w:spacing w:after="0" w:line="240" w:lineRule="auto"/>
              <w:jc w:val="center"/>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212" w:type="dxa"/>
            <w:gridSpan w:val="3"/>
            <w:tcBorders>
              <w:top w:val="nil"/>
              <w:left w:val="nil"/>
              <w:bottom w:val="single" w:sz="4" w:space="0" w:color="auto"/>
              <w:right w:val="nil"/>
            </w:tcBorders>
            <w:shd w:val="clear" w:color="auto" w:fill="auto"/>
            <w:noWrap/>
            <w:vAlign w:val="bottom"/>
            <w:hideMark/>
          </w:tcPr>
          <w:p w14:paraId="495E8E6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2015</w:t>
            </w:r>
          </w:p>
        </w:tc>
        <w:tc>
          <w:tcPr>
            <w:tcW w:w="132" w:type="dxa"/>
            <w:tcBorders>
              <w:top w:val="nil"/>
              <w:left w:val="nil"/>
              <w:bottom w:val="single" w:sz="4" w:space="0" w:color="auto"/>
              <w:right w:val="nil"/>
            </w:tcBorders>
            <w:shd w:val="clear" w:color="auto" w:fill="auto"/>
            <w:noWrap/>
            <w:vAlign w:val="bottom"/>
            <w:hideMark/>
          </w:tcPr>
          <w:p w14:paraId="4B89E9E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auto" w:fill="auto"/>
            <w:noWrap/>
            <w:vAlign w:val="bottom"/>
            <w:hideMark/>
          </w:tcPr>
          <w:p w14:paraId="04DEE64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2014</w:t>
            </w:r>
          </w:p>
        </w:tc>
      </w:tr>
      <w:tr w:rsidR="005366CC" w:rsidRPr="005366CC" w14:paraId="240772D1"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7604A4AE"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Operations</w:t>
            </w:r>
          </w:p>
        </w:tc>
        <w:tc>
          <w:tcPr>
            <w:tcW w:w="1112" w:type="dxa"/>
            <w:tcBorders>
              <w:top w:val="nil"/>
              <w:left w:val="nil"/>
              <w:bottom w:val="nil"/>
              <w:right w:val="nil"/>
            </w:tcBorders>
            <w:shd w:val="clear" w:color="auto" w:fill="auto"/>
            <w:noWrap/>
            <w:vAlign w:val="bottom"/>
            <w:hideMark/>
          </w:tcPr>
          <w:p w14:paraId="2B2E9821"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358EF9A3"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490BBF47"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62B5D132"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74275329" w14:textId="77777777" w:rsidR="005366CC" w:rsidRPr="005366CC" w:rsidRDefault="005366CC" w:rsidP="005366CC">
            <w:pPr>
              <w:spacing w:after="0" w:line="240" w:lineRule="auto"/>
              <w:jc w:val="center"/>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23AE5098"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7156A511" w14:textId="77777777" w:rsidR="005366CC" w:rsidRPr="005366CC" w:rsidRDefault="005366CC" w:rsidP="005366CC">
            <w:pPr>
              <w:spacing w:after="0" w:line="240" w:lineRule="auto"/>
              <w:jc w:val="center"/>
              <w:rPr>
                <w:rFonts w:ascii="Times New Roman" w:eastAsia="Times New Roman" w:hAnsi="Times New Roman"/>
                <w:sz w:val="20"/>
                <w:szCs w:val="20"/>
              </w:rPr>
            </w:pPr>
          </w:p>
        </w:tc>
      </w:tr>
      <w:tr w:rsidR="005366CC" w:rsidRPr="005366CC" w14:paraId="2DD0318D"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4CCC764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Net income</w:t>
            </w:r>
          </w:p>
        </w:tc>
        <w:tc>
          <w:tcPr>
            <w:tcW w:w="1112" w:type="dxa"/>
            <w:tcBorders>
              <w:top w:val="nil"/>
              <w:left w:val="nil"/>
              <w:bottom w:val="nil"/>
              <w:right w:val="nil"/>
            </w:tcBorders>
            <w:shd w:val="clear" w:color="auto" w:fill="auto"/>
            <w:noWrap/>
            <w:vAlign w:val="bottom"/>
            <w:hideMark/>
          </w:tcPr>
          <w:p w14:paraId="5AE3083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4,985 </w:t>
            </w:r>
          </w:p>
        </w:tc>
        <w:tc>
          <w:tcPr>
            <w:tcW w:w="132" w:type="dxa"/>
            <w:tcBorders>
              <w:top w:val="nil"/>
              <w:left w:val="nil"/>
              <w:bottom w:val="nil"/>
              <w:right w:val="nil"/>
            </w:tcBorders>
            <w:shd w:val="clear" w:color="auto" w:fill="auto"/>
            <w:noWrap/>
            <w:vAlign w:val="bottom"/>
            <w:hideMark/>
          </w:tcPr>
          <w:p w14:paraId="52BE1DA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6285B34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  5,660 </w:t>
            </w:r>
          </w:p>
        </w:tc>
        <w:tc>
          <w:tcPr>
            <w:tcW w:w="132" w:type="dxa"/>
            <w:tcBorders>
              <w:top w:val="nil"/>
              <w:left w:val="nil"/>
              <w:bottom w:val="nil"/>
              <w:right w:val="nil"/>
            </w:tcBorders>
            <w:shd w:val="clear" w:color="auto" w:fill="auto"/>
            <w:noWrap/>
            <w:vAlign w:val="bottom"/>
            <w:hideMark/>
          </w:tcPr>
          <w:p w14:paraId="3E3B18B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7C30C6C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15,388 </w:t>
            </w:r>
          </w:p>
        </w:tc>
        <w:tc>
          <w:tcPr>
            <w:tcW w:w="132" w:type="dxa"/>
            <w:tcBorders>
              <w:top w:val="nil"/>
              <w:left w:val="nil"/>
              <w:bottom w:val="nil"/>
              <w:right w:val="nil"/>
            </w:tcBorders>
            <w:shd w:val="clear" w:color="auto" w:fill="auto"/>
            <w:noWrap/>
            <w:vAlign w:val="bottom"/>
            <w:hideMark/>
          </w:tcPr>
          <w:p w14:paraId="7645A78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9383ED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$17,462 </w:t>
            </w:r>
          </w:p>
        </w:tc>
      </w:tr>
      <w:tr w:rsidR="005366CC" w:rsidRPr="005366CC" w14:paraId="53B49C81" w14:textId="77777777" w:rsidTr="00C05E95">
        <w:trPr>
          <w:gridAfter w:val="1"/>
          <w:wAfter w:w="52" w:type="dxa"/>
          <w:trHeight w:val="855"/>
        </w:trPr>
        <w:tc>
          <w:tcPr>
            <w:tcW w:w="3212" w:type="dxa"/>
            <w:tcBorders>
              <w:top w:val="nil"/>
              <w:left w:val="nil"/>
              <w:bottom w:val="nil"/>
              <w:right w:val="nil"/>
            </w:tcBorders>
            <w:shd w:val="clear" w:color="auto" w:fill="auto"/>
            <w:vAlign w:val="bottom"/>
            <w:hideMark/>
          </w:tcPr>
          <w:p w14:paraId="2709A778"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Adjustments to reconcile net </w:t>
            </w:r>
            <w:r w:rsidRPr="005366CC">
              <w:rPr>
                <w:rFonts w:ascii="Segoe UI" w:eastAsia="Times New Roman" w:hAnsi="Segoe UI" w:cs="Segoe UI"/>
                <w:color w:val="666666"/>
                <w:sz w:val="20"/>
                <w:szCs w:val="20"/>
              </w:rPr>
              <w:br/>
              <w:t xml:space="preserve">   income to net cash from </w:t>
            </w:r>
            <w:r w:rsidRPr="005366CC">
              <w:rPr>
                <w:rFonts w:ascii="Segoe UI" w:eastAsia="Times New Roman" w:hAnsi="Segoe UI" w:cs="Segoe UI"/>
                <w:color w:val="666666"/>
                <w:sz w:val="20"/>
                <w:szCs w:val="20"/>
              </w:rPr>
              <w:br/>
              <w:t xml:space="preserve">   operations:</w:t>
            </w:r>
          </w:p>
        </w:tc>
        <w:tc>
          <w:tcPr>
            <w:tcW w:w="1112" w:type="dxa"/>
            <w:tcBorders>
              <w:top w:val="nil"/>
              <w:left w:val="nil"/>
              <w:bottom w:val="nil"/>
              <w:right w:val="nil"/>
            </w:tcBorders>
            <w:shd w:val="clear" w:color="auto" w:fill="auto"/>
            <w:noWrap/>
            <w:vAlign w:val="bottom"/>
            <w:hideMark/>
          </w:tcPr>
          <w:p w14:paraId="386A77BE" w14:textId="77777777" w:rsidR="005366CC" w:rsidRPr="005366CC" w:rsidRDefault="005366CC" w:rsidP="005366CC">
            <w:pPr>
              <w:spacing w:after="0" w:line="240" w:lineRule="auto"/>
              <w:rPr>
                <w:rFonts w:ascii="Segoe UI" w:eastAsia="Times New Roman" w:hAnsi="Segoe UI" w:cs="Segoe UI"/>
                <w:color w:val="666666"/>
                <w:sz w:val="20"/>
                <w:szCs w:val="20"/>
              </w:rPr>
            </w:pPr>
          </w:p>
        </w:tc>
        <w:tc>
          <w:tcPr>
            <w:tcW w:w="132" w:type="dxa"/>
            <w:tcBorders>
              <w:top w:val="nil"/>
              <w:left w:val="nil"/>
              <w:bottom w:val="nil"/>
              <w:right w:val="nil"/>
            </w:tcBorders>
            <w:shd w:val="clear" w:color="auto" w:fill="auto"/>
            <w:noWrap/>
            <w:vAlign w:val="bottom"/>
            <w:hideMark/>
          </w:tcPr>
          <w:p w14:paraId="678082FF"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482E5BB6"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35811E40"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35723B84"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7A620E9E"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1ED7B12C" w14:textId="77777777" w:rsidR="005366CC" w:rsidRPr="005366CC" w:rsidRDefault="005366CC" w:rsidP="005366CC">
            <w:pPr>
              <w:spacing w:after="0" w:line="240" w:lineRule="auto"/>
              <w:rPr>
                <w:rFonts w:ascii="Times New Roman" w:eastAsia="Times New Roman" w:hAnsi="Times New Roman"/>
                <w:sz w:val="20"/>
                <w:szCs w:val="20"/>
              </w:rPr>
            </w:pPr>
          </w:p>
        </w:tc>
      </w:tr>
      <w:tr w:rsidR="005366CC" w:rsidRPr="005366CC" w14:paraId="0A62CF56"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52E4F18E"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Depreciation, amortization, and</w:t>
            </w:r>
            <w:r w:rsidRPr="005366CC">
              <w:rPr>
                <w:rFonts w:ascii="Segoe UI" w:eastAsia="Times New Roman" w:hAnsi="Segoe UI" w:cs="Segoe UI"/>
                <w:color w:val="666666"/>
                <w:sz w:val="20"/>
                <w:szCs w:val="20"/>
              </w:rPr>
              <w:br/>
              <w:t xml:space="preserve">      other</w:t>
            </w:r>
          </w:p>
        </w:tc>
        <w:tc>
          <w:tcPr>
            <w:tcW w:w="1112" w:type="dxa"/>
            <w:tcBorders>
              <w:top w:val="nil"/>
              <w:left w:val="nil"/>
              <w:bottom w:val="nil"/>
              <w:right w:val="nil"/>
            </w:tcBorders>
            <w:shd w:val="clear" w:color="auto" w:fill="auto"/>
            <w:noWrap/>
            <w:vAlign w:val="bottom"/>
            <w:hideMark/>
          </w:tcPr>
          <w:p w14:paraId="3413B59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1,515 </w:t>
            </w:r>
          </w:p>
        </w:tc>
        <w:tc>
          <w:tcPr>
            <w:tcW w:w="132" w:type="dxa"/>
            <w:tcBorders>
              <w:top w:val="nil"/>
              <w:left w:val="nil"/>
              <w:bottom w:val="nil"/>
              <w:right w:val="nil"/>
            </w:tcBorders>
            <w:shd w:val="clear" w:color="auto" w:fill="auto"/>
            <w:noWrap/>
            <w:vAlign w:val="bottom"/>
            <w:hideMark/>
          </w:tcPr>
          <w:p w14:paraId="732B50D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5FC9AEF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1,255 </w:t>
            </w:r>
          </w:p>
        </w:tc>
        <w:tc>
          <w:tcPr>
            <w:tcW w:w="132" w:type="dxa"/>
            <w:tcBorders>
              <w:top w:val="nil"/>
              <w:left w:val="nil"/>
              <w:bottom w:val="nil"/>
              <w:right w:val="nil"/>
            </w:tcBorders>
            <w:shd w:val="clear" w:color="auto" w:fill="auto"/>
            <w:noWrap/>
            <w:vAlign w:val="bottom"/>
            <w:hideMark/>
          </w:tcPr>
          <w:p w14:paraId="5749DF4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480733F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4,464 </w:t>
            </w:r>
          </w:p>
        </w:tc>
        <w:tc>
          <w:tcPr>
            <w:tcW w:w="132" w:type="dxa"/>
            <w:tcBorders>
              <w:top w:val="nil"/>
              <w:left w:val="nil"/>
              <w:bottom w:val="nil"/>
              <w:right w:val="nil"/>
            </w:tcBorders>
            <w:shd w:val="clear" w:color="auto" w:fill="auto"/>
            <w:noWrap/>
            <w:vAlign w:val="bottom"/>
            <w:hideMark/>
          </w:tcPr>
          <w:p w14:paraId="5761FCD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52CFFE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3,470 </w:t>
            </w:r>
          </w:p>
        </w:tc>
      </w:tr>
      <w:tr w:rsidR="005366CC" w:rsidRPr="005366CC" w14:paraId="7CF18723"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0BB8DE7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Stock-based compensation</w:t>
            </w:r>
            <w:r w:rsidRPr="005366CC">
              <w:rPr>
                <w:rFonts w:ascii="Segoe UI" w:eastAsia="Times New Roman" w:hAnsi="Segoe UI" w:cs="Segoe UI"/>
                <w:color w:val="666666"/>
                <w:sz w:val="20"/>
                <w:szCs w:val="20"/>
              </w:rPr>
              <w:br/>
              <w:t xml:space="preserve">      expense</w:t>
            </w:r>
          </w:p>
        </w:tc>
        <w:tc>
          <w:tcPr>
            <w:tcW w:w="1112" w:type="dxa"/>
            <w:tcBorders>
              <w:top w:val="nil"/>
              <w:left w:val="nil"/>
              <w:bottom w:val="nil"/>
              <w:right w:val="nil"/>
            </w:tcBorders>
            <w:shd w:val="clear" w:color="auto" w:fill="auto"/>
            <w:noWrap/>
            <w:vAlign w:val="bottom"/>
            <w:hideMark/>
          </w:tcPr>
          <w:p w14:paraId="4E3BA5B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641 </w:t>
            </w:r>
          </w:p>
        </w:tc>
        <w:tc>
          <w:tcPr>
            <w:tcW w:w="132" w:type="dxa"/>
            <w:tcBorders>
              <w:top w:val="nil"/>
              <w:left w:val="nil"/>
              <w:bottom w:val="nil"/>
              <w:right w:val="nil"/>
            </w:tcBorders>
            <w:shd w:val="clear" w:color="auto" w:fill="auto"/>
            <w:noWrap/>
            <w:vAlign w:val="bottom"/>
            <w:hideMark/>
          </w:tcPr>
          <w:p w14:paraId="61505A0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629BB45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602 </w:t>
            </w:r>
          </w:p>
        </w:tc>
        <w:tc>
          <w:tcPr>
            <w:tcW w:w="132" w:type="dxa"/>
            <w:tcBorders>
              <w:top w:val="nil"/>
              <w:left w:val="nil"/>
              <w:bottom w:val="nil"/>
              <w:right w:val="nil"/>
            </w:tcBorders>
            <w:shd w:val="clear" w:color="auto" w:fill="auto"/>
            <w:noWrap/>
            <w:vAlign w:val="bottom"/>
            <w:hideMark/>
          </w:tcPr>
          <w:p w14:paraId="0A630F2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1548396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1,920 </w:t>
            </w:r>
          </w:p>
        </w:tc>
        <w:tc>
          <w:tcPr>
            <w:tcW w:w="132" w:type="dxa"/>
            <w:tcBorders>
              <w:top w:val="nil"/>
              <w:left w:val="nil"/>
              <w:bottom w:val="nil"/>
              <w:right w:val="nil"/>
            </w:tcBorders>
            <w:shd w:val="clear" w:color="auto" w:fill="auto"/>
            <w:noWrap/>
            <w:vAlign w:val="bottom"/>
            <w:hideMark/>
          </w:tcPr>
          <w:p w14:paraId="0ED0260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24E9D3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1,828 </w:t>
            </w:r>
          </w:p>
        </w:tc>
      </w:tr>
      <w:tr w:rsidR="005366CC" w:rsidRPr="005366CC" w14:paraId="2BBCCED6" w14:textId="77777777" w:rsidTr="00C05E95">
        <w:trPr>
          <w:gridAfter w:val="1"/>
          <w:wAfter w:w="52" w:type="dxa"/>
          <w:trHeight w:val="855"/>
        </w:trPr>
        <w:tc>
          <w:tcPr>
            <w:tcW w:w="3212" w:type="dxa"/>
            <w:tcBorders>
              <w:top w:val="nil"/>
              <w:left w:val="nil"/>
              <w:bottom w:val="nil"/>
              <w:right w:val="nil"/>
            </w:tcBorders>
            <w:shd w:val="clear" w:color="auto" w:fill="auto"/>
            <w:vAlign w:val="bottom"/>
            <w:hideMark/>
          </w:tcPr>
          <w:p w14:paraId="58DA533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Net recognized losses (gains)</w:t>
            </w:r>
            <w:r w:rsidRPr="005366CC">
              <w:rPr>
                <w:rFonts w:ascii="Segoe UI" w:eastAsia="Times New Roman" w:hAnsi="Segoe UI" w:cs="Segoe UI"/>
                <w:color w:val="666666"/>
                <w:sz w:val="20"/>
                <w:szCs w:val="20"/>
              </w:rPr>
              <w:br/>
              <w:t xml:space="preserve">      on investments and</w:t>
            </w:r>
            <w:r w:rsidRPr="005366CC">
              <w:rPr>
                <w:rFonts w:ascii="Segoe UI" w:eastAsia="Times New Roman" w:hAnsi="Segoe UI" w:cs="Segoe UI"/>
                <w:color w:val="666666"/>
                <w:sz w:val="20"/>
                <w:szCs w:val="20"/>
              </w:rPr>
              <w:br/>
              <w:t xml:space="preserve">      derivatives</w:t>
            </w:r>
          </w:p>
        </w:tc>
        <w:tc>
          <w:tcPr>
            <w:tcW w:w="1112" w:type="dxa"/>
            <w:tcBorders>
              <w:top w:val="nil"/>
              <w:left w:val="nil"/>
              <w:bottom w:val="nil"/>
              <w:right w:val="nil"/>
            </w:tcBorders>
            <w:shd w:val="clear" w:color="auto" w:fill="auto"/>
            <w:noWrap/>
            <w:vAlign w:val="bottom"/>
            <w:hideMark/>
          </w:tcPr>
          <w:p w14:paraId="4AB6FE1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(55)</w:t>
            </w:r>
          </w:p>
        </w:tc>
        <w:tc>
          <w:tcPr>
            <w:tcW w:w="132" w:type="dxa"/>
            <w:tcBorders>
              <w:top w:val="nil"/>
              <w:left w:val="nil"/>
              <w:bottom w:val="nil"/>
              <w:right w:val="nil"/>
            </w:tcBorders>
            <w:shd w:val="clear" w:color="auto" w:fill="auto"/>
            <w:noWrap/>
            <w:vAlign w:val="bottom"/>
            <w:hideMark/>
          </w:tcPr>
          <w:p w14:paraId="693E3FB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141E883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(40)</w:t>
            </w:r>
          </w:p>
        </w:tc>
        <w:tc>
          <w:tcPr>
            <w:tcW w:w="132" w:type="dxa"/>
            <w:tcBorders>
              <w:top w:val="nil"/>
              <w:left w:val="nil"/>
              <w:bottom w:val="nil"/>
              <w:right w:val="nil"/>
            </w:tcBorders>
            <w:shd w:val="clear" w:color="auto" w:fill="auto"/>
            <w:noWrap/>
            <w:vAlign w:val="bottom"/>
            <w:hideMark/>
          </w:tcPr>
          <w:p w14:paraId="725CD68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6E9E375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(179)</w:t>
            </w:r>
          </w:p>
        </w:tc>
        <w:tc>
          <w:tcPr>
            <w:tcW w:w="132" w:type="dxa"/>
            <w:tcBorders>
              <w:top w:val="nil"/>
              <w:left w:val="nil"/>
              <w:bottom w:val="nil"/>
              <w:right w:val="nil"/>
            </w:tcBorders>
            <w:shd w:val="clear" w:color="auto" w:fill="auto"/>
            <w:noWrap/>
            <w:vAlign w:val="bottom"/>
            <w:hideMark/>
          </w:tcPr>
          <w:p w14:paraId="46BD865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FD7253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100 </w:t>
            </w:r>
          </w:p>
        </w:tc>
      </w:tr>
      <w:tr w:rsidR="005366CC" w:rsidRPr="005366CC" w14:paraId="2471BB1B"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05579F6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Excess tax benefits from</w:t>
            </w:r>
            <w:r w:rsidRPr="005366CC">
              <w:rPr>
                <w:rFonts w:ascii="Segoe UI" w:eastAsia="Times New Roman" w:hAnsi="Segoe UI" w:cs="Segoe UI"/>
                <w:color w:val="666666"/>
                <w:sz w:val="20"/>
                <w:szCs w:val="20"/>
              </w:rPr>
              <w:br/>
              <w:t xml:space="preserve">      stock-based compensation</w:t>
            </w:r>
          </w:p>
        </w:tc>
        <w:tc>
          <w:tcPr>
            <w:tcW w:w="1112" w:type="dxa"/>
            <w:tcBorders>
              <w:top w:val="nil"/>
              <w:left w:val="nil"/>
              <w:bottom w:val="nil"/>
              <w:right w:val="nil"/>
            </w:tcBorders>
            <w:shd w:val="clear" w:color="auto" w:fill="auto"/>
            <w:noWrap/>
            <w:vAlign w:val="bottom"/>
            <w:hideMark/>
          </w:tcPr>
          <w:p w14:paraId="0D8B7DC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(31)</w:t>
            </w:r>
          </w:p>
        </w:tc>
        <w:tc>
          <w:tcPr>
            <w:tcW w:w="132" w:type="dxa"/>
            <w:tcBorders>
              <w:top w:val="nil"/>
              <w:left w:val="nil"/>
              <w:bottom w:val="nil"/>
              <w:right w:val="nil"/>
            </w:tcBorders>
            <w:shd w:val="clear" w:color="auto" w:fill="auto"/>
            <w:noWrap/>
            <w:vAlign w:val="bottom"/>
            <w:hideMark/>
          </w:tcPr>
          <w:p w14:paraId="3B64EDB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2A008F0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(22)</w:t>
            </w:r>
          </w:p>
        </w:tc>
        <w:tc>
          <w:tcPr>
            <w:tcW w:w="132" w:type="dxa"/>
            <w:tcBorders>
              <w:top w:val="nil"/>
              <w:left w:val="nil"/>
              <w:bottom w:val="nil"/>
              <w:right w:val="nil"/>
            </w:tcBorders>
            <w:shd w:val="clear" w:color="auto" w:fill="auto"/>
            <w:noWrap/>
            <w:vAlign w:val="bottom"/>
            <w:hideMark/>
          </w:tcPr>
          <w:p w14:paraId="727CAC1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33E26A9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(555)</w:t>
            </w:r>
          </w:p>
        </w:tc>
        <w:tc>
          <w:tcPr>
            <w:tcW w:w="132" w:type="dxa"/>
            <w:tcBorders>
              <w:top w:val="nil"/>
              <w:left w:val="nil"/>
              <w:bottom w:val="nil"/>
              <w:right w:val="nil"/>
            </w:tcBorders>
            <w:shd w:val="clear" w:color="auto" w:fill="auto"/>
            <w:noWrap/>
            <w:vAlign w:val="bottom"/>
            <w:hideMark/>
          </w:tcPr>
          <w:p w14:paraId="1020B98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5279C46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(247)</w:t>
            </w:r>
          </w:p>
        </w:tc>
      </w:tr>
      <w:tr w:rsidR="005366CC" w:rsidRPr="005366CC" w14:paraId="78E2E697"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3A23BA0C"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Deferred income taxes</w:t>
            </w:r>
          </w:p>
        </w:tc>
        <w:tc>
          <w:tcPr>
            <w:tcW w:w="1112" w:type="dxa"/>
            <w:tcBorders>
              <w:top w:val="nil"/>
              <w:left w:val="nil"/>
              <w:bottom w:val="nil"/>
              <w:right w:val="nil"/>
            </w:tcBorders>
            <w:shd w:val="clear" w:color="auto" w:fill="auto"/>
            <w:noWrap/>
            <w:vAlign w:val="bottom"/>
            <w:hideMark/>
          </w:tcPr>
          <w:p w14:paraId="07A543E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253 </w:t>
            </w:r>
          </w:p>
        </w:tc>
        <w:tc>
          <w:tcPr>
            <w:tcW w:w="132" w:type="dxa"/>
            <w:tcBorders>
              <w:top w:val="nil"/>
              <w:left w:val="nil"/>
              <w:bottom w:val="nil"/>
              <w:right w:val="nil"/>
            </w:tcBorders>
            <w:shd w:val="clear" w:color="auto" w:fill="auto"/>
            <w:noWrap/>
            <w:vAlign w:val="bottom"/>
            <w:hideMark/>
          </w:tcPr>
          <w:p w14:paraId="6A2A3A0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7100DAD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(190)</w:t>
            </w:r>
          </w:p>
        </w:tc>
        <w:tc>
          <w:tcPr>
            <w:tcW w:w="132" w:type="dxa"/>
            <w:tcBorders>
              <w:top w:val="nil"/>
              <w:left w:val="nil"/>
              <w:bottom w:val="nil"/>
              <w:right w:val="nil"/>
            </w:tcBorders>
            <w:shd w:val="clear" w:color="auto" w:fill="auto"/>
            <w:noWrap/>
            <w:vAlign w:val="bottom"/>
            <w:hideMark/>
          </w:tcPr>
          <w:p w14:paraId="48D90C3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49B6F2E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868 </w:t>
            </w:r>
          </w:p>
        </w:tc>
        <w:tc>
          <w:tcPr>
            <w:tcW w:w="132" w:type="dxa"/>
            <w:tcBorders>
              <w:top w:val="nil"/>
              <w:left w:val="nil"/>
              <w:bottom w:val="nil"/>
              <w:right w:val="nil"/>
            </w:tcBorders>
            <w:shd w:val="clear" w:color="auto" w:fill="auto"/>
            <w:noWrap/>
            <w:vAlign w:val="bottom"/>
            <w:hideMark/>
          </w:tcPr>
          <w:p w14:paraId="0A9135A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FC30D51"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38 </w:t>
            </w:r>
          </w:p>
        </w:tc>
      </w:tr>
      <w:tr w:rsidR="005366CC" w:rsidRPr="005366CC" w14:paraId="20CF8F72"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33B52CF6"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Deferral of unearned revenue</w:t>
            </w:r>
          </w:p>
        </w:tc>
        <w:tc>
          <w:tcPr>
            <w:tcW w:w="1112" w:type="dxa"/>
            <w:tcBorders>
              <w:top w:val="nil"/>
              <w:left w:val="nil"/>
              <w:bottom w:val="nil"/>
              <w:right w:val="nil"/>
            </w:tcBorders>
            <w:shd w:val="clear" w:color="auto" w:fill="auto"/>
            <w:noWrap/>
            <w:vAlign w:val="bottom"/>
            <w:hideMark/>
          </w:tcPr>
          <w:p w14:paraId="488AA7D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10,163 </w:t>
            </w:r>
          </w:p>
        </w:tc>
        <w:tc>
          <w:tcPr>
            <w:tcW w:w="132" w:type="dxa"/>
            <w:tcBorders>
              <w:top w:val="nil"/>
              <w:left w:val="nil"/>
              <w:bottom w:val="nil"/>
              <w:right w:val="nil"/>
            </w:tcBorders>
            <w:shd w:val="clear" w:color="auto" w:fill="auto"/>
            <w:noWrap/>
            <w:vAlign w:val="bottom"/>
            <w:hideMark/>
          </w:tcPr>
          <w:p w14:paraId="0A54DD9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74C5831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10,175 </w:t>
            </w:r>
          </w:p>
        </w:tc>
        <w:tc>
          <w:tcPr>
            <w:tcW w:w="132" w:type="dxa"/>
            <w:tcBorders>
              <w:top w:val="nil"/>
              <w:left w:val="nil"/>
              <w:bottom w:val="nil"/>
              <w:right w:val="nil"/>
            </w:tcBorders>
            <w:shd w:val="clear" w:color="auto" w:fill="auto"/>
            <w:noWrap/>
            <w:vAlign w:val="bottom"/>
            <w:hideMark/>
          </w:tcPr>
          <w:p w14:paraId="584384D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314B0FE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28,385 </w:t>
            </w:r>
          </w:p>
        </w:tc>
        <w:tc>
          <w:tcPr>
            <w:tcW w:w="132" w:type="dxa"/>
            <w:tcBorders>
              <w:top w:val="nil"/>
              <w:left w:val="nil"/>
              <w:bottom w:val="nil"/>
              <w:right w:val="nil"/>
            </w:tcBorders>
            <w:shd w:val="clear" w:color="auto" w:fill="auto"/>
            <w:noWrap/>
            <w:vAlign w:val="bottom"/>
            <w:hideMark/>
          </w:tcPr>
          <w:p w14:paraId="27AD0F4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353080F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27,456 </w:t>
            </w:r>
          </w:p>
        </w:tc>
      </w:tr>
      <w:tr w:rsidR="005366CC" w:rsidRPr="005366CC" w14:paraId="25C618C4"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55BEBF7C"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Recognition of unearned</w:t>
            </w:r>
            <w:r w:rsidRPr="005366CC">
              <w:rPr>
                <w:rFonts w:ascii="Segoe UI" w:eastAsia="Times New Roman" w:hAnsi="Segoe UI" w:cs="Segoe UI"/>
                <w:color w:val="666666"/>
                <w:sz w:val="20"/>
                <w:szCs w:val="20"/>
              </w:rPr>
              <w:br/>
              <w:t xml:space="preserve">      revenue</w:t>
            </w:r>
          </w:p>
        </w:tc>
        <w:tc>
          <w:tcPr>
            <w:tcW w:w="1112" w:type="dxa"/>
            <w:tcBorders>
              <w:top w:val="nil"/>
              <w:left w:val="nil"/>
              <w:bottom w:val="nil"/>
              <w:right w:val="nil"/>
            </w:tcBorders>
            <w:shd w:val="clear" w:color="auto" w:fill="auto"/>
            <w:noWrap/>
            <w:vAlign w:val="bottom"/>
            <w:hideMark/>
          </w:tcPr>
          <w:p w14:paraId="11C4E54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(11,209)</w:t>
            </w:r>
          </w:p>
        </w:tc>
        <w:tc>
          <w:tcPr>
            <w:tcW w:w="132" w:type="dxa"/>
            <w:tcBorders>
              <w:top w:val="nil"/>
              <w:left w:val="nil"/>
              <w:bottom w:val="nil"/>
              <w:right w:val="nil"/>
            </w:tcBorders>
            <w:shd w:val="clear" w:color="auto" w:fill="auto"/>
            <w:noWrap/>
            <w:vAlign w:val="bottom"/>
            <w:hideMark/>
          </w:tcPr>
          <w:p w14:paraId="499D41A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30EC10C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(10,139)</w:t>
            </w:r>
          </w:p>
        </w:tc>
        <w:tc>
          <w:tcPr>
            <w:tcW w:w="132" w:type="dxa"/>
            <w:tcBorders>
              <w:top w:val="nil"/>
              <w:left w:val="nil"/>
              <w:bottom w:val="nil"/>
              <w:right w:val="nil"/>
            </w:tcBorders>
            <w:shd w:val="clear" w:color="auto" w:fill="auto"/>
            <w:noWrap/>
            <w:vAlign w:val="bottom"/>
            <w:hideMark/>
          </w:tcPr>
          <w:p w14:paraId="6B4CD18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7D0FE29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(33,347)</w:t>
            </w:r>
          </w:p>
        </w:tc>
        <w:tc>
          <w:tcPr>
            <w:tcW w:w="132" w:type="dxa"/>
            <w:tcBorders>
              <w:top w:val="nil"/>
              <w:left w:val="nil"/>
              <w:bottom w:val="nil"/>
              <w:right w:val="nil"/>
            </w:tcBorders>
            <w:shd w:val="clear" w:color="auto" w:fill="auto"/>
            <w:noWrap/>
            <w:vAlign w:val="bottom"/>
            <w:hideMark/>
          </w:tcPr>
          <w:p w14:paraId="6574A91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47871F3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(30,394)</w:t>
            </w:r>
          </w:p>
        </w:tc>
      </w:tr>
      <w:tr w:rsidR="005366CC" w:rsidRPr="005366CC" w14:paraId="2CC07696"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3BB0D41F"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Changes in operating assets</w:t>
            </w:r>
            <w:r w:rsidRPr="005366CC">
              <w:rPr>
                <w:rFonts w:ascii="Segoe UI" w:eastAsia="Times New Roman" w:hAnsi="Segoe UI" w:cs="Segoe UI"/>
                <w:color w:val="666666"/>
                <w:sz w:val="20"/>
                <w:szCs w:val="20"/>
              </w:rPr>
              <w:br/>
              <w:t xml:space="preserve">      and liabilities:</w:t>
            </w:r>
          </w:p>
        </w:tc>
        <w:tc>
          <w:tcPr>
            <w:tcW w:w="1112" w:type="dxa"/>
            <w:tcBorders>
              <w:top w:val="nil"/>
              <w:left w:val="nil"/>
              <w:bottom w:val="nil"/>
              <w:right w:val="nil"/>
            </w:tcBorders>
            <w:shd w:val="clear" w:color="auto" w:fill="auto"/>
            <w:noWrap/>
            <w:vAlign w:val="bottom"/>
            <w:hideMark/>
          </w:tcPr>
          <w:p w14:paraId="09C67697" w14:textId="77777777" w:rsidR="005366CC" w:rsidRPr="005366CC" w:rsidRDefault="005366CC" w:rsidP="005366CC">
            <w:pPr>
              <w:spacing w:after="0" w:line="240" w:lineRule="auto"/>
              <w:rPr>
                <w:rFonts w:ascii="Segoe UI" w:eastAsia="Times New Roman" w:hAnsi="Segoe UI" w:cs="Segoe UI"/>
                <w:color w:val="666666"/>
                <w:sz w:val="20"/>
                <w:szCs w:val="20"/>
              </w:rPr>
            </w:pPr>
          </w:p>
        </w:tc>
        <w:tc>
          <w:tcPr>
            <w:tcW w:w="132" w:type="dxa"/>
            <w:tcBorders>
              <w:top w:val="nil"/>
              <w:left w:val="nil"/>
              <w:bottom w:val="nil"/>
              <w:right w:val="nil"/>
            </w:tcBorders>
            <w:shd w:val="clear" w:color="auto" w:fill="auto"/>
            <w:noWrap/>
            <w:vAlign w:val="bottom"/>
            <w:hideMark/>
          </w:tcPr>
          <w:p w14:paraId="1DC043B8"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73F29A8B"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3D1FC93F"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07784E61"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2D63A692"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62FA05E1" w14:textId="77777777" w:rsidR="005366CC" w:rsidRPr="005366CC" w:rsidRDefault="005366CC" w:rsidP="005366CC">
            <w:pPr>
              <w:spacing w:after="0" w:line="240" w:lineRule="auto"/>
              <w:rPr>
                <w:rFonts w:ascii="Times New Roman" w:eastAsia="Times New Roman" w:hAnsi="Times New Roman"/>
                <w:sz w:val="20"/>
                <w:szCs w:val="20"/>
              </w:rPr>
            </w:pPr>
          </w:p>
        </w:tc>
      </w:tr>
      <w:tr w:rsidR="005366CC" w:rsidRPr="005366CC" w14:paraId="172F7D31"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6E9216E8"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Accounts receivable</w:t>
            </w:r>
          </w:p>
        </w:tc>
        <w:tc>
          <w:tcPr>
            <w:tcW w:w="1112" w:type="dxa"/>
            <w:tcBorders>
              <w:top w:val="nil"/>
              <w:left w:val="nil"/>
              <w:bottom w:val="nil"/>
              <w:right w:val="nil"/>
            </w:tcBorders>
            <w:shd w:val="clear" w:color="auto" w:fill="auto"/>
            <w:noWrap/>
            <w:vAlign w:val="bottom"/>
            <w:hideMark/>
          </w:tcPr>
          <w:p w14:paraId="7585A7E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3,655 </w:t>
            </w:r>
          </w:p>
        </w:tc>
        <w:tc>
          <w:tcPr>
            <w:tcW w:w="132" w:type="dxa"/>
            <w:tcBorders>
              <w:top w:val="nil"/>
              <w:left w:val="nil"/>
              <w:bottom w:val="nil"/>
              <w:right w:val="nil"/>
            </w:tcBorders>
            <w:shd w:val="clear" w:color="auto" w:fill="auto"/>
            <w:noWrap/>
            <w:vAlign w:val="bottom"/>
            <w:hideMark/>
          </w:tcPr>
          <w:p w14:paraId="23866EA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774EF51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2,501 </w:t>
            </w:r>
          </w:p>
        </w:tc>
        <w:tc>
          <w:tcPr>
            <w:tcW w:w="132" w:type="dxa"/>
            <w:tcBorders>
              <w:top w:val="nil"/>
              <w:left w:val="nil"/>
              <w:bottom w:val="nil"/>
              <w:right w:val="nil"/>
            </w:tcBorders>
            <w:shd w:val="clear" w:color="auto" w:fill="auto"/>
            <w:noWrap/>
            <w:vAlign w:val="bottom"/>
            <w:hideMark/>
          </w:tcPr>
          <w:p w14:paraId="2B1E8FE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4E83BBF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6,904 </w:t>
            </w:r>
          </w:p>
        </w:tc>
        <w:tc>
          <w:tcPr>
            <w:tcW w:w="132" w:type="dxa"/>
            <w:tcBorders>
              <w:top w:val="nil"/>
              <w:left w:val="nil"/>
              <w:bottom w:val="nil"/>
              <w:right w:val="nil"/>
            </w:tcBorders>
            <w:shd w:val="clear" w:color="auto" w:fill="auto"/>
            <w:noWrap/>
            <w:vAlign w:val="bottom"/>
            <w:hideMark/>
          </w:tcPr>
          <w:p w14:paraId="2ECF59F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3BAFAA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4,243 </w:t>
            </w:r>
          </w:p>
        </w:tc>
      </w:tr>
      <w:tr w:rsidR="005366CC" w:rsidRPr="005366CC" w14:paraId="5526ECEF"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13E27913"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Inventories</w:t>
            </w:r>
          </w:p>
        </w:tc>
        <w:tc>
          <w:tcPr>
            <w:tcW w:w="1112" w:type="dxa"/>
            <w:tcBorders>
              <w:top w:val="nil"/>
              <w:left w:val="nil"/>
              <w:bottom w:val="nil"/>
              <w:right w:val="nil"/>
            </w:tcBorders>
            <w:shd w:val="clear" w:color="auto" w:fill="auto"/>
            <w:noWrap/>
            <w:vAlign w:val="bottom"/>
            <w:hideMark/>
          </w:tcPr>
          <w:p w14:paraId="724B912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(430)</w:t>
            </w:r>
          </w:p>
        </w:tc>
        <w:tc>
          <w:tcPr>
            <w:tcW w:w="132" w:type="dxa"/>
            <w:tcBorders>
              <w:top w:val="nil"/>
              <w:left w:val="nil"/>
              <w:bottom w:val="nil"/>
              <w:right w:val="nil"/>
            </w:tcBorders>
            <w:shd w:val="clear" w:color="auto" w:fill="auto"/>
            <w:noWrap/>
            <w:vAlign w:val="bottom"/>
            <w:hideMark/>
          </w:tcPr>
          <w:p w14:paraId="580DBC9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220A060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(324)</w:t>
            </w:r>
          </w:p>
        </w:tc>
        <w:tc>
          <w:tcPr>
            <w:tcW w:w="132" w:type="dxa"/>
            <w:tcBorders>
              <w:top w:val="nil"/>
              <w:left w:val="nil"/>
              <w:bottom w:val="nil"/>
              <w:right w:val="nil"/>
            </w:tcBorders>
            <w:shd w:val="clear" w:color="auto" w:fill="auto"/>
            <w:noWrap/>
            <w:vAlign w:val="bottom"/>
            <w:hideMark/>
          </w:tcPr>
          <w:p w14:paraId="7596852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2A7EE2A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157 </w:t>
            </w:r>
          </w:p>
        </w:tc>
        <w:tc>
          <w:tcPr>
            <w:tcW w:w="132" w:type="dxa"/>
            <w:tcBorders>
              <w:top w:val="nil"/>
              <w:left w:val="nil"/>
              <w:bottom w:val="nil"/>
              <w:right w:val="nil"/>
            </w:tcBorders>
            <w:shd w:val="clear" w:color="auto" w:fill="auto"/>
            <w:noWrap/>
            <w:vAlign w:val="bottom"/>
            <w:hideMark/>
          </w:tcPr>
          <w:p w14:paraId="60C96D5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A74928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38 </w:t>
            </w:r>
          </w:p>
        </w:tc>
      </w:tr>
      <w:tr w:rsidR="005366CC" w:rsidRPr="005366CC" w14:paraId="66661C67"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515C722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Other current assets</w:t>
            </w:r>
          </w:p>
        </w:tc>
        <w:tc>
          <w:tcPr>
            <w:tcW w:w="1112" w:type="dxa"/>
            <w:tcBorders>
              <w:top w:val="nil"/>
              <w:left w:val="nil"/>
              <w:bottom w:val="nil"/>
              <w:right w:val="nil"/>
            </w:tcBorders>
            <w:shd w:val="clear" w:color="auto" w:fill="auto"/>
            <w:noWrap/>
            <w:vAlign w:val="bottom"/>
            <w:hideMark/>
          </w:tcPr>
          <w:p w14:paraId="629325A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(111)</w:t>
            </w:r>
          </w:p>
        </w:tc>
        <w:tc>
          <w:tcPr>
            <w:tcW w:w="132" w:type="dxa"/>
            <w:tcBorders>
              <w:top w:val="nil"/>
              <w:left w:val="nil"/>
              <w:bottom w:val="nil"/>
              <w:right w:val="nil"/>
            </w:tcBorders>
            <w:shd w:val="clear" w:color="auto" w:fill="auto"/>
            <w:noWrap/>
            <w:vAlign w:val="bottom"/>
            <w:hideMark/>
          </w:tcPr>
          <w:p w14:paraId="4217F39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2BE9FBF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340 </w:t>
            </w:r>
          </w:p>
        </w:tc>
        <w:tc>
          <w:tcPr>
            <w:tcW w:w="132" w:type="dxa"/>
            <w:tcBorders>
              <w:top w:val="nil"/>
              <w:left w:val="nil"/>
              <w:bottom w:val="nil"/>
              <w:right w:val="nil"/>
            </w:tcBorders>
            <w:shd w:val="clear" w:color="auto" w:fill="auto"/>
            <w:noWrap/>
            <w:vAlign w:val="bottom"/>
            <w:hideMark/>
          </w:tcPr>
          <w:p w14:paraId="4A733CF1"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41F5D51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(550)</w:t>
            </w:r>
          </w:p>
        </w:tc>
        <w:tc>
          <w:tcPr>
            <w:tcW w:w="132" w:type="dxa"/>
            <w:tcBorders>
              <w:top w:val="nil"/>
              <w:left w:val="nil"/>
              <w:bottom w:val="nil"/>
              <w:right w:val="nil"/>
            </w:tcBorders>
            <w:shd w:val="clear" w:color="auto" w:fill="auto"/>
            <w:noWrap/>
            <w:vAlign w:val="bottom"/>
            <w:hideMark/>
          </w:tcPr>
          <w:p w14:paraId="0EFC067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591689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(311)</w:t>
            </w:r>
          </w:p>
        </w:tc>
      </w:tr>
      <w:tr w:rsidR="005366CC" w:rsidRPr="005366CC" w14:paraId="18EB9A23"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765C9A6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Other long-term assets</w:t>
            </w:r>
          </w:p>
        </w:tc>
        <w:tc>
          <w:tcPr>
            <w:tcW w:w="1112" w:type="dxa"/>
            <w:tcBorders>
              <w:top w:val="nil"/>
              <w:left w:val="nil"/>
              <w:bottom w:val="nil"/>
              <w:right w:val="nil"/>
            </w:tcBorders>
            <w:shd w:val="clear" w:color="auto" w:fill="auto"/>
            <w:noWrap/>
            <w:vAlign w:val="bottom"/>
            <w:hideMark/>
          </w:tcPr>
          <w:p w14:paraId="599CF68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(108)</w:t>
            </w:r>
          </w:p>
        </w:tc>
        <w:tc>
          <w:tcPr>
            <w:tcW w:w="132" w:type="dxa"/>
            <w:tcBorders>
              <w:top w:val="nil"/>
              <w:left w:val="nil"/>
              <w:bottom w:val="nil"/>
              <w:right w:val="nil"/>
            </w:tcBorders>
            <w:shd w:val="clear" w:color="auto" w:fill="auto"/>
            <w:noWrap/>
            <w:vAlign w:val="bottom"/>
            <w:hideMark/>
          </w:tcPr>
          <w:p w14:paraId="75A9819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02DE3A3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(73)</w:t>
            </w:r>
          </w:p>
        </w:tc>
        <w:tc>
          <w:tcPr>
            <w:tcW w:w="132" w:type="dxa"/>
            <w:tcBorders>
              <w:top w:val="nil"/>
              <w:left w:val="nil"/>
              <w:bottom w:val="nil"/>
              <w:right w:val="nil"/>
            </w:tcBorders>
            <w:shd w:val="clear" w:color="auto" w:fill="auto"/>
            <w:noWrap/>
            <w:vAlign w:val="bottom"/>
            <w:hideMark/>
          </w:tcPr>
          <w:p w14:paraId="226BB28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18ACFCD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341 </w:t>
            </w:r>
          </w:p>
        </w:tc>
        <w:tc>
          <w:tcPr>
            <w:tcW w:w="132" w:type="dxa"/>
            <w:tcBorders>
              <w:top w:val="nil"/>
              <w:left w:val="nil"/>
              <w:bottom w:val="nil"/>
              <w:right w:val="nil"/>
            </w:tcBorders>
            <w:shd w:val="clear" w:color="auto" w:fill="auto"/>
            <w:noWrap/>
            <w:vAlign w:val="bottom"/>
            <w:hideMark/>
          </w:tcPr>
          <w:p w14:paraId="3F6D01D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53EBD23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(469)</w:t>
            </w:r>
          </w:p>
        </w:tc>
      </w:tr>
      <w:tr w:rsidR="005366CC" w:rsidRPr="005366CC" w14:paraId="3C012965"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2184FF9E"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Accounts payable</w:t>
            </w:r>
          </w:p>
        </w:tc>
        <w:tc>
          <w:tcPr>
            <w:tcW w:w="1112" w:type="dxa"/>
            <w:tcBorders>
              <w:top w:val="nil"/>
              <w:left w:val="nil"/>
              <w:bottom w:val="nil"/>
              <w:right w:val="nil"/>
            </w:tcBorders>
            <w:shd w:val="clear" w:color="auto" w:fill="auto"/>
            <w:noWrap/>
            <w:vAlign w:val="bottom"/>
            <w:hideMark/>
          </w:tcPr>
          <w:p w14:paraId="064F0E2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(390)</w:t>
            </w:r>
          </w:p>
        </w:tc>
        <w:tc>
          <w:tcPr>
            <w:tcW w:w="132" w:type="dxa"/>
            <w:tcBorders>
              <w:top w:val="nil"/>
              <w:left w:val="nil"/>
              <w:bottom w:val="nil"/>
              <w:right w:val="nil"/>
            </w:tcBorders>
            <w:shd w:val="clear" w:color="auto" w:fill="auto"/>
            <w:noWrap/>
            <w:vAlign w:val="bottom"/>
            <w:hideMark/>
          </w:tcPr>
          <w:p w14:paraId="21DE485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6789A2C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(716)</w:t>
            </w:r>
          </w:p>
        </w:tc>
        <w:tc>
          <w:tcPr>
            <w:tcW w:w="132" w:type="dxa"/>
            <w:tcBorders>
              <w:top w:val="nil"/>
              <w:left w:val="nil"/>
              <w:bottom w:val="nil"/>
              <w:right w:val="nil"/>
            </w:tcBorders>
            <w:shd w:val="clear" w:color="auto" w:fill="auto"/>
            <w:noWrap/>
            <w:vAlign w:val="bottom"/>
            <w:hideMark/>
          </w:tcPr>
          <w:p w14:paraId="26363AC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0978DA2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(912)</w:t>
            </w:r>
          </w:p>
        </w:tc>
        <w:tc>
          <w:tcPr>
            <w:tcW w:w="132" w:type="dxa"/>
            <w:tcBorders>
              <w:top w:val="nil"/>
              <w:left w:val="nil"/>
              <w:bottom w:val="nil"/>
              <w:right w:val="nil"/>
            </w:tcBorders>
            <w:shd w:val="clear" w:color="auto" w:fill="auto"/>
            <w:noWrap/>
            <w:vAlign w:val="bottom"/>
            <w:hideMark/>
          </w:tcPr>
          <w:p w14:paraId="7C54D98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5E2B3E4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(390)</w:t>
            </w:r>
          </w:p>
        </w:tc>
      </w:tr>
      <w:tr w:rsidR="005366CC" w:rsidRPr="005366CC" w14:paraId="20F5DA63"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139DEE59"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Other current liabilities</w:t>
            </w:r>
          </w:p>
        </w:tc>
        <w:tc>
          <w:tcPr>
            <w:tcW w:w="1112" w:type="dxa"/>
            <w:tcBorders>
              <w:top w:val="nil"/>
              <w:left w:val="nil"/>
              <w:bottom w:val="nil"/>
              <w:right w:val="nil"/>
            </w:tcBorders>
            <w:shd w:val="clear" w:color="auto" w:fill="auto"/>
            <w:noWrap/>
            <w:vAlign w:val="bottom"/>
            <w:hideMark/>
          </w:tcPr>
          <w:p w14:paraId="2CCD79F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200 </w:t>
            </w:r>
          </w:p>
        </w:tc>
        <w:tc>
          <w:tcPr>
            <w:tcW w:w="132" w:type="dxa"/>
            <w:tcBorders>
              <w:top w:val="nil"/>
              <w:left w:val="nil"/>
              <w:bottom w:val="nil"/>
              <w:right w:val="nil"/>
            </w:tcBorders>
            <w:shd w:val="clear" w:color="auto" w:fill="auto"/>
            <w:noWrap/>
            <w:vAlign w:val="bottom"/>
            <w:hideMark/>
          </w:tcPr>
          <w:p w14:paraId="61CCC3F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078675E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870 </w:t>
            </w:r>
          </w:p>
        </w:tc>
        <w:tc>
          <w:tcPr>
            <w:tcW w:w="132" w:type="dxa"/>
            <w:tcBorders>
              <w:top w:val="nil"/>
              <w:left w:val="nil"/>
              <w:bottom w:val="nil"/>
              <w:right w:val="nil"/>
            </w:tcBorders>
            <w:shd w:val="clear" w:color="auto" w:fill="auto"/>
            <w:noWrap/>
            <w:vAlign w:val="bottom"/>
            <w:hideMark/>
          </w:tcPr>
          <w:p w14:paraId="4C6702D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26E450E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(1,952)</w:t>
            </w:r>
          </w:p>
        </w:tc>
        <w:tc>
          <w:tcPr>
            <w:tcW w:w="132" w:type="dxa"/>
            <w:tcBorders>
              <w:top w:val="nil"/>
              <w:left w:val="nil"/>
              <w:bottom w:val="nil"/>
              <w:right w:val="nil"/>
            </w:tcBorders>
            <w:shd w:val="clear" w:color="auto" w:fill="auto"/>
            <w:noWrap/>
            <w:vAlign w:val="bottom"/>
            <w:hideMark/>
          </w:tcPr>
          <w:p w14:paraId="2000E8F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5DF5276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 </w:t>
            </w:r>
          </w:p>
        </w:tc>
      </w:tr>
      <w:tr w:rsidR="005366CC" w:rsidRPr="005366CC" w14:paraId="53E34517" w14:textId="77777777" w:rsidTr="00C05E95">
        <w:trPr>
          <w:gridAfter w:val="1"/>
          <w:wAfter w:w="52" w:type="dxa"/>
          <w:trHeight w:val="285"/>
        </w:trPr>
        <w:tc>
          <w:tcPr>
            <w:tcW w:w="3212" w:type="dxa"/>
            <w:tcBorders>
              <w:top w:val="nil"/>
              <w:left w:val="nil"/>
              <w:bottom w:val="single" w:sz="4" w:space="0" w:color="auto"/>
              <w:right w:val="nil"/>
            </w:tcBorders>
            <w:shd w:val="clear" w:color="auto" w:fill="auto"/>
            <w:noWrap/>
            <w:vAlign w:val="bottom"/>
            <w:hideMark/>
          </w:tcPr>
          <w:p w14:paraId="12C7C961"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Other long-term liabilities</w:t>
            </w:r>
          </w:p>
        </w:tc>
        <w:tc>
          <w:tcPr>
            <w:tcW w:w="1112" w:type="dxa"/>
            <w:tcBorders>
              <w:top w:val="nil"/>
              <w:left w:val="nil"/>
              <w:bottom w:val="single" w:sz="4" w:space="0" w:color="auto"/>
              <w:right w:val="nil"/>
            </w:tcBorders>
            <w:shd w:val="clear" w:color="auto" w:fill="auto"/>
            <w:noWrap/>
            <w:vAlign w:val="bottom"/>
            <w:hideMark/>
          </w:tcPr>
          <w:p w14:paraId="158557A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492 </w:t>
            </w:r>
          </w:p>
        </w:tc>
        <w:tc>
          <w:tcPr>
            <w:tcW w:w="132" w:type="dxa"/>
            <w:tcBorders>
              <w:top w:val="nil"/>
              <w:left w:val="nil"/>
              <w:bottom w:val="nil"/>
              <w:right w:val="nil"/>
            </w:tcBorders>
            <w:shd w:val="clear" w:color="auto" w:fill="auto"/>
            <w:noWrap/>
            <w:vAlign w:val="bottom"/>
            <w:hideMark/>
          </w:tcPr>
          <w:p w14:paraId="3781154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6E19728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200 </w:t>
            </w:r>
          </w:p>
        </w:tc>
        <w:tc>
          <w:tcPr>
            <w:tcW w:w="132" w:type="dxa"/>
            <w:tcBorders>
              <w:top w:val="nil"/>
              <w:left w:val="nil"/>
              <w:bottom w:val="nil"/>
              <w:right w:val="nil"/>
            </w:tcBorders>
            <w:shd w:val="clear" w:color="auto" w:fill="auto"/>
            <w:noWrap/>
            <w:vAlign w:val="bottom"/>
            <w:hideMark/>
          </w:tcPr>
          <w:p w14:paraId="614B479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2006154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1,332 </w:t>
            </w:r>
          </w:p>
        </w:tc>
        <w:tc>
          <w:tcPr>
            <w:tcW w:w="132" w:type="dxa"/>
            <w:tcBorders>
              <w:top w:val="nil"/>
              <w:left w:val="nil"/>
              <w:bottom w:val="nil"/>
              <w:right w:val="nil"/>
            </w:tcBorders>
            <w:shd w:val="clear" w:color="auto" w:fill="auto"/>
            <w:noWrap/>
            <w:vAlign w:val="bottom"/>
            <w:hideMark/>
          </w:tcPr>
          <w:p w14:paraId="246BA2E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50547A4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(110)</w:t>
            </w:r>
          </w:p>
        </w:tc>
      </w:tr>
      <w:tr w:rsidR="005366CC" w:rsidRPr="005366CC" w14:paraId="68F74EA6" w14:textId="77777777" w:rsidTr="00C05E95">
        <w:trPr>
          <w:gridAfter w:val="1"/>
          <w:wAfter w:w="52" w:type="dxa"/>
          <w:trHeight w:val="285"/>
        </w:trPr>
        <w:tc>
          <w:tcPr>
            <w:tcW w:w="3212" w:type="dxa"/>
            <w:tcBorders>
              <w:top w:val="nil"/>
              <w:left w:val="nil"/>
              <w:bottom w:val="single" w:sz="4" w:space="0" w:color="auto"/>
              <w:right w:val="nil"/>
            </w:tcBorders>
            <w:shd w:val="clear" w:color="auto" w:fill="auto"/>
            <w:vAlign w:val="bottom"/>
            <w:hideMark/>
          </w:tcPr>
          <w:p w14:paraId="50DE5AA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Net cash from operations</w:t>
            </w:r>
          </w:p>
        </w:tc>
        <w:tc>
          <w:tcPr>
            <w:tcW w:w="1112" w:type="dxa"/>
            <w:tcBorders>
              <w:top w:val="nil"/>
              <w:left w:val="nil"/>
              <w:bottom w:val="single" w:sz="4" w:space="0" w:color="auto"/>
              <w:right w:val="nil"/>
            </w:tcBorders>
            <w:shd w:val="clear" w:color="auto" w:fill="auto"/>
            <w:noWrap/>
            <w:vAlign w:val="bottom"/>
            <w:hideMark/>
          </w:tcPr>
          <w:p w14:paraId="7D485D3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9,570 </w:t>
            </w:r>
          </w:p>
        </w:tc>
        <w:tc>
          <w:tcPr>
            <w:tcW w:w="132" w:type="dxa"/>
            <w:tcBorders>
              <w:top w:val="nil"/>
              <w:left w:val="nil"/>
              <w:bottom w:val="nil"/>
              <w:right w:val="nil"/>
            </w:tcBorders>
            <w:shd w:val="clear" w:color="auto" w:fill="auto"/>
            <w:noWrap/>
            <w:vAlign w:val="bottom"/>
            <w:hideMark/>
          </w:tcPr>
          <w:p w14:paraId="5C2D92D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5B6776C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10,099 </w:t>
            </w:r>
          </w:p>
        </w:tc>
        <w:tc>
          <w:tcPr>
            <w:tcW w:w="132" w:type="dxa"/>
            <w:tcBorders>
              <w:top w:val="nil"/>
              <w:left w:val="nil"/>
              <w:bottom w:val="nil"/>
              <w:right w:val="nil"/>
            </w:tcBorders>
            <w:shd w:val="clear" w:color="auto" w:fill="auto"/>
            <w:noWrap/>
            <w:vAlign w:val="bottom"/>
            <w:hideMark/>
          </w:tcPr>
          <w:p w14:paraId="2B43C7D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62567B5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22,264 </w:t>
            </w:r>
          </w:p>
        </w:tc>
        <w:tc>
          <w:tcPr>
            <w:tcW w:w="132" w:type="dxa"/>
            <w:tcBorders>
              <w:top w:val="nil"/>
              <w:left w:val="nil"/>
              <w:bottom w:val="nil"/>
              <w:right w:val="nil"/>
            </w:tcBorders>
            <w:shd w:val="clear" w:color="auto" w:fill="auto"/>
            <w:noWrap/>
            <w:vAlign w:val="bottom"/>
            <w:hideMark/>
          </w:tcPr>
          <w:p w14:paraId="2AC78D1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447C207E"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22,717 </w:t>
            </w:r>
          </w:p>
        </w:tc>
      </w:tr>
      <w:tr w:rsidR="005366CC" w:rsidRPr="005366CC" w14:paraId="2C43F9F6"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72911E14"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Financing</w:t>
            </w:r>
          </w:p>
        </w:tc>
        <w:tc>
          <w:tcPr>
            <w:tcW w:w="1112" w:type="dxa"/>
            <w:tcBorders>
              <w:top w:val="nil"/>
              <w:left w:val="nil"/>
              <w:bottom w:val="nil"/>
              <w:right w:val="nil"/>
            </w:tcBorders>
            <w:shd w:val="clear" w:color="auto" w:fill="auto"/>
            <w:noWrap/>
            <w:vAlign w:val="bottom"/>
            <w:hideMark/>
          </w:tcPr>
          <w:p w14:paraId="443BD50F"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46697A96"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5790BA09"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663DDA89"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6DF5AFDB"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05684897"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0CB58F37" w14:textId="77777777" w:rsidR="005366CC" w:rsidRPr="005366CC" w:rsidRDefault="005366CC" w:rsidP="005366CC">
            <w:pPr>
              <w:spacing w:after="0" w:line="240" w:lineRule="auto"/>
              <w:rPr>
                <w:rFonts w:ascii="Times New Roman" w:eastAsia="Times New Roman" w:hAnsi="Times New Roman"/>
                <w:sz w:val="20"/>
                <w:szCs w:val="20"/>
              </w:rPr>
            </w:pPr>
          </w:p>
        </w:tc>
      </w:tr>
      <w:tr w:rsidR="005366CC" w:rsidRPr="005366CC" w14:paraId="041B9640" w14:textId="77777777" w:rsidTr="00C05E95">
        <w:trPr>
          <w:gridAfter w:val="1"/>
          <w:wAfter w:w="52" w:type="dxa"/>
          <w:trHeight w:val="855"/>
        </w:trPr>
        <w:tc>
          <w:tcPr>
            <w:tcW w:w="3212" w:type="dxa"/>
            <w:tcBorders>
              <w:top w:val="nil"/>
              <w:left w:val="nil"/>
              <w:bottom w:val="nil"/>
              <w:right w:val="nil"/>
            </w:tcBorders>
            <w:shd w:val="clear" w:color="auto" w:fill="auto"/>
            <w:vAlign w:val="bottom"/>
            <w:hideMark/>
          </w:tcPr>
          <w:p w14:paraId="46D9290F"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lastRenderedPageBreak/>
              <w:t>(Repayments) proceeds from issuance of short-term debt, maturities of 90 days or less, net</w:t>
            </w:r>
          </w:p>
        </w:tc>
        <w:tc>
          <w:tcPr>
            <w:tcW w:w="1112" w:type="dxa"/>
            <w:tcBorders>
              <w:top w:val="nil"/>
              <w:left w:val="nil"/>
              <w:bottom w:val="nil"/>
              <w:right w:val="nil"/>
            </w:tcBorders>
            <w:shd w:val="clear" w:color="auto" w:fill="auto"/>
            <w:noWrap/>
            <w:vAlign w:val="bottom"/>
            <w:hideMark/>
          </w:tcPr>
          <w:p w14:paraId="1409045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(6,575)</w:t>
            </w:r>
          </w:p>
        </w:tc>
        <w:tc>
          <w:tcPr>
            <w:tcW w:w="132" w:type="dxa"/>
            <w:tcBorders>
              <w:top w:val="nil"/>
              <w:left w:val="nil"/>
              <w:bottom w:val="nil"/>
              <w:right w:val="nil"/>
            </w:tcBorders>
            <w:shd w:val="clear" w:color="auto" w:fill="auto"/>
            <w:noWrap/>
            <w:vAlign w:val="bottom"/>
            <w:hideMark/>
          </w:tcPr>
          <w:p w14:paraId="38F9041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441E581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c>
          <w:tcPr>
            <w:tcW w:w="132" w:type="dxa"/>
            <w:tcBorders>
              <w:top w:val="nil"/>
              <w:left w:val="nil"/>
              <w:bottom w:val="nil"/>
              <w:right w:val="nil"/>
            </w:tcBorders>
            <w:shd w:val="clear" w:color="auto" w:fill="auto"/>
            <w:noWrap/>
            <w:vAlign w:val="bottom"/>
            <w:hideMark/>
          </w:tcPr>
          <w:p w14:paraId="5B27637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111FD40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1,222 </w:t>
            </w:r>
          </w:p>
        </w:tc>
        <w:tc>
          <w:tcPr>
            <w:tcW w:w="132" w:type="dxa"/>
            <w:tcBorders>
              <w:top w:val="nil"/>
              <w:left w:val="nil"/>
              <w:bottom w:val="nil"/>
              <w:right w:val="nil"/>
            </w:tcBorders>
            <w:shd w:val="clear" w:color="auto" w:fill="auto"/>
            <w:noWrap/>
            <w:vAlign w:val="bottom"/>
            <w:hideMark/>
          </w:tcPr>
          <w:p w14:paraId="0D14E2F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552C9F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r>
      <w:tr w:rsidR="005366CC" w:rsidRPr="005366CC" w14:paraId="4ECDE7CC"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315FD6A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Proceeds from issuance of debt</w:t>
            </w:r>
          </w:p>
        </w:tc>
        <w:tc>
          <w:tcPr>
            <w:tcW w:w="1112" w:type="dxa"/>
            <w:tcBorders>
              <w:top w:val="nil"/>
              <w:left w:val="nil"/>
              <w:bottom w:val="nil"/>
              <w:right w:val="nil"/>
            </w:tcBorders>
            <w:shd w:val="clear" w:color="auto" w:fill="auto"/>
            <w:noWrap/>
            <w:vAlign w:val="bottom"/>
            <w:hideMark/>
          </w:tcPr>
          <w:p w14:paraId="44BB013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10,680 </w:t>
            </w:r>
          </w:p>
        </w:tc>
        <w:tc>
          <w:tcPr>
            <w:tcW w:w="132" w:type="dxa"/>
            <w:tcBorders>
              <w:top w:val="nil"/>
              <w:left w:val="nil"/>
              <w:bottom w:val="nil"/>
              <w:right w:val="nil"/>
            </w:tcBorders>
            <w:shd w:val="clear" w:color="auto" w:fill="auto"/>
            <w:noWrap/>
            <w:vAlign w:val="bottom"/>
            <w:hideMark/>
          </w:tcPr>
          <w:p w14:paraId="5529689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309DBCF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c>
          <w:tcPr>
            <w:tcW w:w="132" w:type="dxa"/>
            <w:tcBorders>
              <w:top w:val="nil"/>
              <w:left w:val="nil"/>
              <w:bottom w:val="nil"/>
              <w:right w:val="nil"/>
            </w:tcBorders>
            <w:shd w:val="clear" w:color="auto" w:fill="auto"/>
            <w:noWrap/>
            <w:vAlign w:val="bottom"/>
            <w:hideMark/>
          </w:tcPr>
          <w:p w14:paraId="2E667F2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2D29FDC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10,680 </w:t>
            </w:r>
          </w:p>
        </w:tc>
        <w:tc>
          <w:tcPr>
            <w:tcW w:w="132" w:type="dxa"/>
            <w:tcBorders>
              <w:top w:val="nil"/>
              <w:left w:val="nil"/>
              <w:bottom w:val="nil"/>
              <w:right w:val="nil"/>
            </w:tcBorders>
            <w:shd w:val="clear" w:color="auto" w:fill="auto"/>
            <w:noWrap/>
            <w:vAlign w:val="bottom"/>
            <w:hideMark/>
          </w:tcPr>
          <w:p w14:paraId="3EFA5F2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620AE5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8,850 </w:t>
            </w:r>
          </w:p>
        </w:tc>
      </w:tr>
      <w:tr w:rsidR="005366CC" w:rsidRPr="005366CC" w14:paraId="4153269F" w14:textId="77777777" w:rsidTr="00C05E95">
        <w:trPr>
          <w:gridAfter w:val="1"/>
          <w:wAfter w:w="52" w:type="dxa"/>
          <w:trHeight w:val="285"/>
        </w:trPr>
        <w:tc>
          <w:tcPr>
            <w:tcW w:w="3212" w:type="dxa"/>
            <w:tcBorders>
              <w:top w:val="nil"/>
              <w:left w:val="nil"/>
              <w:bottom w:val="nil"/>
              <w:right w:val="nil"/>
            </w:tcBorders>
            <w:shd w:val="clear" w:color="auto" w:fill="auto"/>
            <w:vAlign w:val="bottom"/>
            <w:hideMark/>
          </w:tcPr>
          <w:p w14:paraId="4C4257EC"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Repayments of debt</w:t>
            </w:r>
          </w:p>
        </w:tc>
        <w:tc>
          <w:tcPr>
            <w:tcW w:w="1112" w:type="dxa"/>
            <w:tcBorders>
              <w:top w:val="nil"/>
              <w:left w:val="nil"/>
              <w:bottom w:val="nil"/>
              <w:right w:val="nil"/>
            </w:tcBorders>
            <w:shd w:val="clear" w:color="auto" w:fill="auto"/>
            <w:noWrap/>
            <w:vAlign w:val="bottom"/>
            <w:hideMark/>
          </w:tcPr>
          <w:p w14:paraId="2833D84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0 </w:t>
            </w:r>
          </w:p>
        </w:tc>
        <w:tc>
          <w:tcPr>
            <w:tcW w:w="132" w:type="dxa"/>
            <w:tcBorders>
              <w:top w:val="nil"/>
              <w:left w:val="nil"/>
              <w:bottom w:val="nil"/>
              <w:right w:val="nil"/>
            </w:tcBorders>
            <w:shd w:val="clear" w:color="auto" w:fill="auto"/>
            <w:noWrap/>
            <w:vAlign w:val="bottom"/>
            <w:hideMark/>
          </w:tcPr>
          <w:p w14:paraId="67FC993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608FD8F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(300)</w:t>
            </w:r>
          </w:p>
        </w:tc>
        <w:tc>
          <w:tcPr>
            <w:tcW w:w="132" w:type="dxa"/>
            <w:tcBorders>
              <w:top w:val="nil"/>
              <w:left w:val="nil"/>
              <w:bottom w:val="nil"/>
              <w:right w:val="nil"/>
            </w:tcBorders>
            <w:shd w:val="clear" w:color="auto" w:fill="auto"/>
            <w:noWrap/>
            <w:vAlign w:val="bottom"/>
            <w:hideMark/>
          </w:tcPr>
          <w:p w14:paraId="0983FFE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27FC4DC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(1,500)</w:t>
            </w:r>
          </w:p>
        </w:tc>
        <w:tc>
          <w:tcPr>
            <w:tcW w:w="132" w:type="dxa"/>
            <w:tcBorders>
              <w:top w:val="nil"/>
              <w:left w:val="nil"/>
              <w:bottom w:val="nil"/>
              <w:right w:val="nil"/>
            </w:tcBorders>
            <w:shd w:val="clear" w:color="auto" w:fill="auto"/>
            <w:noWrap/>
            <w:vAlign w:val="bottom"/>
            <w:hideMark/>
          </w:tcPr>
          <w:p w14:paraId="153FB7F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48821457"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(1,888)</w:t>
            </w:r>
          </w:p>
        </w:tc>
      </w:tr>
      <w:tr w:rsidR="005366CC" w:rsidRPr="005366CC" w14:paraId="5A7EC104"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2DFD7383"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Common stock issued</w:t>
            </w:r>
          </w:p>
        </w:tc>
        <w:tc>
          <w:tcPr>
            <w:tcW w:w="1112" w:type="dxa"/>
            <w:tcBorders>
              <w:top w:val="nil"/>
              <w:left w:val="nil"/>
              <w:bottom w:val="nil"/>
              <w:right w:val="nil"/>
            </w:tcBorders>
            <w:shd w:val="clear" w:color="auto" w:fill="auto"/>
            <w:noWrap/>
            <w:vAlign w:val="bottom"/>
            <w:hideMark/>
          </w:tcPr>
          <w:p w14:paraId="6F45229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146 </w:t>
            </w:r>
          </w:p>
        </w:tc>
        <w:tc>
          <w:tcPr>
            <w:tcW w:w="132" w:type="dxa"/>
            <w:tcBorders>
              <w:top w:val="nil"/>
              <w:left w:val="nil"/>
              <w:bottom w:val="nil"/>
              <w:right w:val="nil"/>
            </w:tcBorders>
            <w:shd w:val="clear" w:color="auto" w:fill="auto"/>
            <w:noWrap/>
            <w:vAlign w:val="bottom"/>
            <w:hideMark/>
          </w:tcPr>
          <w:p w14:paraId="4A4C9E9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786D1FC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141 </w:t>
            </w:r>
          </w:p>
        </w:tc>
        <w:tc>
          <w:tcPr>
            <w:tcW w:w="132" w:type="dxa"/>
            <w:tcBorders>
              <w:top w:val="nil"/>
              <w:left w:val="nil"/>
              <w:bottom w:val="nil"/>
              <w:right w:val="nil"/>
            </w:tcBorders>
            <w:shd w:val="clear" w:color="auto" w:fill="auto"/>
            <w:noWrap/>
            <w:vAlign w:val="bottom"/>
            <w:hideMark/>
          </w:tcPr>
          <w:p w14:paraId="0D69317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179AAA9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483 </w:t>
            </w:r>
          </w:p>
        </w:tc>
        <w:tc>
          <w:tcPr>
            <w:tcW w:w="132" w:type="dxa"/>
            <w:tcBorders>
              <w:top w:val="nil"/>
              <w:left w:val="nil"/>
              <w:bottom w:val="nil"/>
              <w:right w:val="nil"/>
            </w:tcBorders>
            <w:shd w:val="clear" w:color="auto" w:fill="auto"/>
            <w:noWrap/>
            <w:vAlign w:val="bottom"/>
            <w:hideMark/>
          </w:tcPr>
          <w:p w14:paraId="238E79C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BE3BAB7"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461 </w:t>
            </w:r>
          </w:p>
        </w:tc>
      </w:tr>
      <w:tr w:rsidR="005366CC" w:rsidRPr="005366CC" w14:paraId="697F3CDC"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4BBF9BAE"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Common stock repurchased</w:t>
            </w:r>
          </w:p>
        </w:tc>
        <w:tc>
          <w:tcPr>
            <w:tcW w:w="1112" w:type="dxa"/>
            <w:tcBorders>
              <w:top w:val="nil"/>
              <w:left w:val="nil"/>
              <w:bottom w:val="nil"/>
              <w:right w:val="nil"/>
            </w:tcBorders>
            <w:shd w:val="clear" w:color="auto" w:fill="auto"/>
            <w:noWrap/>
            <w:vAlign w:val="bottom"/>
            <w:hideMark/>
          </w:tcPr>
          <w:p w14:paraId="10C44B4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(5,131)</w:t>
            </w:r>
          </w:p>
        </w:tc>
        <w:tc>
          <w:tcPr>
            <w:tcW w:w="132" w:type="dxa"/>
            <w:tcBorders>
              <w:top w:val="nil"/>
              <w:left w:val="nil"/>
              <w:bottom w:val="nil"/>
              <w:right w:val="nil"/>
            </w:tcBorders>
            <w:shd w:val="clear" w:color="auto" w:fill="auto"/>
            <w:noWrap/>
            <w:vAlign w:val="bottom"/>
            <w:hideMark/>
          </w:tcPr>
          <w:p w14:paraId="5588162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60C643E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(1,845)</w:t>
            </w:r>
          </w:p>
        </w:tc>
        <w:tc>
          <w:tcPr>
            <w:tcW w:w="132" w:type="dxa"/>
            <w:tcBorders>
              <w:top w:val="nil"/>
              <w:left w:val="nil"/>
              <w:bottom w:val="nil"/>
              <w:right w:val="nil"/>
            </w:tcBorders>
            <w:shd w:val="clear" w:color="auto" w:fill="auto"/>
            <w:noWrap/>
            <w:vAlign w:val="bottom"/>
            <w:hideMark/>
          </w:tcPr>
          <w:p w14:paraId="3127290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465D583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(10,164)</w:t>
            </w:r>
          </w:p>
        </w:tc>
        <w:tc>
          <w:tcPr>
            <w:tcW w:w="132" w:type="dxa"/>
            <w:tcBorders>
              <w:top w:val="nil"/>
              <w:left w:val="nil"/>
              <w:bottom w:val="nil"/>
              <w:right w:val="nil"/>
            </w:tcBorders>
            <w:shd w:val="clear" w:color="auto" w:fill="auto"/>
            <w:noWrap/>
            <w:vAlign w:val="bottom"/>
            <w:hideMark/>
          </w:tcPr>
          <w:p w14:paraId="060E270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7FCD4DE"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(6,146)</w:t>
            </w:r>
          </w:p>
        </w:tc>
      </w:tr>
      <w:tr w:rsidR="005366CC" w:rsidRPr="005366CC" w14:paraId="2A048B0F"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514EB98F"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Common stock cash dividends paid</w:t>
            </w:r>
          </w:p>
        </w:tc>
        <w:tc>
          <w:tcPr>
            <w:tcW w:w="1112" w:type="dxa"/>
            <w:tcBorders>
              <w:top w:val="nil"/>
              <w:left w:val="nil"/>
              <w:bottom w:val="nil"/>
              <w:right w:val="nil"/>
            </w:tcBorders>
            <w:shd w:val="clear" w:color="auto" w:fill="auto"/>
            <w:noWrap/>
            <w:vAlign w:val="bottom"/>
            <w:hideMark/>
          </w:tcPr>
          <w:p w14:paraId="5431838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(2,532)</w:t>
            </w:r>
          </w:p>
        </w:tc>
        <w:tc>
          <w:tcPr>
            <w:tcW w:w="132" w:type="dxa"/>
            <w:tcBorders>
              <w:top w:val="nil"/>
              <w:left w:val="nil"/>
              <w:bottom w:val="nil"/>
              <w:right w:val="nil"/>
            </w:tcBorders>
            <w:shd w:val="clear" w:color="auto" w:fill="auto"/>
            <w:noWrap/>
            <w:vAlign w:val="bottom"/>
            <w:hideMark/>
          </w:tcPr>
          <w:p w14:paraId="0A8FD76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4B47E3A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(2,322)</w:t>
            </w:r>
          </w:p>
        </w:tc>
        <w:tc>
          <w:tcPr>
            <w:tcW w:w="132" w:type="dxa"/>
            <w:tcBorders>
              <w:top w:val="nil"/>
              <w:left w:val="nil"/>
              <w:bottom w:val="nil"/>
              <w:right w:val="nil"/>
            </w:tcBorders>
            <w:shd w:val="clear" w:color="auto" w:fill="auto"/>
            <w:noWrap/>
            <w:vAlign w:val="bottom"/>
            <w:hideMark/>
          </w:tcPr>
          <w:p w14:paraId="1FF4ADC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08BC2CD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(7,386)</w:t>
            </w:r>
          </w:p>
        </w:tc>
        <w:tc>
          <w:tcPr>
            <w:tcW w:w="132" w:type="dxa"/>
            <w:tcBorders>
              <w:top w:val="nil"/>
              <w:left w:val="nil"/>
              <w:bottom w:val="nil"/>
              <w:right w:val="nil"/>
            </w:tcBorders>
            <w:shd w:val="clear" w:color="auto" w:fill="auto"/>
            <w:noWrap/>
            <w:vAlign w:val="bottom"/>
            <w:hideMark/>
          </w:tcPr>
          <w:p w14:paraId="3610599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C49E5E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(6,570)</w:t>
            </w:r>
          </w:p>
        </w:tc>
      </w:tr>
      <w:tr w:rsidR="005366CC" w:rsidRPr="005366CC" w14:paraId="7A1E5ACF"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0B57794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Excess tax benefits from</w:t>
            </w:r>
            <w:r w:rsidRPr="005366CC">
              <w:rPr>
                <w:rFonts w:ascii="Segoe UI" w:eastAsia="Times New Roman" w:hAnsi="Segoe UI" w:cs="Segoe UI"/>
                <w:color w:val="666666"/>
                <w:sz w:val="20"/>
                <w:szCs w:val="20"/>
              </w:rPr>
              <w:br/>
              <w:t xml:space="preserve">   stock-based compensation</w:t>
            </w:r>
          </w:p>
        </w:tc>
        <w:tc>
          <w:tcPr>
            <w:tcW w:w="1112" w:type="dxa"/>
            <w:tcBorders>
              <w:top w:val="nil"/>
              <w:left w:val="nil"/>
              <w:bottom w:val="nil"/>
              <w:right w:val="nil"/>
            </w:tcBorders>
            <w:shd w:val="clear" w:color="auto" w:fill="auto"/>
            <w:noWrap/>
            <w:vAlign w:val="bottom"/>
            <w:hideMark/>
          </w:tcPr>
          <w:p w14:paraId="35D4161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31 </w:t>
            </w:r>
          </w:p>
        </w:tc>
        <w:tc>
          <w:tcPr>
            <w:tcW w:w="132" w:type="dxa"/>
            <w:tcBorders>
              <w:top w:val="nil"/>
              <w:left w:val="nil"/>
              <w:bottom w:val="nil"/>
              <w:right w:val="nil"/>
            </w:tcBorders>
            <w:shd w:val="clear" w:color="auto" w:fill="auto"/>
            <w:noWrap/>
            <w:vAlign w:val="bottom"/>
            <w:hideMark/>
          </w:tcPr>
          <w:p w14:paraId="2460823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2571511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22 </w:t>
            </w:r>
          </w:p>
        </w:tc>
        <w:tc>
          <w:tcPr>
            <w:tcW w:w="132" w:type="dxa"/>
            <w:tcBorders>
              <w:top w:val="nil"/>
              <w:left w:val="nil"/>
              <w:bottom w:val="nil"/>
              <w:right w:val="nil"/>
            </w:tcBorders>
            <w:shd w:val="clear" w:color="auto" w:fill="auto"/>
            <w:noWrap/>
            <w:vAlign w:val="bottom"/>
            <w:hideMark/>
          </w:tcPr>
          <w:p w14:paraId="07411E5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6836163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555 </w:t>
            </w:r>
          </w:p>
        </w:tc>
        <w:tc>
          <w:tcPr>
            <w:tcW w:w="132" w:type="dxa"/>
            <w:tcBorders>
              <w:top w:val="nil"/>
              <w:left w:val="nil"/>
              <w:bottom w:val="nil"/>
              <w:right w:val="nil"/>
            </w:tcBorders>
            <w:shd w:val="clear" w:color="auto" w:fill="auto"/>
            <w:noWrap/>
            <w:vAlign w:val="bottom"/>
            <w:hideMark/>
          </w:tcPr>
          <w:p w14:paraId="7E00478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BC4DB4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247 </w:t>
            </w:r>
          </w:p>
        </w:tc>
      </w:tr>
      <w:tr w:rsidR="005366CC" w:rsidRPr="005366CC" w14:paraId="42EA9A53" w14:textId="77777777" w:rsidTr="00C05E95">
        <w:trPr>
          <w:gridAfter w:val="1"/>
          <w:wAfter w:w="52" w:type="dxa"/>
          <w:trHeight w:val="285"/>
        </w:trPr>
        <w:tc>
          <w:tcPr>
            <w:tcW w:w="3212" w:type="dxa"/>
            <w:tcBorders>
              <w:top w:val="nil"/>
              <w:left w:val="nil"/>
              <w:bottom w:val="single" w:sz="4" w:space="0" w:color="auto"/>
              <w:right w:val="nil"/>
            </w:tcBorders>
            <w:shd w:val="clear" w:color="auto" w:fill="auto"/>
            <w:vAlign w:val="bottom"/>
            <w:hideMark/>
          </w:tcPr>
          <w:p w14:paraId="798EB3CD"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Other</w:t>
            </w:r>
          </w:p>
        </w:tc>
        <w:tc>
          <w:tcPr>
            <w:tcW w:w="1112" w:type="dxa"/>
            <w:tcBorders>
              <w:top w:val="nil"/>
              <w:left w:val="nil"/>
              <w:bottom w:val="single" w:sz="4" w:space="0" w:color="auto"/>
              <w:right w:val="nil"/>
            </w:tcBorders>
            <w:shd w:val="clear" w:color="auto" w:fill="auto"/>
            <w:noWrap/>
            <w:vAlign w:val="bottom"/>
            <w:hideMark/>
          </w:tcPr>
          <w:p w14:paraId="7294C25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316 </w:t>
            </w:r>
          </w:p>
        </w:tc>
        <w:tc>
          <w:tcPr>
            <w:tcW w:w="132" w:type="dxa"/>
            <w:tcBorders>
              <w:top w:val="nil"/>
              <w:left w:val="nil"/>
              <w:bottom w:val="nil"/>
              <w:right w:val="nil"/>
            </w:tcBorders>
            <w:shd w:val="clear" w:color="auto" w:fill="auto"/>
            <w:noWrap/>
            <w:vAlign w:val="bottom"/>
            <w:hideMark/>
          </w:tcPr>
          <w:p w14:paraId="4FF19CF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031E88B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c>
          <w:tcPr>
            <w:tcW w:w="132" w:type="dxa"/>
            <w:tcBorders>
              <w:top w:val="nil"/>
              <w:left w:val="nil"/>
              <w:bottom w:val="nil"/>
              <w:right w:val="nil"/>
            </w:tcBorders>
            <w:shd w:val="clear" w:color="auto" w:fill="auto"/>
            <w:noWrap/>
            <w:vAlign w:val="bottom"/>
            <w:hideMark/>
          </w:tcPr>
          <w:p w14:paraId="456FB30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6934695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601 </w:t>
            </w:r>
          </w:p>
        </w:tc>
        <w:tc>
          <w:tcPr>
            <w:tcW w:w="132" w:type="dxa"/>
            <w:tcBorders>
              <w:top w:val="nil"/>
              <w:left w:val="nil"/>
              <w:bottom w:val="nil"/>
              <w:right w:val="nil"/>
            </w:tcBorders>
            <w:shd w:val="clear" w:color="auto" w:fill="auto"/>
            <w:noWrap/>
            <w:vAlign w:val="bottom"/>
            <w:hideMark/>
          </w:tcPr>
          <w:p w14:paraId="1AB91B6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4A5BE846"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(39)</w:t>
            </w:r>
          </w:p>
        </w:tc>
      </w:tr>
      <w:tr w:rsidR="005366CC" w:rsidRPr="005366CC" w14:paraId="134B59FE" w14:textId="77777777" w:rsidTr="00C05E95">
        <w:trPr>
          <w:gridAfter w:val="1"/>
          <w:wAfter w:w="52" w:type="dxa"/>
          <w:trHeight w:val="285"/>
        </w:trPr>
        <w:tc>
          <w:tcPr>
            <w:tcW w:w="3212" w:type="dxa"/>
            <w:tcBorders>
              <w:top w:val="nil"/>
              <w:left w:val="nil"/>
              <w:bottom w:val="single" w:sz="4" w:space="0" w:color="auto"/>
              <w:right w:val="nil"/>
            </w:tcBorders>
            <w:shd w:val="clear" w:color="auto" w:fill="auto"/>
            <w:vAlign w:val="bottom"/>
            <w:hideMark/>
          </w:tcPr>
          <w:p w14:paraId="3D2F3446"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Net cash used in financing</w:t>
            </w:r>
          </w:p>
        </w:tc>
        <w:tc>
          <w:tcPr>
            <w:tcW w:w="1112" w:type="dxa"/>
            <w:tcBorders>
              <w:top w:val="nil"/>
              <w:left w:val="nil"/>
              <w:bottom w:val="single" w:sz="4" w:space="0" w:color="auto"/>
              <w:right w:val="nil"/>
            </w:tcBorders>
            <w:shd w:val="clear" w:color="auto" w:fill="auto"/>
            <w:noWrap/>
            <w:vAlign w:val="bottom"/>
            <w:hideMark/>
          </w:tcPr>
          <w:p w14:paraId="56F53E4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(3,065)</w:t>
            </w:r>
          </w:p>
        </w:tc>
        <w:tc>
          <w:tcPr>
            <w:tcW w:w="132" w:type="dxa"/>
            <w:tcBorders>
              <w:top w:val="nil"/>
              <w:left w:val="nil"/>
              <w:bottom w:val="nil"/>
              <w:right w:val="nil"/>
            </w:tcBorders>
            <w:shd w:val="clear" w:color="auto" w:fill="auto"/>
            <w:noWrap/>
            <w:vAlign w:val="bottom"/>
            <w:hideMark/>
          </w:tcPr>
          <w:p w14:paraId="1962929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759D92A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(4,304)</w:t>
            </w:r>
          </w:p>
        </w:tc>
        <w:tc>
          <w:tcPr>
            <w:tcW w:w="132" w:type="dxa"/>
            <w:tcBorders>
              <w:top w:val="nil"/>
              <w:left w:val="nil"/>
              <w:bottom w:val="nil"/>
              <w:right w:val="nil"/>
            </w:tcBorders>
            <w:shd w:val="clear" w:color="auto" w:fill="auto"/>
            <w:noWrap/>
            <w:vAlign w:val="bottom"/>
            <w:hideMark/>
          </w:tcPr>
          <w:p w14:paraId="3910D40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55A41BC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(5,509)</w:t>
            </w:r>
          </w:p>
        </w:tc>
        <w:tc>
          <w:tcPr>
            <w:tcW w:w="132" w:type="dxa"/>
            <w:tcBorders>
              <w:top w:val="nil"/>
              <w:left w:val="nil"/>
              <w:bottom w:val="nil"/>
              <w:right w:val="nil"/>
            </w:tcBorders>
            <w:shd w:val="clear" w:color="auto" w:fill="auto"/>
            <w:noWrap/>
            <w:vAlign w:val="bottom"/>
            <w:hideMark/>
          </w:tcPr>
          <w:p w14:paraId="13CAF42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6C04E82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(5,085)</w:t>
            </w:r>
          </w:p>
        </w:tc>
      </w:tr>
      <w:tr w:rsidR="005366CC" w:rsidRPr="005366CC" w14:paraId="405390F1"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4CC82ABB"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Investing</w:t>
            </w:r>
          </w:p>
        </w:tc>
        <w:tc>
          <w:tcPr>
            <w:tcW w:w="1112" w:type="dxa"/>
            <w:tcBorders>
              <w:top w:val="nil"/>
              <w:left w:val="nil"/>
              <w:bottom w:val="nil"/>
              <w:right w:val="nil"/>
            </w:tcBorders>
            <w:shd w:val="clear" w:color="auto" w:fill="auto"/>
            <w:noWrap/>
            <w:vAlign w:val="bottom"/>
            <w:hideMark/>
          </w:tcPr>
          <w:p w14:paraId="361C3062"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72790161"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2736E804"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006FAC03"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1212" w:type="dxa"/>
            <w:gridSpan w:val="3"/>
            <w:tcBorders>
              <w:top w:val="nil"/>
              <w:left w:val="nil"/>
              <w:bottom w:val="nil"/>
              <w:right w:val="nil"/>
            </w:tcBorders>
            <w:shd w:val="clear" w:color="auto" w:fill="auto"/>
            <w:noWrap/>
            <w:vAlign w:val="bottom"/>
            <w:hideMark/>
          </w:tcPr>
          <w:p w14:paraId="5726984D" w14:textId="77777777" w:rsidR="005366CC" w:rsidRPr="005366CC" w:rsidRDefault="005366CC" w:rsidP="005366CC">
            <w:pPr>
              <w:spacing w:after="0" w:line="240" w:lineRule="auto"/>
              <w:rPr>
                <w:rFonts w:ascii="Times New Roman" w:eastAsia="Times New Roman" w:hAnsi="Times New Roman"/>
                <w:sz w:val="20"/>
                <w:szCs w:val="20"/>
              </w:rPr>
            </w:pPr>
          </w:p>
        </w:tc>
        <w:tc>
          <w:tcPr>
            <w:tcW w:w="132" w:type="dxa"/>
            <w:tcBorders>
              <w:top w:val="nil"/>
              <w:left w:val="nil"/>
              <w:bottom w:val="nil"/>
              <w:right w:val="nil"/>
            </w:tcBorders>
            <w:shd w:val="clear" w:color="auto" w:fill="auto"/>
            <w:noWrap/>
            <w:vAlign w:val="bottom"/>
            <w:hideMark/>
          </w:tcPr>
          <w:p w14:paraId="7EAD9810" w14:textId="77777777" w:rsidR="005366CC" w:rsidRPr="005366CC" w:rsidRDefault="005366CC" w:rsidP="005366CC">
            <w:pPr>
              <w:spacing w:after="0" w:line="240" w:lineRule="auto"/>
              <w:jc w:val="right"/>
              <w:rPr>
                <w:rFonts w:ascii="Times New Roman" w:eastAsia="Times New Roman" w:hAnsi="Times New Roman"/>
                <w:sz w:val="20"/>
                <w:szCs w:val="20"/>
              </w:rPr>
            </w:pPr>
          </w:p>
        </w:tc>
        <w:tc>
          <w:tcPr>
            <w:tcW w:w="952" w:type="dxa"/>
            <w:tcBorders>
              <w:top w:val="nil"/>
              <w:left w:val="nil"/>
              <w:bottom w:val="nil"/>
              <w:right w:val="nil"/>
            </w:tcBorders>
            <w:shd w:val="clear" w:color="auto" w:fill="auto"/>
            <w:noWrap/>
            <w:vAlign w:val="bottom"/>
            <w:hideMark/>
          </w:tcPr>
          <w:p w14:paraId="64AF9E2A" w14:textId="77777777" w:rsidR="005366CC" w:rsidRPr="005366CC" w:rsidRDefault="005366CC" w:rsidP="005366CC">
            <w:pPr>
              <w:spacing w:after="0" w:line="240" w:lineRule="auto"/>
              <w:rPr>
                <w:rFonts w:ascii="Times New Roman" w:eastAsia="Times New Roman" w:hAnsi="Times New Roman"/>
                <w:sz w:val="20"/>
                <w:szCs w:val="20"/>
              </w:rPr>
            </w:pPr>
          </w:p>
        </w:tc>
      </w:tr>
      <w:tr w:rsidR="005366CC" w:rsidRPr="005366CC" w14:paraId="7C4B64F6" w14:textId="77777777" w:rsidTr="00C05E95">
        <w:trPr>
          <w:gridAfter w:val="1"/>
          <w:wAfter w:w="52" w:type="dxa"/>
          <w:trHeight w:val="645"/>
        </w:trPr>
        <w:tc>
          <w:tcPr>
            <w:tcW w:w="3212" w:type="dxa"/>
            <w:tcBorders>
              <w:top w:val="nil"/>
              <w:left w:val="nil"/>
              <w:bottom w:val="nil"/>
              <w:right w:val="nil"/>
            </w:tcBorders>
            <w:shd w:val="clear" w:color="auto" w:fill="auto"/>
            <w:vAlign w:val="bottom"/>
            <w:hideMark/>
          </w:tcPr>
          <w:p w14:paraId="60EC45A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Additions to property and</w:t>
            </w:r>
            <w:r w:rsidRPr="005366CC">
              <w:rPr>
                <w:rFonts w:ascii="Segoe UI" w:eastAsia="Times New Roman" w:hAnsi="Segoe UI" w:cs="Segoe UI"/>
                <w:color w:val="666666"/>
                <w:sz w:val="20"/>
                <w:szCs w:val="20"/>
              </w:rPr>
              <w:br/>
              <w:t xml:space="preserve">   equipment</w:t>
            </w:r>
          </w:p>
        </w:tc>
        <w:tc>
          <w:tcPr>
            <w:tcW w:w="1112" w:type="dxa"/>
            <w:tcBorders>
              <w:top w:val="nil"/>
              <w:left w:val="nil"/>
              <w:bottom w:val="nil"/>
              <w:right w:val="nil"/>
            </w:tcBorders>
            <w:shd w:val="clear" w:color="auto" w:fill="auto"/>
            <w:noWrap/>
            <w:vAlign w:val="bottom"/>
            <w:hideMark/>
          </w:tcPr>
          <w:p w14:paraId="63397BF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(1,391)</w:t>
            </w:r>
          </w:p>
        </w:tc>
        <w:tc>
          <w:tcPr>
            <w:tcW w:w="132" w:type="dxa"/>
            <w:tcBorders>
              <w:top w:val="nil"/>
              <w:left w:val="nil"/>
              <w:bottom w:val="nil"/>
              <w:right w:val="nil"/>
            </w:tcBorders>
            <w:shd w:val="clear" w:color="auto" w:fill="auto"/>
            <w:noWrap/>
            <w:vAlign w:val="bottom"/>
            <w:hideMark/>
          </w:tcPr>
          <w:p w14:paraId="2F55EAE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0E218BE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(1,192)</w:t>
            </w:r>
          </w:p>
        </w:tc>
        <w:tc>
          <w:tcPr>
            <w:tcW w:w="132" w:type="dxa"/>
            <w:tcBorders>
              <w:top w:val="nil"/>
              <w:left w:val="nil"/>
              <w:bottom w:val="nil"/>
              <w:right w:val="nil"/>
            </w:tcBorders>
            <w:shd w:val="clear" w:color="auto" w:fill="auto"/>
            <w:noWrap/>
            <w:vAlign w:val="bottom"/>
            <w:hideMark/>
          </w:tcPr>
          <w:p w14:paraId="380079D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054F79B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(4,163)</w:t>
            </w:r>
          </w:p>
        </w:tc>
        <w:tc>
          <w:tcPr>
            <w:tcW w:w="132" w:type="dxa"/>
            <w:tcBorders>
              <w:top w:val="nil"/>
              <w:left w:val="nil"/>
              <w:bottom w:val="nil"/>
              <w:right w:val="nil"/>
            </w:tcBorders>
            <w:shd w:val="clear" w:color="auto" w:fill="auto"/>
            <w:noWrap/>
            <w:vAlign w:val="bottom"/>
            <w:hideMark/>
          </w:tcPr>
          <w:p w14:paraId="54FDFD7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EF15B61"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(4,155)</w:t>
            </w:r>
          </w:p>
        </w:tc>
      </w:tr>
      <w:tr w:rsidR="005366CC" w:rsidRPr="005366CC" w14:paraId="57708E52" w14:textId="77777777" w:rsidTr="00C05E95">
        <w:trPr>
          <w:gridAfter w:val="1"/>
          <w:wAfter w:w="52" w:type="dxa"/>
          <w:trHeight w:val="915"/>
        </w:trPr>
        <w:tc>
          <w:tcPr>
            <w:tcW w:w="3212" w:type="dxa"/>
            <w:tcBorders>
              <w:top w:val="nil"/>
              <w:left w:val="nil"/>
              <w:bottom w:val="nil"/>
              <w:right w:val="nil"/>
            </w:tcBorders>
            <w:shd w:val="clear" w:color="auto" w:fill="auto"/>
            <w:vAlign w:val="bottom"/>
            <w:hideMark/>
          </w:tcPr>
          <w:p w14:paraId="736D3191"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Acquisition of companies, net of</w:t>
            </w:r>
            <w:r w:rsidRPr="005366CC">
              <w:rPr>
                <w:rFonts w:ascii="Segoe UI" w:eastAsia="Times New Roman" w:hAnsi="Segoe UI" w:cs="Segoe UI"/>
                <w:color w:val="666666"/>
                <w:sz w:val="20"/>
                <w:szCs w:val="20"/>
              </w:rPr>
              <w:br/>
              <w:t xml:space="preserve">   cash acquired, and purchases of</w:t>
            </w:r>
            <w:r w:rsidRPr="005366CC">
              <w:rPr>
                <w:rFonts w:ascii="Segoe UI" w:eastAsia="Times New Roman" w:hAnsi="Segoe UI" w:cs="Segoe UI"/>
                <w:color w:val="666666"/>
                <w:sz w:val="20"/>
                <w:szCs w:val="20"/>
              </w:rPr>
              <w:br/>
              <w:t xml:space="preserve">   intangible and other assets</w:t>
            </w:r>
          </w:p>
        </w:tc>
        <w:tc>
          <w:tcPr>
            <w:tcW w:w="1112" w:type="dxa"/>
            <w:tcBorders>
              <w:top w:val="nil"/>
              <w:left w:val="nil"/>
              <w:bottom w:val="nil"/>
              <w:right w:val="nil"/>
            </w:tcBorders>
            <w:shd w:val="clear" w:color="auto" w:fill="auto"/>
            <w:noWrap/>
            <w:vAlign w:val="bottom"/>
            <w:hideMark/>
          </w:tcPr>
          <w:p w14:paraId="3F137FC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(162)</w:t>
            </w:r>
          </w:p>
        </w:tc>
        <w:tc>
          <w:tcPr>
            <w:tcW w:w="132" w:type="dxa"/>
            <w:tcBorders>
              <w:top w:val="nil"/>
              <w:left w:val="nil"/>
              <w:bottom w:val="nil"/>
              <w:right w:val="nil"/>
            </w:tcBorders>
            <w:shd w:val="clear" w:color="auto" w:fill="auto"/>
            <w:noWrap/>
            <w:vAlign w:val="bottom"/>
            <w:hideMark/>
          </w:tcPr>
          <w:p w14:paraId="6A1A227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07A88D3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(157)</w:t>
            </w:r>
          </w:p>
        </w:tc>
        <w:tc>
          <w:tcPr>
            <w:tcW w:w="132" w:type="dxa"/>
            <w:tcBorders>
              <w:top w:val="nil"/>
              <w:left w:val="nil"/>
              <w:bottom w:val="nil"/>
              <w:right w:val="nil"/>
            </w:tcBorders>
            <w:shd w:val="clear" w:color="auto" w:fill="auto"/>
            <w:noWrap/>
            <w:vAlign w:val="bottom"/>
            <w:hideMark/>
          </w:tcPr>
          <w:p w14:paraId="683E3EF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370338B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(3,097)</w:t>
            </w:r>
          </w:p>
        </w:tc>
        <w:tc>
          <w:tcPr>
            <w:tcW w:w="132" w:type="dxa"/>
            <w:tcBorders>
              <w:top w:val="nil"/>
              <w:left w:val="nil"/>
              <w:bottom w:val="nil"/>
              <w:right w:val="nil"/>
            </w:tcBorders>
            <w:shd w:val="clear" w:color="auto" w:fill="auto"/>
            <w:noWrap/>
            <w:vAlign w:val="bottom"/>
            <w:hideMark/>
          </w:tcPr>
          <w:p w14:paraId="11A499C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2AC4F71"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(311)</w:t>
            </w:r>
          </w:p>
        </w:tc>
      </w:tr>
      <w:tr w:rsidR="005366CC" w:rsidRPr="005366CC" w14:paraId="3C45E5F5" w14:textId="77777777" w:rsidTr="00C05E95">
        <w:trPr>
          <w:gridAfter w:val="1"/>
          <w:wAfter w:w="52" w:type="dxa"/>
          <w:trHeight w:val="315"/>
        </w:trPr>
        <w:tc>
          <w:tcPr>
            <w:tcW w:w="3212" w:type="dxa"/>
            <w:tcBorders>
              <w:top w:val="nil"/>
              <w:left w:val="nil"/>
              <w:bottom w:val="nil"/>
              <w:right w:val="nil"/>
            </w:tcBorders>
            <w:shd w:val="clear" w:color="auto" w:fill="auto"/>
            <w:noWrap/>
            <w:vAlign w:val="bottom"/>
            <w:hideMark/>
          </w:tcPr>
          <w:p w14:paraId="1410CBC4"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Purchases of investments</w:t>
            </w:r>
          </w:p>
        </w:tc>
        <w:tc>
          <w:tcPr>
            <w:tcW w:w="1112" w:type="dxa"/>
            <w:tcBorders>
              <w:top w:val="nil"/>
              <w:left w:val="nil"/>
              <w:bottom w:val="nil"/>
              <w:right w:val="nil"/>
            </w:tcBorders>
            <w:shd w:val="clear" w:color="auto" w:fill="auto"/>
            <w:noWrap/>
            <w:vAlign w:val="bottom"/>
            <w:hideMark/>
          </w:tcPr>
          <w:p w14:paraId="6365C7D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(30,218)</w:t>
            </w:r>
          </w:p>
        </w:tc>
        <w:tc>
          <w:tcPr>
            <w:tcW w:w="132" w:type="dxa"/>
            <w:tcBorders>
              <w:top w:val="nil"/>
              <w:left w:val="nil"/>
              <w:bottom w:val="nil"/>
              <w:right w:val="nil"/>
            </w:tcBorders>
            <w:shd w:val="clear" w:color="auto" w:fill="auto"/>
            <w:noWrap/>
            <w:vAlign w:val="bottom"/>
            <w:hideMark/>
          </w:tcPr>
          <w:p w14:paraId="52B142D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755D74D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(21,323)</w:t>
            </w:r>
          </w:p>
        </w:tc>
        <w:tc>
          <w:tcPr>
            <w:tcW w:w="132" w:type="dxa"/>
            <w:tcBorders>
              <w:top w:val="nil"/>
              <w:left w:val="nil"/>
              <w:bottom w:val="nil"/>
              <w:right w:val="nil"/>
            </w:tcBorders>
            <w:shd w:val="clear" w:color="auto" w:fill="auto"/>
            <w:noWrap/>
            <w:vAlign w:val="bottom"/>
            <w:hideMark/>
          </w:tcPr>
          <w:p w14:paraId="1D57397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36434A7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(73,470)</w:t>
            </w:r>
          </w:p>
        </w:tc>
        <w:tc>
          <w:tcPr>
            <w:tcW w:w="132" w:type="dxa"/>
            <w:tcBorders>
              <w:top w:val="nil"/>
              <w:left w:val="nil"/>
              <w:bottom w:val="nil"/>
              <w:right w:val="nil"/>
            </w:tcBorders>
            <w:shd w:val="clear" w:color="auto" w:fill="auto"/>
            <w:noWrap/>
            <w:vAlign w:val="bottom"/>
            <w:hideMark/>
          </w:tcPr>
          <w:p w14:paraId="4E8D7E3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52FF7E6"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(49,217)</w:t>
            </w:r>
          </w:p>
        </w:tc>
      </w:tr>
      <w:tr w:rsidR="005366CC" w:rsidRPr="005366CC" w14:paraId="2C9CEA50"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6093B2B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Maturities of investments</w:t>
            </w:r>
          </w:p>
        </w:tc>
        <w:tc>
          <w:tcPr>
            <w:tcW w:w="1112" w:type="dxa"/>
            <w:tcBorders>
              <w:top w:val="nil"/>
              <w:left w:val="nil"/>
              <w:bottom w:val="nil"/>
              <w:right w:val="nil"/>
            </w:tcBorders>
            <w:shd w:val="clear" w:color="auto" w:fill="auto"/>
            <w:noWrap/>
            <w:vAlign w:val="bottom"/>
            <w:hideMark/>
          </w:tcPr>
          <w:p w14:paraId="1D3BA74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5,561 </w:t>
            </w:r>
          </w:p>
        </w:tc>
        <w:tc>
          <w:tcPr>
            <w:tcW w:w="132" w:type="dxa"/>
            <w:tcBorders>
              <w:top w:val="nil"/>
              <w:left w:val="nil"/>
              <w:bottom w:val="nil"/>
              <w:right w:val="nil"/>
            </w:tcBorders>
            <w:shd w:val="clear" w:color="auto" w:fill="auto"/>
            <w:noWrap/>
            <w:vAlign w:val="bottom"/>
            <w:hideMark/>
          </w:tcPr>
          <w:p w14:paraId="148CA98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73517BD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2,336 </w:t>
            </w:r>
          </w:p>
        </w:tc>
        <w:tc>
          <w:tcPr>
            <w:tcW w:w="132" w:type="dxa"/>
            <w:tcBorders>
              <w:top w:val="nil"/>
              <w:left w:val="nil"/>
              <w:bottom w:val="nil"/>
              <w:right w:val="nil"/>
            </w:tcBorders>
            <w:shd w:val="clear" w:color="auto" w:fill="auto"/>
            <w:noWrap/>
            <w:vAlign w:val="bottom"/>
            <w:hideMark/>
          </w:tcPr>
          <w:p w14:paraId="1809878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40A03EF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9,643 </w:t>
            </w:r>
          </w:p>
        </w:tc>
        <w:tc>
          <w:tcPr>
            <w:tcW w:w="132" w:type="dxa"/>
            <w:tcBorders>
              <w:top w:val="nil"/>
              <w:left w:val="nil"/>
              <w:bottom w:val="nil"/>
              <w:right w:val="nil"/>
            </w:tcBorders>
            <w:shd w:val="clear" w:color="auto" w:fill="auto"/>
            <w:noWrap/>
            <w:vAlign w:val="bottom"/>
            <w:hideMark/>
          </w:tcPr>
          <w:p w14:paraId="5E9BB70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16C8B38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4,134 </w:t>
            </w:r>
          </w:p>
        </w:tc>
      </w:tr>
      <w:tr w:rsidR="005366CC" w:rsidRPr="005366CC" w14:paraId="7B85BAC8" w14:textId="77777777" w:rsidTr="00C05E95">
        <w:trPr>
          <w:gridAfter w:val="1"/>
          <w:wAfter w:w="52" w:type="dxa"/>
          <w:trHeight w:val="285"/>
        </w:trPr>
        <w:tc>
          <w:tcPr>
            <w:tcW w:w="3212" w:type="dxa"/>
            <w:tcBorders>
              <w:top w:val="nil"/>
              <w:left w:val="nil"/>
              <w:bottom w:val="nil"/>
              <w:right w:val="nil"/>
            </w:tcBorders>
            <w:shd w:val="clear" w:color="auto" w:fill="auto"/>
            <w:noWrap/>
            <w:vAlign w:val="bottom"/>
            <w:hideMark/>
          </w:tcPr>
          <w:p w14:paraId="1AD5BA7C"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Sales of investments</w:t>
            </w:r>
          </w:p>
        </w:tc>
        <w:tc>
          <w:tcPr>
            <w:tcW w:w="1112" w:type="dxa"/>
            <w:tcBorders>
              <w:top w:val="nil"/>
              <w:left w:val="nil"/>
              <w:bottom w:val="nil"/>
              <w:right w:val="nil"/>
            </w:tcBorders>
            <w:shd w:val="clear" w:color="auto" w:fill="auto"/>
            <w:noWrap/>
            <w:vAlign w:val="bottom"/>
            <w:hideMark/>
          </w:tcPr>
          <w:p w14:paraId="145FDC1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21,063 </w:t>
            </w:r>
          </w:p>
        </w:tc>
        <w:tc>
          <w:tcPr>
            <w:tcW w:w="132" w:type="dxa"/>
            <w:tcBorders>
              <w:top w:val="nil"/>
              <w:left w:val="nil"/>
              <w:bottom w:val="nil"/>
              <w:right w:val="nil"/>
            </w:tcBorders>
            <w:shd w:val="clear" w:color="auto" w:fill="auto"/>
            <w:noWrap/>
            <w:vAlign w:val="bottom"/>
            <w:hideMark/>
          </w:tcPr>
          <w:p w14:paraId="3C8B75A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4D2CBDC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16,006 </w:t>
            </w:r>
          </w:p>
        </w:tc>
        <w:tc>
          <w:tcPr>
            <w:tcW w:w="132" w:type="dxa"/>
            <w:tcBorders>
              <w:top w:val="nil"/>
              <w:left w:val="nil"/>
              <w:bottom w:val="nil"/>
              <w:right w:val="nil"/>
            </w:tcBorders>
            <w:shd w:val="clear" w:color="auto" w:fill="auto"/>
            <w:noWrap/>
            <w:vAlign w:val="bottom"/>
            <w:hideMark/>
          </w:tcPr>
          <w:p w14:paraId="4879C47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02734AD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53,616 </w:t>
            </w:r>
          </w:p>
        </w:tc>
        <w:tc>
          <w:tcPr>
            <w:tcW w:w="132" w:type="dxa"/>
            <w:tcBorders>
              <w:top w:val="nil"/>
              <w:left w:val="nil"/>
              <w:bottom w:val="nil"/>
              <w:right w:val="nil"/>
            </w:tcBorders>
            <w:shd w:val="clear" w:color="auto" w:fill="auto"/>
            <w:noWrap/>
            <w:vAlign w:val="bottom"/>
            <w:hideMark/>
          </w:tcPr>
          <w:p w14:paraId="1C0B281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30E029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39,477 </w:t>
            </w:r>
          </w:p>
        </w:tc>
      </w:tr>
      <w:tr w:rsidR="005366CC" w:rsidRPr="005366CC" w14:paraId="7E38E317" w14:textId="77777777" w:rsidTr="00C05E95">
        <w:trPr>
          <w:gridAfter w:val="1"/>
          <w:wAfter w:w="52" w:type="dxa"/>
          <w:trHeight w:val="285"/>
        </w:trPr>
        <w:tc>
          <w:tcPr>
            <w:tcW w:w="3212" w:type="dxa"/>
            <w:tcBorders>
              <w:top w:val="nil"/>
              <w:left w:val="nil"/>
              <w:bottom w:val="single" w:sz="4" w:space="0" w:color="auto"/>
              <w:right w:val="nil"/>
            </w:tcBorders>
            <w:shd w:val="clear" w:color="auto" w:fill="auto"/>
            <w:noWrap/>
            <w:vAlign w:val="bottom"/>
            <w:hideMark/>
          </w:tcPr>
          <w:p w14:paraId="545B94C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Securities lending payable</w:t>
            </w:r>
          </w:p>
        </w:tc>
        <w:tc>
          <w:tcPr>
            <w:tcW w:w="1112" w:type="dxa"/>
            <w:tcBorders>
              <w:top w:val="nil"/>
              <w:left w:val="nil"/>
              <w:bottom w:val="single" w:sz="4" w:space="0" w:color="auto"/>
              <w:right w:val="nil"/>
            </w:tcBorders>
            <w:shd w:val="clear" w:color="auto" w:fill="auto"/>
            <w:noWrap/>
            <w:vAlign w:val="bottom"/>
            <w:hideMark/>
          </w:tcPr>
          <w:p w14:paraId="58665A9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(334)</w:t>
            </w:r>
          </w:p>
        </w:tc>
        <w:tc>
          <w:tcPr>
            <w:tcW w:w="132" w:type="dxa"/>
            <w:tcBorders>
              <w:top w:val="nil"/>
              <w:left w:val="nil"/>
              <w:bottom w:val="nil"/>
              <w:right w:val="nil"/>
            </w:tcBorders>
            <w:shd w:val="clear" w:color="auto" w:fill="auto"/>
            <w:noWrap/>
            <w:vAlign w:val="bottom"/>
            <w:hideMark/>
          </w:tcPr>
          <w:p w14:paraId="69AE790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6566968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46 </w:t>
            </w:r>
          </w:p>
        </w:tc>
        <w:tc>
          <w:tcPr>
            <w:tcW w:w="132" w:type="dxa"/>
            <w:tcBorders>
              <w:top w:val="nil"/>
              <w:left w:val="nil"/>
              <w:bottom w:val="nil"/>
              <w:right w:val="nil"/>
            </w:tcBorders>
            <w:shd w:val="clear" w:color="auto" w:fill="auto"/>
            <w:noWrap/>
            <w:vAlign w:val="bottom"/>
            <w:hideMark/>
          </w:tcPr>
          <w:p w14:paraId="2BAA8D3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48F869B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(463)</w:t>
            </w:r>
          </w:p>
        </w:tc>
        <w:tc>
          <w:tcPr>
            <w:tcW w:w="132" w:type="dxa"/>
            <w:tcBorders>
              <w:top w:val="nil"/>
              <w:left w:val="nil"/>
              <w:bottom w:val="nil"/>
              <w:right w:val="nil"/>
            </w:tcBorders>
            <w:shd w:val="clear" w:color="auto" w:fill="auto"/>
            <w:noWrap/>
            <w:vAlign w:val="bottom"/>
            <w:hideMark/>
          </w:tcPr>
          <w:p w14:paraId="7CFBAF0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5E765F7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149 </w:t>
            </w:r>
          </w:p>
        </w:tc>
      </w:tr>
      <w:tr w:rsidR="005366CC" w:rsidRPr="005366CC" w14:paraId="59189A62" w14:textId="77777777" w:rsidTr="00C05E95">
        <w:trPr>
          <w:gridAfter w:val="1"/>
          <w:wAfter w:w="52" w:type="dxa"/>
          <w:trHeight w:val="285"/>
        </w:trPr>
        <w:tc>
          <w:tcPr>
            <w:tcW w:w="3212" w:type="dxa"/>
            <w:tcBorders>
              <w:top w:val="nil"/>
              <w:left w:val="nil"/>
              <w:bottom w:val="single" w:sz="4" w:space="0" w:color="auto"/>
              <w:right w:val="nil"/>
            </w:tcBorders>
            <w:shd w:val="clear" w:color="auto" w:fill="auto"/>
            <w:vAlign w:val="bottom"/>
            <w:hideMark/>
          </w:tcPr>
          <w:p w14:paraId="676CF68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Net cash used in investing</w:t>
            </w:r>
          </w:p>
        </w:tc>
        <w:tc>
          <w:tcPr>
            <w:tcW w:w="1112" w:type="dxa"/>
            <w:tcBorders>
              <w:top w:val="nil"/>
              <w:left w:val="nil"/>
              <w:bottom w:val="single" w:sz="4" w:space="0" w:color="auto"/>
              <w:right w:val="nil"/>
            </w:tcBorders>
            <w:shd w:val="clear" w:color="auto" w:fill="auto"/>
            <w:noWrap/>
            <w:vAlign w:val="bottom"/>
            <w:hideMark/>
          </w:tcPr>
          <w:p w14:paraId="5A3A2E3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(5,481)</w:t>
            </w:r>
          </w:p>
        </w:tc>
        <w:tc>
          <w:tcPr>
            <w:tcW w:w="132" w:type="dxa"/>
            <w:tcBorders>
              <w:top w:val="nil"/>
              <w:left w:val="nil"/>
              <w:bottom w:val="nil"/>
              <w:right w:val="nil"/>
            </w:tcBorders>
            <w:shd w:val="clear" w:color="auto" w:fill="auto"/>
            <w:noWrap/>
            <w:vAlign w:val="bottom"/>
            <w:hideMark/>
          </w:tcPr>
          <w:p w14:paraId="050D103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6134B67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(4,284)</w:t>
            </w:r>
          </w:p>
        </w:tc>
        <w:tc>
          <w:tcPr>
            <w:tcW w:w="132" w:type="dxa"/>
            <w:tcBorders>
              <w:top w:val="nil"/>
              <w:left w:val="nil"/>
              <w:bottom w:val="nil"/>
              <w:right w:val="nil"/>
            </w:tcBorders>
            <w:shd w:val="clear" w:color="auto" w:fill="auto"/>
            <w:noWrap/>
            <w:vAlign w:val="bottom"/>
            <w:hideMark/>
          </w:tcPr>
          <w:p w14:paraId="3E49104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1402693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(17,934)</w:t>
            </w:r>
          </w:p>
        </w:tc>
        <w:tc>
          <w:tcPr>
            <w:tcW w:w="132" w:type="dxa"/>
            <w:tcBorders>
              <w:top w:val="nil"/>
              <w:left w:val="nil"/>
              <w:bottom w:val="nil"/>
              <w:right w:val="nil"/>
            </w:tcBorders>
            <w:shd w:val="clear" w:color="auto" w:fill="auto"/>
            <w:noWrap/>
            <w:vAlign w:val="bottom"/>
            <w:hideMark/>
          </w:tcPr>
          <w:p w14:paraId="3B8AE1E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5A0A52D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(9,923)</w:t>
            </w:r>
          </w:p>
        </w:tc>
      </w:tr>
      <w:tr w:rsidR="005366CC" w:rsidRPr="005366CC" w14:paraId="2C7E65BB" w14:textId="77777777" w:rsidTr="00C05E95">
        <w:trPr>
          <w:gridAfter w:val="1"/>
          <w:wAfter w:w="52" w:type="dxa"/>
          <w:trHeight w:val="570"/>
        </w:trPr>
        <w:tc>
          <w:tcPr>
            <w:tcW w:w="3212" w:type="dxa"/>
            <w:tcBorders>
              <w:top w:val="nil"/>
              <w:left w:val="nil"/>
              <w:bottom w:val="single" w:sz="4" w:space="0" w:color="auto"/>
              <w:right w:val="nil"/>
            </w:tcBorders>
            <w:shd w:val="clear" w:color="auto" w:fill="auto"/>
            <w:vAlign w:val="bottom"/>
            <w:hideMark/>
          </w:tcPr>
          <w:p w14:paraId="1FE775C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Effect of exchange rates on cash</w:t>
            </w:r>
            <w:r w:rsidRPr="005366CC">
              <w:rPr>
                <w:rFonts w:ascii="Segoe UI" w:eastAsia="Times New Roman" w:hAnsi="Segoe UI" w:cs="Segoe UI"/>
                <w:color w:val="666666"/>
                <w:sz w:val="20"/>
                <w:szCs w:val="20"/>
              </w:rPr>
              <w:br/>
              <w:t xml:space="preserve">   and cash equivalents</w:t>
            </w:r>
          </w:p>
        </w:tc>
        <w:tc>
          <w:tcPr>
            <w:tcW w:w="1112" w:type="dxa"/>
            <w:tcBorders>
              <w:top w:val="nil"/>
              <w:left w:val="nil"/>
              <w:bottom w:val="single" w:sz="4" w:space="0" w:color="auto"/>
              <w:right w:val="nil"/>
            </w:tcBorders>
            <w:shd w:val="clear" w:color="auto" w:fill="auto"/>
            <w:noWrap/>
            <w:vAlign w:val="bottom"/>
            <w:hideMark/>
          </w:tcPr>
          <w:p w14:paraId="0D9CF98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(36)</w:t>
            </w:r>
          </w:p>
        </w:tc>
        <w:tc>
          <w:tcPr>
            <w:tcW w:w="132" w:type="dxa"/>
            <w:tcBorders>
              <w:top w:val="nil"/>
              <w:left w:val="nil"/>
              <w:bottom w:val="nil"/>
              <w:right w:val="nil"/>
            </w:tcBorders>
            <w:shd w:val="clear" w:color="auto" w:fill="auto"/>
            <w:noWrap/>
            <w:vAlign w:val="bottom"/>
            <w:hideMark/>
          </w:tcPr>
          <w:p w14:paraId="5A1E75E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5D9E1D6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 </w:t>
            </w:r>
          </w:p>
        </w:tc>
        <w:tc>
          <w:tcPr>
            <w:tcW w:w="132" w:type="dxa"/>
            <w:tcBorders>
              <w:top w:val="nil"/>
              <w:left w:val="nil"/>
              <w:bottom w:val="nil"/>
              <w:right w:val="nil"/>
            </w:tcBorders>
            <w:shd w:val="clear" w:color="auto" w:fill="auto"/>
            <w:noWrap/>
            <w:vAlign w:val="bottom"/>
            <w:hideMark/>
          </w:tcPr>
          <w:p w14:paraId="15DA9CE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7EC25BB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(76)</w:t>
            </w:r>
          </w:p>
        </w:tc>
        <w:tc>
          <w:tcPr>
            <w:tcW w:w="132" w:type="dxa"/>
            <w:tcBorders>
              <w:top w:val="nil"/>
              <w:left w:val="nil"/>
              <w:bottom w:val="nil"/>
              <w:right w:val="nil"/>
            </w:tcBorders>
            <w:shd w:val="clear" w:color="auto" w:fill="auto"/>
            <w:noWrap/>
            <w:vAlign w:val="bottom"/>
            <w:hideMark/>
          </w:tcPr>
          <w:p w14:paraId="0145DA8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6FDDD69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59 </w:t>
            </w:r>
          </w:p>
        </w:tc>
      </w:tr>
      <w:tr w:rsidR="005366CC" w:rsidRPr="005366CC" w14:paraId="31437CD9"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08117427"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Net change in cash and cash</w:t>
            </w:r>
            <w:r w:rsidRPr="005366CC">
              <w:rPr>
                <w:rFonts w:ascii="Segoe UI" w:eastAsia="Times New Roman" w:hAnsi="Segoe UI" w:cs="Segoe UI"/>
                <w:color w:val="666666"/>
                <w:sz w:val="20"/>
                <w:szCs w:val="20"/>
              </w:rPr>
              <w:br/>
              <w:t xml:space="preserve">   equivalents</w:t>
            </w:r>
          </w:p>
        </w:tc>
        <w:tc>
          <w:tcPr>
            <w:tcW w:w="1112" w:type="dxa"/>
            <w:tcBorders>
              <w:top w:val="nil"/>
              <w:left w:val="nil"/>
              <w:bottom w:val="nil"/>
              <w:right w:val="nil"/>
            </w:tcBorders>
            <w:shd w:val="clear" w:color="auto" w:fill="auto"/>
            <w:noWrap/>
            <w:vAlign w:val="bottom"/>
            <w:hideMark/>
          </w:tcPr>
          <w:p w14:paraId="20A1BF0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988 </w:t>
            </w:r>
          </w:p>
        </w:tc>
        <w:tc>
          <w:tcPr>
            <w:tcW w:w="132" w:type="dxa"/>
            <w:tcBorders>
              <w:top w:val="nil"/>
              <w:left w:val="nil"/>
              <w:bottom w:val="nil"/>
              <w:right w:val="nil"/>
            </w:tcBorders>
            <w:shd w:val="clear" w:color="auto" w:fill="auto"/>
            <w:noWrap/>
            <w:vAlign w:val="bottom"/>
            <w:hideMark/>
          </w:tcPr>
          <w:p w14:paraId="7829641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nil"/>
              <w:right w:val="nil"/>
            </w:tcBorders>
            <w:shd w:val="clear" w:color="auto" w:fill="auto"/>
            <w:noWrap/>
            <w:vAlign w:val="bottom"/>
            <w:hideMark/>
          </w:tcPr>
          <w:p w14:paraId="66F2120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1,513 </w:t>
            </w:r>
          </w:p>
        </w:tc>
        <w:tc>
          <w:tcPr>
            <w:tcW w:w="132" w:type="dxa"/>
            <w:tcBorders>
              <w:top w:val="nil"/>
              <w:left w:val="nil"/>
              <w:bottom w:val="nil"/>
              <w:right w:val="nil"/>
            </w:tcBorders>
            <w:shd w:val="clear" w:color="auto" w:fill="auto"/>
            <w:noWrap/>
            <w:vAlign w:val="bottom"/>
            <w:hideMark/>
          </w:tcPr>
          <w:p w14:paraId="6FA9CB8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nil"/>
              <w:right w:val="nil"/>
            </w:tcBorders>
            <w:shd w:val="clear" w:color="auto" w:fill="auto"/>
            <w:noWrap/>
            <w:vAlign w:val="bottom"/>
            <w:hideMark/>
          </w:tcPr>
          <w:p w14:paraId="5FF24DC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(1,255)</w:t>
            </w:r>
          </w:p>
        </w:tc>
        <w:tc>
          <w:tcPr>
            <w:tcW w:w="132" w:type="dxa"/>
            <w:tcBorders>
              <w:top w:val="nil"/>
              <w:left w:val="nil"/>
              <w:bottom w:val="nil"/>
              <w:right w:val="nil"/>
            </w:tcBorders>
            <w:shd w:val="clear" w:color="auto" w:fill="auto"/>
            <w:noWrap/>
            <w:vAlign w:val="bottom"/>
            <w:hideMark/>
          </w:tcPr>
          <w:p w14:paraId="6D9F248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0D487F2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7,768 </w:t>
            </w:r>
          </w:p>
        </w:tc>
      </w:tr>
      <w:tr w:rsidR="005366CC" w:rsidRPr="005366CC" w14:paraId="080CBD36" w14:textId="77777777" w:rsidTr="00C05E95">
        <w:trPr>
          <w:gridAfter w:val="1"/>
          <w:wAfter w:w="52" w:type="dxa"/>
          <w:trHeight w:val="570"/>
        </w:trPr>
        <w:tc>
          <w:tcPr>
            <w:tcW w:w="3212" w:type="dxa"/>
            <w:tcBorders>
              <w:top w:val="nil"/>
              <w:left w:val="nil"/>
              <w:bottom w:val="single" w:sz="4" w:space="0" w:color="auto"/>
              <w:right w:val="nil"/>
            </w:tcBorders>
            <w:shd w:val="clear" w:color="auto" w:fill="auto"/>
            <w:vAlign w:val="bottom"/>
            <w:hideMark/>
          </w:tcPr>
          <w:p w14:paraId="05195DB6"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Cash and cash equivalents,</w:t>
            </w:r>
            <w:r w:rsidRPr="005366CC">
              <w:rPr>
                <w:rFonts w:ascii="Segoe UI" w:eastAsia="Times New Roman" w:hAnsi="Segoe UI" w:cs="Segoe UI"/>
                <w:color w:val="666666"/>
                <w:sz w:val="20"/>
                <w:szCs w:val="20"/>
              </w:rPr>
              <w:br/>
              <w:t xml:space="preserve">   beginning of period</w:t>
            </w:r>
          </w:p>
        </w:tc>
        <w:tc>
          <w:tcPr>
            <w:tcW w:w="1112" w:type="dxa"/>
            <w:tcBorders>
              <w:top w:val="nil"/>
              <w:left w:val="nil"/>
              <w:bottom w:val="single" w:sz="4" w:space="0" w:color="auto"/>
              <w:right w:val="nil"/>
            </w:tcBorders>
            <w:shd w:val="clear" w:color="auto" w:fill="auto"/>
            <w:noWrap/>
            <w:vAlign w:val="bottom"/>
            <w:hideMark/>
          </w:tcPr>
          <w:p w14:paraId="392CD08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6,426 </w:t>
            </w:r>
          </w:p>
        </w:tc>
        <w:tc>
          <w:tcPr>
            <w:tcW w:w="132" w:type="dxa"/>
            <w:tcBorders>
              <w:top w:val="nil"/>
              <w:left w:val="nil"/>
              <w:bottom w:val="nil"/>
              <w:right w:val="nil"/>
            </w:tcBorders>
            <w:shd w:val="clear" w:color="auto" w:fill="auto"/>
            <w:noWrap/>
            <w:vAlign w:val="bottom"/>
            <w:hideMark/>
          </w:tcPr>
          <w:p w14:paraId="0748BAD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4" w:space="0" w:color="auto"/>
              <w:right w:val="nil"/>
            </w:tcBorders>
            <w:shd w:val="clear" w:color="auto" w:fill="auto"/>
            <w:noWrap/>
            <w:vAlign w:val="bottom"/>
            <w:hideMark/>
          </w:tcPr>
          <w:p w14:paraId="0C347DE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10,059 </w:t>
            </w:r>
          </w:p>
        </w:tc>
        <w:tc>
          <w:tcPr>
            <w:tcW w:w="132" w:type="dxa"/>
            <w:tcBorders>
              <w:top w:val="nil"/>
              <w:left w:val="nil"/>
              <w:bottom w:val="nil"/>
              <w:right w:val="nil"/>
            </w:tcBorders>
            <w:shd w:val="clear" w:color="auto" w:fill="auto"/>
            <w:noWrap/>
            <w:vAlign w:val="bottom"/>
            <w:hideMark/>
          </w:tcPr>
          <w:p w14:paraId="54CE0E4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4" w:space="0" w:color="auto"/>
              <w:right w:val="nil"/>
            </w:tcBorders>
            <w:shd w:val="clear" w:color="auto" w:fill="auto"/>
            <w:noWrap/>
            <w:vAlign w:val="bottom"/>
            <w:hideMark/>
          </w:tcPr>
          <w:p w14:paraId="0006CF6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8,669 </w:t>
            </w:r>
          </w:p>
        </w:tc>
        <w:tc>
          <w:tcPr>
            <w:tcW w:w="132" w:type="dxa"/>
            <w:tcBorders>
              <w:top w:val="nil"/>
              <w:left w:val="nil"/>
              <w:bottom w:val="nil"/>
              <w:right w:val="nil"/>
            </w:tcBorders>
            <w:shd w:val="clear" w:color="auto" w:fill="auto"/>
            <w:noWrap/>
            <w:vAlign w:val="bottom"/>
            <w:hideMark/>
          </w:tcPr>
          <w:p w14:paraId="2050585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455925D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3,804 </w:t>
            </w:r>
          </w:p>
        </w:tc>
      </w:tr>
      <w:tr w:rsidR="005366CC" w:rsidRPr="005366CC" w14:paraId="29B59A8B" w14:textId="77777777" w:rsidTr="00C05E95">
        <w:trPr>
          <w:gridAfter w:val="1"/>
          <w:wAfter w:w="52" w:type="dxa"/>
          <w:trHeight w:val="570"/>
        </w:trPr>
        <w:tc>
          <w:tcPr>
            <w:tcW w:w="3212" w:type="dxa"/>
            <w:tcBorders>
              <w:top w:val="nil"/>
              <w:left w:val="nil"/>
              <w:bottom w:val="nil"/>
              <w:right w:val="nil"/>
            </w:tcBorders>
            <w:shd w:val="clear" w:color="auto" w:fill="auto"/>
            <w:vAlign w:val="bottom"/>
            <w:hideMark/>
          </w:tcPr>
          <w:p w14:paraId="6BC384E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Cash and cash equivalents, end of</w:t>
            </w:r>
            <w:r w:rsidRPr="005366CC">
              <w:rPr>
                <w:rFonts w:ascii="Segoe UI" w:eastAsia="Times New Roman" w:hAnsi="Segoe UI" w:cs="Segoe UI"/>
                <w:color w:val="666666"/>
                <w:sz w:val="20"/>
                <w:szCs w:val="20"/>
              </w:rPr>
              <w:br/>
              <w:t xml:space="preserve">   period</w:t>
            </w:r>
          </w:p>
        </w:tc>
        <w:tc>
          <w:tcPr>
            <w:tcW w:w="1112" w:type="dxa"/>
            <w:tcBorders>
              <w:top w:val="nil"/>
              <w:left w:val="nil"/>
              <w:bottom w:val="single" w:sz="8" w:space="0" w:color="auto"/>
              <w:right w:val="nil"/>
            </w:tcBorders>
            <w:shd w:val="clear" w:color="auto" w:fill="auto"/>
            <w:noWrap/>
            <w:vAlign w:val="bottom"/>
            <w:hideMark/>
          </w:tcPr>
          <w:p w14:paraId="46CD716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7,414 </w:t>
            </w:r>
          </w:p>
        </w:tc>
        <w:tc>
          <w:tcPr>
            <w:tcW w:w="132" w:type="dxa"/>
            <w:tcBorders>
              <w:top w:val="nil"/>
              <w:left w:val="nil"/>
              <w:bottom w:val="nil"/>
              <w:right w:val="nil"/>
            </w:tcBorders>
            <w:shd w:val="clear" w:color="auto" w:fill="auto"/>
            <w:noWrap/>
            <w:vAlign w:val="bottom"/>
            <w:hideMark/>
          </w:tcPr>
          <w:p w14:paraId="5285136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gridSpan w:val="2"/>
            <w:tcBorders>
              <w:top w:val="nil"/>
              <w:left w:val="nil"/>
              <w:bottom w:val="single" w:sz="8" w:space="0" w:color="auto"/>
              <w:right w:val="nil"/>
            </w:tcBorders>
            <w:shd w:val="clear" w:color="auto" w:fill="auto"/>
            <w:noWrap/>
            <w:vAlign w:val="bottom"/>
            <w:hideMark/>
          </w:tcPr>
          <w:p w14:paraId="56452D3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$11,572 </w:t>
            </w:r>
          </w:p>
        </w:tc>
        <w:tc>
          <w:tcPr>
            <w:tcW w:w="132" w:type="dxa"/>
            <w:tcBorders>
              <w:top w:val="nil"/>
              <w:left w:val="nil"/>
              <w:bottom w:val="nil"/>
              <w:right w:val="nil"/>
            </w:tcBorders>
            <w:shd w:val="clear" w:color="auto" w:fill="auto"/>
            <w:noWrap/>
            <w:vAlign w:val="bottom"/>
            <w:hideMark/>
          </w:tcPr>
          <w:p w14:paraId="36E504B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p>
        </w:tc>
        <w:tc>
          <w:tcPr>
            <w:tcW w:w="1212" w:type="dxa"/>
            <w:gridSpan w:val="3"/>
            <w:tcBorders>
              <w:top w:val="nil"/>
              <w:left w:val="nil"/>
              <w:bottom w:val="single" w:sz="8" w:space="0" w:color="auto"/>
              <w:right w:val="nil"/>
            </w:tcBorders>
            <w:shd w:val="clear" w:color="auto" w:fill="auto"/>
            <w:noWrap/>
            <w:vAlign w:val="bottom"/>
            <w:hideMark/>
          </w:tcPr>
          <w:p w14:paraId="0AF33AA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7,414 </w:t>
            </w:r>
          </w:p>
        </w:tc>
        <w:tc>
          <w:tcPr>
            <w:tcW w:w="132" w:type="dxa"/>
            <w:tcBorders>
              <w:top w:val="nil"/>
              <w:left w:val="nil"/>
              <w:bottom w:val="nil"/>
              <w:right w:val="nil"/>
            </w:tcBorders>
            <w:shd w:val="clear" w:color="auto" w:fill="auto"/>
            <w:noWrap/>
            <w:vAlign w:val="bottom"/>
            <w:hideMark/>
          </w:tcPr>
          <w:p w14:paraId="301EAFE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8" w:space="0" w:color="auto"/>
              <w:right w:val="nil"/>
            </w:tcBorders>
            <w:shd w:val="clear" w:color="auto" w:fill="auto"/>
            <w:noWrap/>
            <w:vAlign w:val="bottom"/>
            <w:hideMark/>
          </w:tcPr>
          <w:p w14:paraId="244FEFF7"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$11,572 </w:t>
            </w:r>
          </w:p>
        </w:tc>
      </w:tr>
    </w:tbl>
    <w:p w14:paraId="44C5FE13" w14:textId="1461C5EF" w:rsidR="00EA2CC9" w:rsidRDefault="00EA2CC9" w:rsidP="00721C2E"/>
    <w:p w14:paraId="05F30CD6" w14:textId="77777777" w:rsidR="00EA2CC9" w:rsidRDefault="00EA2CC9">
      <w:pPr>
        <w:spacing w:after="160" w:line="259" w:lineRule="auto"/>
      </w:pPr>
      <w:r>
        <w:br w:type="page"/>
      </w:r>
    </w:p>
    <w:tbl>
      <w:tblPr>
        <w:tblW w:w="7668" w:type="dxa"/>
        <w:tblCellMar>
          <w:left w:w="0" w:type="dxa"/>
          <w:right w:w="0" w:type="dxa"/>
        </w:tblCellMar>
        <w:tblLook w:val="04A0" w:firstRow="1" w:lastRow="0" w:firstColumn="1" w:lastColumn="0" w:noHBand="0" w:noVBand="1"/>
      </w:tblPr>
      <w:tblGrid>
        <w:gridCol w:w="3112"/>
        <w:gridCol w:w="1112"/>
        <w:gridCol w:w="212"/>
        <w:gridCol w:w="952"/>
        <w:gridCol w:w="132"/>
        <w:gridCol w:w="1112"/>
        <w:gridCol w:w="212"/>
        <w:gridCol w:w="952"/>
      </w:tblGrid>
      <w:tr w:rsidR="005366CC" w:rsidRPr="005366CC" w14:paraId="0716BE5D" w14:textId="77777777" w:rsidTr="00C05E95">
        <w:trPr>
          <w:trHeight w:val="285"/>
        </w:trPr>
        <w:tc>
          <w:tcPr>
            <w:tcW w:w="3096" w:type="dxa"/>
            <w:tcBorders>
              <w:top w:val="nil"/>
              <w:left w:val="nil"/>
              <w:bottom w:val="nil"/>
              <w:right w:val="nil"/>
            </w:tcBorders>
            <w:shd w:val="clear" w:color="000000" w:fill="FFFFFF"/>
            <w:noWrap/>
            <w:vAlign w:val="bottom"/>
            <w:hideMark/>
          </w:tcPr>
          <w:p w14:paraId="7CD6E44A" w14:textId="77777777" w:rsidR="005366CC" w:rsidRPr="005366CC" w:rsidRDefault="005366CC" w:rsidP="005366CC">
            <w:pPr>
              <w:spacing w:after="0" w:line="240" w:lineRule="auto"/>
              <w:rPr>
                <w:rFonts w:ascii="Segoe UI" w:eastAsia="Times New Roman" w:hAnsi="Segoe UI" w:cs="Segoe UI"/>
                <w:b/>
                <w:bCs/>
                <w:color w:val="666666"/>
                <w:sz w:val="20"/>
                <w:szCs w:val="20"/>
              </w:rPr>
            </w:pPr>
            <w:bookmarkStart w:id="12" w:name="_GoBack"/>
            <w:bookmarkEnd w:id="12"/>
            <w:r w:rsidRPr="005366CC">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000000" w:fill="FFFFFF"/>
            <w:noWrap/>
            <w:vAlign w:val="bottom"/>
            <w:hideMark/>
          </w:tcPr>
          <w:p w14:paraId="5B00DE4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4B5BF2C7"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217DA3D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6C03705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AFA398F"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4C7F0F5F"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417D82F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r>
      <w:tr w:rsidR="005366CC" w:rsidRPr="005366CC" w14:paraId="41E4813B" w14:textId="77777777" w:rsidTr="00C05E95">
        <w:trPr>
          <w:trHeight w:val="285"/>
        </w:trPr>
        <w:tc>
          <w:tcPr>
            <w:tcW w:w="3096" w:type="dxa"/>
            <w:tcBorders>
              <w:top w:val="nil"/>
              <w:left w:val="nil"/>
              <w:bottom w:val="nil"/>
              <w:right w:val="nil"/>
            </w:tcBorders>
            <w:shd w:val="clear" w:color="000000" w:fill="FFFFFF"/>
            <w:noWrap/>
            <w:vAlign w:val="bottom"/>
            <w:hideMark/>
          </w:tcPr>
          <w:p w14:paraId="0E91ADD6"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096" w:type="dxa"/>
            <w:tcBorders>
              <w:top w:val="nil"/>
              <w:left w:val="nil"/>
              <w:bottom w:val="nil"/>
              <w:right w:val="nil"/>
            </w:tcBorders>
            <w:shd w:val="clear" w:color="000000" w:fill="FFFFFF"/>
            <w:noWrap/>
            <w:vAlign w:val="bottom"/>
            <w:hideMark/>
          </w:tcPr>
          <w:p w14:paraId="05C6992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2EED24D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5AA9FE47"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468CC4E8"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16ACD5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1953C937"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3E5AF136"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r>
      <w:tr w:rsidR="005366CC" w:rsidRPr="005366CC" w14:paraId="561085B1" w14:textId="77777777" w:rsidTr="00C05E95">
        <w:trPr>
          <w:trHeight w:val="285"/>
        </w:trPr>
        <w:tc>
          <w:tcPr>
            <w:tcW w:w="7668" w:type="dxa"/>
            <w:gridSpan w:val="8"/>
            <w:tcBorders>
              <w:top w:val="nil"/>
              <w:left w:val="nil"/>
              <w:bottom w:val="nil"/>
              <w:right w:val="nil"/>
            </w:tcBorders>
            <w:shd w:val="clear" w:color="000000" w:fill="FFFFFF"/>
            <w:noWrap/>
            <w:vAlign w:val="bottom"/>
            <w:hideMark/>
          </w:tcPr>
          <w:p w14:paraId="763E7B63"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SEGMENT REVENUE AND GROSS MARGIN</w:t>
            </w:r>
          </w:p>
        </w:tc>
      </w:tr>
      <w:tr w:rsidR="005366CC" w:rsidRPr="005366CC" w14:paraId="51257F9C" w14:textId="77777777" w:rsidTr="00C05E95">
        <w:trPr>
          <w:trHeight w:val="285"/>
        </w:trPr>
        <w:tc>
          <w:tcPr>
            <w:tcW w:w="7668" w:type="dxa"/>
            <w:gridSpan w:val="8"/>
            <w:tcBorders>
              <w:top w:val="nil"/>
              <w:left w:val="nil"/>
              <w:bottom w:val="nil"/>
              <w:right w:val="nil"/>
            </w:tcBorders>
            <w:shd w:val="clear" w:color="000000" w:fill="FFFFFF"/>
            <w:noWrap/>
            <w:vAlign w:val="bottom"/>
            <w:hideMark/>
          </w:tcPr>
          <w:p w14:paraId="52E5B389"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(In millions)(Unaudited)</w:t>
            </w:r>
          </w:p>
        </w:tc>
      </w:tr>
      <w:tr w:rsidR="005366CC" w:rsidRPr="005366CC" w14:paraId="6EE08A30" w14:textId="77777777" w:rsidTr="00C05E95">
        <w:trPr>
          <w:trHeight w:val="285"/>
        </w:trPr>
        <w:tc>
          <w:tcPr>
            <w:tcW w:w="3096" w:type="dxa"/>
            <w:tcBorders>
              <w:top w:val="nil"/>
              <w:left w:val="nil"/>
              <w:bottom w:val="nil"/>
              <w:right w:val="nil"/>
            </w:tcBorders>
            <w:shd w:val="clear" w:color="000000" w:fill="FFFFFF"/>
            <w:noWrap/>
            <w:vAlign w:val="bottom"/>
            <w:hideMark/>
          </w:tcPr>
          <w:p w14:paraId="269D72A4"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143D7CC"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22BA54E6"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6157C057"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7E7AA534"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220AB16"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7A5033BF"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71DE0E89" w14:textId="77777777" w:rsidR="005366CC" w:rsidRPr="005366CC" w:rsidRDefault="005366CC" w:rsidP="005366CC">
            <w:pPr>
              <w:spacing w:after="0" w:line="240" w:lineRule="auto"/>
              <w:jc w:val="center"/>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r>
      <w:tr w:rsidR="005366CC" w:rsidRPr="005366CC" w14:paraId="700738CB" w14:textId="77777777" w:rsidTr="00C05E95">
        <w:trPr>
          <w:trHeight w:val="285"/>
        </w:trPr>
        <w:tc>
          <w:tcPr>
            <w:tcW w:w="3096" w:type="dxa"/>
            <w:tcBorders>
              <w:top w:val="nil"/>
              <w:left w:val="nil"/>
              <w:bottom w:val="nil"/>
              <w:right w:val="nil"/>
            </w:tcBorders>
            <w:shd w:val="clear" w:color="000000" w:fill="FFFFFF"/>
            <w:noWrap/>
            <w:vAlign w:val="bottom"/>
            <w:hideMark/>
          </w:tcPr>
          <w:p w14:paraId="37224D5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2228" w:type="dxa"/>
            <w:gridSpan w:val="3"/>
            <w:vMerge w:val="restart"/>
            <w:tcBorders>
              <w:top w:val="nil"/>
              <w:left w:val="nil"/>
              <w:bottom w:val="nil"/>
              <w:right w:val="nil"/>
            </w:tcBorders>
            <w:shd w:val="clear" w:color="000000" w:fill="FFFFFF"/>
            <w:vAlign w:val="bottom"/>
            <w:hideMark/>
          </w:tcPr>
          <w:p w14:paraId="39FE173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Three Months Ended March 31,</w:t>
            </w:r>
          </w:p>
        </w:tc>
        <w:tc>
          <w:tcPr>
            <w:tcW w:w="116" w:type="dxa"/>
            <w:tcBorders>
              <w:top w:val="nil"/>
              <w:left w:val="nil"/>
              <w:bottom w:val="nil"/>
              <w:right w:val="nil"/>
            </w:tcBorders>
            <w:shd w:val="clear" w:color="000000" w:fill="FFFFFF"/>
            <w:noWrap/>
            <w:vAlign w:val="bottom"/>
            <w:hideMark/>
          </w:tcPr>
          <w:p w14:paraId="63CC6DB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2228" w:type="dxa"/>
            <w:gridSpan w:val="3"/>
            <w:vMerge w:val="restart"/>
            <w:tcBorders>
              <w:top w:val="nil"/>
              <w:left w:val="nil"/>
              <w:bottom w:val="nil"/>
              <w:right w:val="nil"/>
            </w:tcBorders>
            <w:shd w:val="clear" w:color="000000" w:fill="FFFFFF"/>
            <w:vAlign w:val="bottom"/>
            <w:hideMark/>
          </w:tcPr>
          <w:p w14:paraId="349916A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Nine Months Ended March 31,</w:t>
            </w:r>
          </w:p>
        </w:tc>
      </w:tr>
      <w:tr w:rsidR="005366CC" w:rsidRPr="005366CC" w14:paraId="2A266990" w14:textId="77777777" w:rsidTr="00C05E95">
        <w:trPr>
          <w:trHeight w:val="285"/>
        </w:trPr>
        <w:tc>
          <w:tcPr>
            <w:tcW w:w="3096" w:type="dxa"/>
            <w:tcBorders>
              <w:top w:val="nil"/>
              <w:left w:val="nil"/>
              <w:bottom w:val="nil"/>
              <w:right w:val="nil"/>
            </w:tcBorders>
            <w:shd w:val="clear" w:color="000000" w:fill="FFFFFF"/>
            <w:noWrap/>
            <w:vAlign w:val="bottom"/>
            <w:hideMark/>
          </w:tcPr>
          <w:p w14:paraId="601AB70F"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2228" w:type="dxa"/>
            <w:gridSpan w:val="3"/>
            <w:vMerge/>
            <w:tcBorders>
              <w:top w:val="nil"/>
              <w:left w:val="nil"/>
              <w:bottom w:val="nil"/>
              <w:right w:val="nil"/>
            </w:tcBorders>
            <w:vAlign w:val="center"/>
            <w:hideMark/>
          </w:tcPr>
          <w:p w14:paraId="7BEDA944"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000000" w:fill="FFFFFF"/>
            <w:noWrap/>
            <w:vAlign w:val="bottom"/>
            <w:hideMark/>
          </w:tcPr>
          <w:p w14:paraId="6783885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2228" w:type="dxa"/>
            <w:gridSpan w:val="3"/>
            <w:vMerge/>
            <w:tcBorders>
              <w:top w:val="nil"/>
              <w:left w:val="nil"/>
              <w:bottom w:val="nil"/>
              <w:right w:val="nil"/>
            </w:tcBorders>
            <w:vAlign w:val="center"/>
            <w:hideMark/>
          </w:tcPr>
          <w:p w14:paraId="3C126E83" w14:textId="77777777" w:rsidR="005366CC" w:rsidRPr="005366CC" w:rsidRDefault="005366CC" w:rsidP="005366CC">
            <w:pPr>
              <w:spacing w:after="0" w:line="240" w:lineRule="auto"/>
              <w:rPr>
                <w:rFonts w:ascii="Segoe UI" w:eastAsia="Times New Roman" w:hAnsi="Segoe UI" w:cs="Segoe UI"/>
                <w:b/>
                <w:bCs/>
                <w:color w:val="666666"/>
                <w:sz w:val="20"/>
                <w:szCs w:val="20"/>
              </w:rPr>
            </w:pPr>
          </w:p>
        </w:tc>
      </w:tr>
      <w:tr w:rsidR="005366CC" w:rsidRPr="005366CC" w14:paraId="5024924D" w14:textId="77777777" w:rsidTr="00C05E95">
        <w:trPr>
          <w:trHeight w:val="285"/>
        </w:trPr>
        <w:tc>
          <w:tcPr>
            <w:tcW w:w="3096" w:type="dxa"/>
            <w:tcBorders>
              <w:top w:val="nil"/>
              <w:left w:val="nil"/>
              <w:bottom w:val="single" w:sz="4" w:space="0" w:color="auto"/>
              <w:right w:val="nil"/>
            </w:tcBorders>
            <w:shd w:val="clear" w:color="000000" w:fill="FFFFFF"/>
            <w:noWrap/>
            <w:vAlign w:val="bottom"/>
            <w:hideMark/>
          </w:tcPr>
          <w:p w14:paraId="1EAC8837"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5BF263B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2015</w:t>
            </w:r>
          </w:p>
        </w:tc>
        <w:tc>
          <w:tcPr>
            <w:tcW w:w="196" w:type="dxa"/>
            <w:tcBorders>
              <w:top w:val="nil"/>
              <w:left w:val="nil"/>
              <w:bottom w:val="single" w:sz="4" w:space="0" w:color="auto"/>
              <w:right w:val="nil"/>
            </w:tcBorders>
            <w:shd w:val="clear" w:color="000000" w:fill="FFFFFF"/>
            <w:noWrap/>
            <w:vAlign w:val="bottom"/>
            <w:hideMark/>
          </w:tcPr>
          <w:p w14:paraId="7CE87D7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7E21D5C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000000" w:fill="FFFFFF"/>
            <w:noWrap/>
            <w:vAlign w:val="bottom"/>
            <w:hideMark/>
          </w:tcPr>
          <w:p w14:paraId="73124ED0" w14:textId="77777777" w:rsidR="005366CC" w:rsidRPr="005366CC" w:rsidRDefault="005366CC" w:rsidP="005366CC">
            <w:pPr>
              <w:spacing w:after="0" w:line="240" w:lineRule="auto"/>
              <w:jc w:val="center"/>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20666B9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2015</w:t>
            </w:r>
          </w:p>
        </w:tc>
        <w:tc>
          <w:tcPr>
            <w:tcW w:w="196" w:type="dxa"/>
            <w:tcBorders>
              <w:top w:val="nil"/>
              <w:left w:val="nil"/>
              <w:bottom w:val="single" w:sz="4" w:space="0" w:color="auto"/>
              <w:right w:val="nil"/>
            </w:tcBorders>
            <w:shd w:val="clear" w:color="000000" w:fill="FFFFFF"/>
            <w:noWrap/>
            <w:vAlign w:val="bottom"/>
            <w:hideMark/>
          </w:tcPr>
          <w:p w14:paraId="143A343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17F2940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2014</w:t>
            </w:r>
          </w:p>
        </w:tc>
      </w:tr>
      <w:tr w:rsidR="005366CC" w:rsidRPr="005366CC" w14:paraId="14C79355" w14:textId="77777777" w:rsidTr="00C05E95">
        <w:trPr>
          <w:trHeight w:val="285"/>
        </w:trPr>
        <w:tc>
          <w:tcPr>
            <w:tcW w:w="3096" w:type="dxa"/>
            <w:tcBorders>
              <w:top w:val="nil"/>
              <w:left w:val="nil"/>
              <w:bottom w:val="nil"/>
              <w:right w:val="nil"/>
            </w:tcBorders>
            <w:shd w:val="clear" w:color="000000" w:fill="FFFFFF"/>
            <w:noWrap/>
            <w:vAlign w:val="bottom"/>
            <w:hideMark/>
          </w:tcPr>
          <w:p w14:paraId="260D66B2"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Revenue</w:t>
            </w:r>
          </w:p>
        </w:tc>
        <w:tc>
          <w:tcPr>
            <w:tcW w:w="1096" w:type="dxa"/>
            <w:tcBorders>
              <w:top w:val="nil"/>
              <w:left w:val="nil"/>
              <w:bottom w:val="nil"/>
              <w:right w:val="nil"/>
            </w:tcBorders>
            <w:shd w:val="clear" w:color="000000" w:fill="FFFFFF"/>
            <w:noWrap/>
            <w:vAlign w:val="bottom"/>
            <w:hideMark/>
          </w:tcPr>
          <w:p w14:paraId="6B29828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32810993"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B591D8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44CF7932"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6695E3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7351134A"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85DE28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r>
      <w:tr w:rsidR="005366CC" w:rsidRPr="005366CC" w14:paraId="647B3E13" w14:textId="77777777" w:rsidTr="00C05E95">
        <w:trPr>
          <w:trHeight w:val="315"/>
        </w:trPr>
        <w:tc>
          <w:tcPr>
            <w:tcW w:w="3096" w:type="dxa"/>
            <w:tcBorders>
              <w:top w:val="nil"/>
              <w:left w:val="nil"/>
              <w:bottom w:val="nil"/>
              <w:right w:val="nil"/>
            </w:tcBorders>
            <w:shd w:val="clear" w:color="000000" w:fill="FFFFFF"/>
            <w:noWrap/>
            <w:vAlign w:val="bottom"/>
            <w:hideMark/>
          </w:tcPr>
          <w:p w14:paraId="476BF241"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Devices and Consumer Licensing</w:t>
            </w:r>
          </w:p>
        </w:tc>
        <w:tc>
          <w:tcPr>
            <w:tcW w:w="1096" w:type="dxa"/>
            <w:tcBorders>
              <w:top w:val="nil"/>
              <w:left w:val="nil"/>
              <w:bottom w:val="nil"/>
              <w:right w:val="nil"/>
            </w:tcBorders>
            <w:shd w:val="clear" w:color="000000" w:fill="FFFFFF"/>
            <w:noWrap/>
            <w:vAlign w:val="bottom"/>
            <w:hideMark/>
          </w:tcPr>
          <w:p w14:paraId="1339814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3,476 </w:t>
            </w:r>
          </w:p>
        </w:tc>
        <w:tc>
          <w:tcPr>
            <w:tcW w:w="196" w:type="dxa"/>
            <w:tcBorders>
              <w:top w:val="nil"/>
              <w:left w:val="nil"/>
              <w:bottom w:val="nil"/>
              <w:right w:val="nil"/>
            </w:tcBorders>
            <w:shd w:val="clear" w:color="000000" w:fill="FFFFFF"/>
            <w:noWrap/>
            <w:vAlign w:val="bottom"/>
            <w:hideMark/>
          </w:tcPr>
          <w:p w14:paraId="20225113"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5F8D012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  4,597 </w:t>
            </w:r>
          </w:p>
        </w:tc>
        <w:tc>
          <w:tcPr>
            <w:tcW w:w="116" w:type="dxa"/>
            <w:tcBorders>
              <w:top w:val="nil"/>
              <w:left w:val="nil"/>
              <w:bottom w:val="nil"/>
              <w:right w:val="nil"/>
            </w:tcBorders>
            <w:shd w:val="clear" w:color="000000" w:fill="FFFFFF"/>
            <w:noWrap/>
            <w:vAlign w:val="bottom"/>
            <w:hideMark/>
          </w:tcPr>
          <w:p w14:paraId="3F72C276"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09AFBA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11,736 </w:t>
            </w:r>
          </w:p>
        </w:tc>
        <w:tc>
          <w:tcPr>
            <w:tcW w:w="196" w:type="dxa"/>
            <w:tcBorders>
              <w:top w:val="nil"/>
              <w:left w:val="nil"/>
              <w:bottom w:val="nil"/>
              <w:right w:val="nil"/>
            </w:tcBorders>
            <w:shd w:val="clear" w:color="000000" w:fill="FFFFFF"/>
            <w:noWrap/>
            <w:vAlign w:val="bottom"/>
            <w:hideMark/>
          </w:tcPr>
          <w:p w14:paraId="44B5779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00B96C4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$14,625 </w:t>
            </w:r>
          </w:p>
        </w:tc>
      </w:tr>
      <w:tr w:rsidR="005366CC" w:rsidRPr="005366CC" w14:paraId="5BC4660F" w14:textId="77777777" w:rsidTr="00C05E95">
        <w:trPr>
          <w:trHeight w:val="285"/>
        </w:trPr>
        <w:tc>
          <w:tcPr>
            <w:tcW w:w="3096" w:type="dxa"/>
            <w:tcBorders>
              <w:top w:val="nil"/>
              <w:left w:val="nil"/>
              <w:bottom w:val="nil"/>
              <w:right w:val="nil"/>
            </w:tcBorders>
            <w:shd w:val="clear" w:color="000000" w:fill="FFFFFF"/>
            <w:noWrap/>
            <w:vAlign w:val="bottom"/>
            <w:hideMark/>
          </w:tcPr>
          <w:p w14:paraId="670942C8"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Computing and Gaming Hardware</w:t>
            </w:r>
          </w:p>
        </w:tc>
        <w:tc>
          <w:tcPr>
            <w:tcW w:w="1096" w:type="dxa"/>
            <w:tcBorders>
              <w:top w:val="nil"/>
              <w:left w:val="nil"/>
              <w:bottom w:val="nil"/>
              <w:right w:val="nil"/>
            </w:tcBorders>
            <w:shd w:val="clear" w:color="000000" w:fill="FFFFFF"/>
            <w:noWrap/>
            <w:vAlign w:val="bottom"/>
            <w:hideMark/>
          </w:tcPr>
          <w:p w14:paraId="6953DCD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1,800 </w:t>
            </w:r>
          </w:p>
        </w:tc>
        <w:tc>
          <w:tcPr>
            <w:tcW w:w="196" w:type="dxa"/>
            <w:tcBorders>
              <w:top w:val="nil"/>
              <w:left w:val="nil"/>
              <w:bottom w:val="nil"/>
              <w:right w:val="nil"/>
            </w:tcBorders>
            <w:shd w:val="clear" w:color="000000" w:fill="FFFFFF"/>
            <w:noWrap/>
            <w:vAlign w:val="bottom"/>
            <w:hideMark/>
          </w:tcPr>
          <w:p w14:paraId="514B999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5C510BC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1,872 </w:t>
            </w:r>
          </w:p>
        </w:tc>
        <w:tc>
          <w:tcPr>
            <w:tcW w:w="116" w:type="dxa"/>
            <w:tcBorders>
              <w:top w:val="nil"/>
              <w:left w:val="nil"/>
              <w:bottom w:val="nil"/>
              <w:right w:val="nil"/>
            </w:tcBorders>
            <w:shd w:val="clear" w:color="000000" w:fill="FFFFFF"/>
            <w:noWrap/>
            <w:vAlign w:val="bottom"/>
            <w:hideMark/>
          </w:tcPr>
          <w:p w14:paraId="2C3CBE49"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15CC1D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8,250 </w:t>
            </w:r>
          </w:p>
        </w:tc>
        <w:tc>
          <w:tcPr>
            <w:tcW w:w="196" w:type="dxa"/>
            <w:tcBorders>
              <w:top w:val="nil"/>
              <w:left w:val="nil"/>
              <w:bottom w:val="nil"/>
              <w:right w:val="nil"/>
            </w:tcBorders>
            <w:shd w:val="clear" w:color="000000" w:fill="FFFFFF"/>
            <w:noWrap/>
            <w:vAlign w:val="bottom"/>
            <w:hideMark/>
          </w:tcPr>
          <w:p w14:paraId="4E84842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CCFD25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7,751 </w:t>
            </w:r>
          </w:p>
        </w:tc>
      </w:tr>
      <w:tr w:rsidR="005366CC" w:rsidRPr="005366CC" w14:paraId="4015A838" w14:textId="77777777" w:rsidTr="00C05E95">
        <w:trPr>
          <w:trHeight w:val="285"/>
        </w:trPr>
        <w:tc>
          <w:tcPr>
            <w:tcW w:w="3096" w:type="dxa"/>
            <w:tcBorders>
              <w:top w:val="nil"/>
              <w:left w:val="nil"/>
              <w:bottom w:val="nil"/>
              <w:right w:val="nil"/>
            </w:tcBorders>
            <w:shd w:val="clear" w:color="000000" w:fill="FFFFFF"/>
            <w:noWrap/>
            <w:vAlign w:val="bottom"/>
            <w:hideMark/>
          </w:tcPr>
          <w:p w14:paraId="188C383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Phone Hardware</w:t>
            </w:r>
          </w:p>
        </w:tc>
        <w:tc>
          <w:tcPr>
            <w:tcW w:w="1096" w:type="dxa"/>
            <w:tcBorders>
              <w:top w:val="nil"/>
              <w:left w:val="nil"/>
              <w:bottom w:val="nil"/>
              <w:right w:val="nil"/>
            </w:tcBorders>
            <w:shd w:val="clear" w:color="000000" w:fill="FFFFFF"/>
            <w:noWrap/>
            <w:vAlign w:val="bottom"/>
            <w:hideMark/>
          </w:tcPr>
          <w:p w14:paraId="5655B65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1,397 </w:t>
            </w:r>
          </w:p>
        </w:tc>
        <w:tc>
          <w:tcPr>
            <w:tcW w:w="196" w:type="dxa"/>
            <w:tcBorders>
              <w:top w:val="nil"/>
              <w:left w:val="nil"/>
              <w:bottom w:val="nil"/>
              <w:right w:val="nil"/>
            </w:tcBorders>
            <w:shd w:val="clear" w:color="000000" w:fill="FFFFFF"/>
            <w:noWrap/>
            <w:vAlign w:val="bottom"/>
            <w:hideMark/>
          </w:tcPr>
          <w:p w14:paraId="3140834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2F89DE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000000" w:fill="FFFFFF"/>
            <w:noWrap/>
            <w:vAlign w:val="bottom"/>
            <w:hideMark/>
          </w:tcPr>
          <w:p w14:paraId="66CD4981"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C89BD5E"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6,290 </w:t>
            </w:r>
          </w:p>
        </w:tc>
        <w:tc>
          <w:tcPr>
            <w:tcW w:w="196" w:type="dxa"/>
            <w:tcBorders>
              <w:top w:val="nil"/>
              <w:left w:val="nil"/>
              <w:bottom w:val="nil"/>
              <w:right w:val="nil"/>
            </w:tcBorders>
            <w:shd w:val="clear" w:color="000000" w:fill="FFFFFF"/>
            <w:noWrap/>
            <w:vAlign w:val="bottom"/>
            <w:hideMark/>
          </w:tcPr>
          <w:p w14:paraId="7B32A160"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065E52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r>
      <w:tr w:rsidR="005366CC" w:rsidRPr="005366CC" w14:paraId="7402CE2E" w14:textId="77777777" w:rsidTr="00C05E95">
        <w:trPr>
          <w:trHeight w:val="285"/>
        </w:trPr>
        <w:tc>
          <w:tcPr>
            <w:tcW w:w="3096" w:type="dxa"/>
            <w:tcBorders>
              <w:top w:val="nil"/>
              <w:left w:val="nil"/>
              <w:bottom w:val="nil"/>
              <w:right w:val="nil"/>
            </w:tcBorders>
            <w:shd w:val="clear" w:color="000000" w:fill="FFFFFF"/>
            <w:noWrap/>
            <w:vAlign w:val="bottom"/>
            <w:hideMark/>
          </w:tcPr>
          <w:p w14:paraId="19E34104"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Devices and Consumer Other</w:t>
            </w:r>
          </w:p>
        </w:tc>
        <w:tc>
          <w:tcPr>
            <w:tcW w:w="1096" w:type="dxa"/>
            <w:tcBorders>
              <w:top w:val="nil"/>
              <w:left w:val="nil"/>
              <w:bottom w:val="nil"/>
              <w:right w:val="nil"/>
            </w:tcBorders>
            <w:shd w:val="clear" w:color="000000" w:fill="FFFFFF"/>
            <w:noWrap/>
            <w:vAlign w:val="bottom"/>
            <w:hideMark/>
          </w:tcPr>
          <w:p w14:paraId="3E41F3A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2,280 </w:t>
            </w:r>
          </w:p>
        </w:tc>
        <w:tc>
          <w:tcPr>
            <w:tcW w:w="196" w:type="dxa"/>
            <w:tcBorders>
              <w:top w:val="nil"/>
              <w:left w:val="nil"/>
              <w:bottom w:val="nil"/>
              <w:right w:val="nil"/>
            </w:tcBorders>
            <w:shd w:val="clear" w:color="000000" w:fill="FFFFFF"/>
            <w:noWrap/>
            <w:vAlign w:val="bottom"/>
            <w:hideMark/>
          </w:tcPr>
          <w:p w14:paraId="032DD05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F9DB48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1,824 </w:t>
            </w:r>
          </w:p>
        </w:tc>
        <w:tc>
          <w:tcPr>
            <w:tcW w:w="116" w:type="dxa"/>
            <w:tcBorders>
              <w:top w:val="nil"/>
              <w:left w:val="nil"/>
              <w:bottom w:val="nil"/>
              <w:right w:val="nil"/>
            </w:tcBorders>
            <w:shd w:val="clear" w:color="000000" w:fill="FFFFFF"/>
            <w:noWrap/>
            <w:vAlign w:val="bottom"/>
            <w:hideMark/>
          </w:tcPr>
          <w:p w14:paraId="3023779D"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BB080F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6,525 </w:t>
            </w:r>
          </w:p>
        </w:tc>
        <w:tc>
          <w:tcPr>
            <w:tcW w:w="196" w:type="dxa"/>
            <w:tcBorders>
              <w:top w:val="nil"/>
              <w:left w:val="nil"/>
              <w:bottom w:val="nil"/>
              <w:right w:val="nil"/>
            </w:tcBorders>
            <w:shd w:val="clear" w:color="000000" w:fill="FFFFFF"/>
            <w:noWrap/>
            <w:vAlign w:val="bottom"/>
            <w:hideMark/>
          </w:tcPr>
          <w:p w14:paraId="1D50C07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DF4D10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5,252 </w:t>
            </w:r>
          </w:p>
        </w:tc>
      </w:tr>
      <w:tr w:rsidR="005366CC" w:rsidRPr="005366CC" w14:paraId="49178D48" w14:textId="77777777" w:rsidTr="00C05E95">
        <w:trPr>
          <w:trHeight w:val="285"/>
        </w:trPr>
        <w:tc>
          <w:tcPr>
            <w:tcW w:w="3096" w:type="dxa"/>
            <w:tcBorders>
              <w:top w:val="nil"/>
              <w:left w:val="nil"/>
              <w:bottom w:val="nil"/>
              <w:right w:val="nil"/>
            </w:tcBorders>
            <w:shd w:val="clear" w:color="000000" w:fill="FFFFFF"/>
            <w:noWrap/>
            <w:vAlign w:val="bottom"/>
            <w:hideMark/>
          </w:tcPr>
          <w:p w14:paraId="2AACAB1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Commercial Licensing</w:t>
            </w:r>
          </w:p>
        </w:tc>
        <w:tc>
          <w:tcPr>
            <w:tcW w:w="1096" w:type="dxa"/>
            <w:tcBorders>
              <w:top w:val="nil"/>
              <w:left w:val="nil"/>
              <w:bottom w:val="nil"/>
              <w:right w:val="nil"/>
            </w:tcBorders>
            <w:shd w:val="clear" w:color="000000" w:fill="FFFFFF"/>
            <w:noWrap/>
            <w:vAlign w:val="bottom"/>
            <w:hideMark/>
          </w:tcPr>
          <w:p w14:paraId="3D2CEFF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10,036 </w:t>
            </w:r>
          </w:p>
        </w:tc>
        <w:tc>
          <w:tcPr>
            <w:tcW w:w="196" w:type="dxa"/>
            <w:tcBorders>
              <w:top w:val="nil"/>
              <w:left w:val="nil"/>
              <w:bottom w:val="nil"/>
              <w:right w:val="nil"/>
            </w:tcBorders>
            <w:shd w:val="clear" w:color="000000" w:fill="FFFFFF"/>
            <w:noWrap/>
            <w:vAlign w:val="bottom"/>
            <w:hideMark/>
          </w:tcPr>
          <w:p w14:paraId="7FFEC9A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C8B976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10,335 </w:t>
            </w:r>
          </w:p>
        </w:tc>
        <w:tc>
          <w:tcPr>
            <w:tcW w:w="116" w:type="dxa"/>
            <w:tcBorders>
              <w:top w:val="nil"/>
              <w:left w:val="nil"/>
              <w:bottom w:val="nil"/>
              <w:right w:val="nil"/>
            </w:tcBorders>
            <w:shd w:val="clear" w:color="000000" w:fill="FFFFFF"/>
            <w:noWrap/>
            <w:vAlign w:val="bottom"/>
            <w:hideMark/>
          </w:tcPr>
          <w:p w14:paraId="423B8AF4"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14E925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30,588 </w:t>
            </w:r>
          </w:p>
        </w:tc>
        <w:tc>
          <w:tcPr>
            <w:tcW w:w="196" w:type="dxa"/>
            <w:tcBorders>
              <w:top w:val="nil"/>
              <w:left w:val="nil"/>
              <w:bottom w:val="nil"/>
              <w:right w:val="nil"/>
            </w:tcBorders>
            <w:shd w:val="clear" w:color="000000" w:fill="FFFFFF"/>
            <w:noWrap/>
            <w:vAlign w:val="bottom"/>
            <w:hideMark/>
          </w:tcPr>
          <w:p w14:paraId="3E50524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A70EBEC"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30,852 </w:t>
            </w:r>
          </w:p>
        </w:tc>
      </w:tr>
      <w:tr w:rsidR="005366CC" w:rsidRPr="005366CC" w14:paraId="180321CD" w14:textId="77777777" w:rsidTr="00C05E95">
        <w:trPr>
          <w:trHeight w:val="285"/>
        </w:trPr>
        <w:tc>
          <w:tcPr>
            <w:tcW w:w="3096" w:type="dxa"/>
            <w:tcBorders>
              <w:top w:val="nil"/>
              <w:left w:val="nil"/>
              <w:bottom w:val="nil"/>
              <w:right w:val="nil"/>
            </w:tcBorders>
            <w:shd w:val="clear" w:color="000000" w:fill="FFFFFF"/>
            <w:noWrap/>
            <w:vAlign w:val="bottom"/>
            <w:hideMark/>
          </w:tcPr>
          <w:p w14:paraId="2793E71D"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Commercial Other</w:t>
            </w:r>
          </w:p>
        </w:tc>
        <w:tc>
          <w:tcPr>
            <w:tcW w:w="1096" w:type="dxa"/>
            <w:tcBorders>
              <w:top w:val="nil"/>
              <w:left w:val="nil"/>
              <w:bottom w:val="nil"/>
              <w:right w:val="nil"/>
            </w:tcBorders>
            <w:shd w:val="clear" w:color="000000" w:fill="FFFFFF"/>
            <w:noWrap/>
            <w:vAlign w:val="bottom"/>
            <w:hideMark/>
          </w:tcPr>
          <w:p w14:paraId="701602D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2,760 </w:t>
            </w:r>
          </w:p>
        </w:tc>
        <w:tc>
          <w:tcPr>
            <w:tcW w:w="196" w:type="dxa"/>
            <w:tcBorders>
              <w:top w:val="nil"/>
              <w:left w:val="nil"/>
              <w:bottom w:val="nil"/>
              <w:right w:val="nil"/>
            </w:tcBorders>
            <w:shd w:val="clear" w:color="000000" w:fill="FFFFFF"/>
            <w:noWrap/>
            <w:vAlign w:val="bottom"/>
            <w:hideMark/>
          </w:tcPr>
          <w:p w14:paraId="17782B5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8230FF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1,902 </w:t>
            </w:r>
          </w:p>
        </w:tc>
        <w:tc>
          <w:tcPr>
            <w:tcW w:w="116" w:type="dxa"/>
            <w:tcBorders>
              <w:top w:val="nil"/>
              <w:left w:val="nil"/>
              <w:bottom w:val="nil"/>
              <w:right w:val="nil"/>
            </w:tcBorders>
            <w:shd w:val="clear" w:color="000000" w:fill="FFFFFF"/>
            <w:noWrap/>
            <w:vAlign w:val="bottom"/>
            <w:hideMark/>
          </w:tcPr>
          <w:p w14:paraId="7427E6B1"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9CA199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7,760 </w:t>
            </w:r>
          </w:p>
        </w:tc>
        <w:tc>
          <w:tcPr>
            <w:tcW w:w="196" w:type="dxa"/>
            <w:tcBorders>
              <w:top w:val="nil"/>
              <w:left w:val="nil"/>
              <w:bottom w:val="nil"/>
              <w:right w:val="nil"/>
            </w:tcBorders>
            <w:shd w:val="clear" w:color="000000" w:fill="FFFFFF"/>
            <w:noWrap/>
            <w:vAlign w:val="bottom"/>
            <w:hideMark/>
          </w:tcPr>
          <w:p w14:paraId="1944E1D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297E39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5,284 </w:t>
            </w:r>
          </w:p>
        </w:tc>
      </w:tr>
      <w:tr w:rsidR="005366CC" w:rsidRPr="005366CC" w14:paraId="623C1111" w14:textId="77777777" w:rsidTr="00C05E95">
        <w:trPr>
          <w:trHeight w:val="285"/>
        </w:trPr>
        <w:tc>
          <w:tcPr>
            <w:tcW w:w="3096" w:type="dxa"/>
            <w:tcBorders>
              <w:top w:val="nil"/>
              <w:left w:val="nil"/>
              <w:bottom w:val="single" w:sz="4" w:space="0" w:color="auto"/>
              <w:right w:val="nil"/>
            </w:tcBorders>
            <w:shd w:val="clear" w:color="000000" w:fill="FFFFFF"/>
            <w:noWrap/>
            <w:vAlign w:val="bottom"/>
            <w:hideMark/>
          </w:tcPr>
          <w:p w14:paraId="4B34785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Corporate and Other</w:t>
            </w:r>
          </w:p>
        </w:tc>
        <w:tc>
          <w:tcPr>
            <w:tcW w:w="1096" w:type="dxa"/>
            <w:tcBorders>
              <w:top w:val="nil"/>
              <w:left w:val="nil"/>
              <w:bottom w:val="single" w:sz="4" w:space="0" w:color="auto"/>
              <w:right w:val="nil"/>
            </w:tcBorders>
            <w:shd w:val="clear" w:color="000000" w:fill="FFFFFF"/>
            <w:noWrap/>
            <w:vAlign w:val="bottom"/>
            <w:hideMark/>
          </w:tcPr>
          <w:p w14:paraId="36F8607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(20)</w:t>
            </w:r>
          </w:p>
        </w:tc>
        <w:tc>
          <w:tcPr>
            <w:tcW w:w="196" w:type="dxa"/>
            <w:tcBorders>
              <w:top w:val="nil"/>
              <w:left w:val="nil"/>
              <w:bottom w:val="nil"/>
              <w:right w:val="nil"/>
            </w:tcBorders>
            <w:shd w:val="clear" w:color="000000" w:fill="FFFFFF"/>
            <w:noWrap/>
            <w:vAlign w:val="bottom"/>
            <w:hideMark/>
          </w:tcPr>
          <w:p w14:paraId="71989E8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0707565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(127)</w:t>
            </w:r>
          </w:p>
        </w:tc>
        <w:tc>
          <w:tcPr>
            <w:tcW w:w="116" w:type="dxa"/>
            <w:tcBorders>
              <w:top w:val="nil"/>
              <w:left w:val="nil"/>
              <w:bottom w:val="nil"/>
              <w:right w:val="nil"/>
            </w:tcBorders>
            <w:shd w:val="clear" w:color="000000" w:fill="FFFFFF"/>
            <w:noWrap/>
            <w:vAlign w:val="bottom"/>
            <w:hideMark/>
          </w:tcPr>
          <w:p w14:paraId="3F8866F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6EE36C1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251 </w:t>
            </w:r>
          </w:p>
        </w:tc>
        <w:tc>
          <w:tcPr>
            <w:tcW w:w="196" w:type="dxa"/>
            <w:tcBorders>
              <w:top w:val="nil"/>
              <w:left w:val="nil"/>
              <w:bottom w:val="nil"/>
              <w:right w:val="nil"/>
            </w:tcBorders>
            <w:shd w:val="clear" w:color="000000" w:fill="FFFFFF"/>
            <w:noWrap/>
            <w:vAlign w:val="bottom"/>
            <w:hideMark/>
          </w:tcPr>
          <w:p w14:paraId="25B5D3E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4B8FAF1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(313)</w:t>
            </w:r>
          </w:p>
        </w:tc>
      </w:tr>
      <w:tr w:rsidR="005366CC" w:rsidRPr="005366CC" w14:paraId="1208B03D" w14:textId="77777777" w:rsidTr="00C05E95">
        <w:trPr>
          <w:trHeight w:val="300"/>
        </w:trPr>
        <w:tc>
          <w:tcPr>
            <w:tcW w:w="3096" w:type="dxa"/>
            <w:tcBorders>
              <w:top w:val="nil"/>
              <w:left w:val="nil"/>
              <w:bottom w:val="nil"/>
              <w:right w:val="nil"/>
            </w:tcBorders>
            <w:shd w:val="clear" w:color="000000" w:fill="FFFFFF"/>
            <w:noWrap/>
            <w:vAlign w:val="bottom"/>
            <w:hideMark/>
          </w:tcPr>
          <w:p w14:paraId="3567969D"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Total revenue</w:t>
            </w:r>
          </w:p>
        </w:tc>
        <w:tc>
          <w:tcPr>
            <w:tcW w:w="1096" w:type="dxa"/>
            <w:tcBorders>
              <w:top w:val="nil"/>
              <w:left w:val="nil"/>
              <w:bottom w:val="single" w:sz="8" w:space="0" w:color="auto"/>
              <w:right w:val="nil"/>
            </w:tcBorders>
            <w:shd w:val="clear" w:color="000000" w:fill="FFFFFF"/>
            <w:noWrap/>
            <w:vAlign w:val="bottom"/>
            <w:hideMark/>
          </w:tcPr>
          <w:p w14:paraId="6209CBE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21,729 </w:t>
            </w:r>
          </w:p>
        </w:tc>
        <w:tc>
          <w:tcPr>
            <w:tcW w:w="196" w:type="dxa"/>
            <w:tcBorders>
              <w:top w:val="nil"/>
              <w:left w:val="nil"/>
              <w:bottom w:val="nil"/>
              <w:right w:val="nil"/>
            </w:tcBorders>
            <w:shd w:val="clear" w:color="000000" w:fill="FFFFFF"/>
            <w:noWrap/>
            <w:vAlign w:val="bottom"/>
            <w:hideMark/>
          </w:tcPr>
          <w:p w14:paraId="2CE0C9C5"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46A9446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$20,403 </w:t>
            </w:r>
          </w:p>
        </w:tc>
        <w:tc>
          <w:tcPr>
            <w:tcW w:w="116" w:type="dxa"/>
            <w:tcBorders>
              <w:top w:val="nil"/>
              <w:left w:val="nil"/>
              <w:bottom w:val="nil"/>
              <w:right w:val="nil"/>
            </w:tcBorders>
            <w:shd w:val="clear" w:color="000000" w:fill="FFFFFF"/>
            <w:noWrap/>
            <w:vAlign w:val="bottom"/>
            <w:hideMark/>
          </w:tcPr>
          <w:p w14:paraId="66B252AC"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621A8B3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71,400 </w:t>
            </w:r>
          </w:p>
        </w:tc>
        <w:tc>
          <w:tcPr>
            <w:tcW w:w="196" w:type="dxa"/>
            <w:tcBorders>
              <w:top w:val="nil"/>
              <w:left w:val="nil"/>
              <w:bottom w:val="nil"/>
              <w:right w:val="nil"/>
            </w:tcBorders>
            <w:shd w:val="clear" w:color="000000" w:fill="FFFFFF"/>
            <w:noWrap/>
            <w:vAlign w:val="bottom"/>
            <w:hideMark/>
          </w:tcPr>
          <w:p w14:paraId="2F5BAB0D"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6ABDE50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$63,451 </w:t>
            </w:r>
          </w:p>
        </w:tc>
      </w:tr>
      <w:tr w:rsidR="005366CC" w:rsidRPr="005366CC" w14:paraId="61441984" w14:textId="77777777" w:rsidTr="00C05E95">
        <w:trPr>
          <w:trHeight w:val="285"/>
        </w:trPr>
        <w:tc>
          <w:tcPr>
            <w:tcW w:w="3096" w:type="dxa"/>
            <w:tcBorders>
              <w:top w:val="nil"/>
              <w:left w:val="nil"/>
              <w:bottom w:val="nil"/>
              <w:right w:val="nil"/>
            </w:tcBorders>
            <w:shd w:val="clear" w:color="000000" w:fill="FFFFFF"/>
            <w:noWrap/>
            <w:vAlign w:val="bottom"/>
            <w:hideMark/>
          </w:tcPr>
          <w:p w14:paraId="725DD472"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4AC13C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287F5E3C"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94EEC54"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23CD25C3"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02E7C1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625C28F1"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49B9F8A"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r>
      <w:tr w:rsidR="005366CC" w:rsidRPr="005366CC" w14:paraId="2AC29E7D" w14:textId="77777777" w:rsidTr="00C05E95">
        <w:trPr>
          <w:trHeight w:val="285"/>
        </w:trPr>
        <w:tc>
          <w:tcPr>
            <w:tcW w:w="3096" w:type="dxa"/>
            <w:tcBorders>
              <w:top w:val="nil"/>
              <w:left w:val="nil"/>
              <w:bottom w:val="nil"/>
              <w:right w:val="nil"/>
            </w:tcBorders>
            <w:shd w:val="clear" w:color="000000" w:fill="FFFFFF"/>
            <w:noWrap/>
            <w:vAlign w:val="bottom"/>
            <w:hideMark/>
          </w:tcPr>
          <w:p w14:paraId="0C93D97D"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Gross Margin</w:t>
            </w:r>
          </w:p>
        </w:tc>
        <w:tc>
          <w:tcPr>
            <w:tcW w:w="1096" w:type="dxa"/>
            <w:tcBorders>
              <w:top w:val="nil"/>
              <w:left w:val="nil"/>
              <w:bottom w:val="nil"/>
              <w:right w:val="nil"/>
            </w:tcBorders>
            <w:shd w:val="clear" w:color="000000" w:fill="FFFFFF"/>
            <w:noWrap/>
            <w:vAlign w:val="bottom"/>
            <w:hideMark/>
          </w:tcPr>
          <w:p w14:paraId="1F0B3F8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0D9174A4"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034737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173DBB47"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646449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40C35995"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150907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r>
      <w:tr w:rsidR="005366CC" w:rsidRPr="005366CC" w14:paraId="1B96AE67" w14:textId="77777777" w:rsidTr="00C05E95">
        <w:trPr>
          <w:trHeight w:val="285"/>
        </w:trPr>
        <w:tc>
          <w:tcPr>
            <w:tcW w:w="3096" w:type="dxa"/>
            <w:tcBorders>
              <w:top w:val="nil"/>
              <w:left w:val="nil"/>
              <w:bottom w:val="nil"/>
              <w:right w:val="nil"/>
            </w:tcBorders>
            <w:shd w:val="clear" w:color="000000" w:fill="FFFFFF"/>
            <w:noWrap/>
            <w:vAlign w:val="bottom"/>
            <w:hideMark/>
          </w:tcPr>
          <w:p w14:paraId="0746EDE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Devices and Consumer Licensing</w:t>
            </w:r>
          </w:p>
        </w:tc>
        <w:tc>
          <w:tcPr>
            <w:tcW w:w="1096" w:type="dxa"/>
            <w:tcBorders>
              <w:top w:val="nil"/>
              <w:left w:val="nil"/>
              <w:bottom w:val="nil"/>
              <w:right w:val="nil"/>
            </w:tcBorders>
            <w:shd w:val="clear" w:color="000000" w:fill="FFFFFF"/>
            <w:noWrap/>
            <w:vAlign w:val="bottom"/>
            <w:hideMark/>
          </w:tcPr>
          <w:p w14:paraId="4721EEF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3,210 </w:t>
            </w:r>
          </w:p>
        </w:tc>
        <w:tc>
          <w:tcPr>
            <w:tcW w:w="196" w:type="dxa"/>
            <w:tcBorders>
              <w:top w:val="nil"/>
              <w:left w:val="nil"/>
              <w:bottom w:val="nil"/>
              <w:right w:val="nil"/>
            </w:tcBorders>
            <w:shd w:val="clear" w:color="000000" w:fill="FFFFFF"/>
            <w:noWrap/>
            <w:vAlign w:val="bottom"/>
            <w:hideMark/>
          </w:tcPr>
          <w:p w14:paraId="7BD87195"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98A5FC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  4,017 </w:t>
            </w:r>
          </w:p>
        </w:tc>
        <w:tc>
          <w:tcPr>
            <w:tcW w:w="116" w:type="dxa"/>
            <w:tcBorders>
              <w:top w:val="nil"/>
              <w:left w:val="nil"/>
              <w:bottom w:val="nil"/>
              <w:right w:val="nil"/>
            </w:tcBorders>
            <w:shd w:val="clear" w:color="000000" w:fill="FFFFFF"/>
            <w:noWrap/>
            <w:vAlign w:val="bottom"/>
            <w:hideMark/>
          </w:tcPr>
          <w:p w14:paraId="0C886E6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900C9A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10,904 </w:t>
            </w:r>
          </w:p>
        </w:tc>
        <w:tc>
          <w:tcPr>
            <w:tcW w:w="196" w:type="dxa"/>
            <w:tcBorders>
              <w:top w:val="nil"/>
              <w:left w:val="nil"/>
              <w:bottom w:val="nil"/>
              <w:right w:val="nil"/>
            </w:tcBorders>
            <w:shd w:val="clear" w:color="000000" w:fill="FFFFFF"/>
            <w:noWrap/>
            <w:vAlign w:val="bottom"/>
            <w:hideMark/>
          </w:tcPr>
          <w:p w14:paraId="5E44C9C8"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FFDEDC1"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$12,918 </w:t>
            </w:r>
          </w:p>
        </w:tc>
      </w:tr>
      <w:tr w:rsidR="005366CC" w:rsidRPr="005366CC" w14:paraId="115D3DE8" w14:textId="77777777" w:rsidTr="00C05E95">
        <w:trPr>
          <w:trHeight w:val="285"/>
        </w:trPr>
        <w:tc>
          <w:tcPr>
            <w:tcW w:w="3096" w:type="dxa"/>
            <w:tcBorders>
              <w:top w:val="nil"/>
              <w:left w:val="nil"/>
              <w:bottom w:val="nil"/>
              <w:right w:val="nil"/>
            </w:tcBorders>
            <w:shd w:val="clear" w:color="000000" w:fill="FFFFFF"/>
            <w:noWrap/>
            <w:vAlign w:val="bottom"/>
            <w:hideMark/>
          </w:tcPr>
          <w:p w14:paraId="7EAD5C1D"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Computing and Gaming Hardware</w:t>
            </w:r>
          </w:p>
        </w:tc>
        <w:tc>
          <w:tcPr>
            <w:tcW w:w="1096" w:type="dxa"/>
            <w:tcBorders>
              <w:top w:val="nil"/>
              <w:left w:val="nil"/>
              <w:bottom w:val="nil"/>
              <w:right w:val="nil"/>
            </w:tcBorders>
            <w:shd w:val="clear" w:color="000000" w:fill="FFFFFF"/>
            <w:noWrap/>
            <w:vAlign w:val="bottom"/>
            <w:hideMark/>
          </w:tcPr>
          <w:p w14:paraId="5BB3B54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414 </w:t>
            </w:r>
          </w:p>
        </w:tc>
        <w:tc>
          <w:tcPr>
            <w:tcW w:w="196" w:type="dxa"/>
            <w:tcBorders>
              <w:top w:val="nil"/>
              <w:left w:val="nil"/>
              <w:bottom w:val="nil"/>
              <w:right w:val="nil"/>
            </w:tcBorders>
            <w:shd w:val="clear" w:color="000000" w:fill="FFFFFF"/>
            <w:noWrap/>
            <w:vAlign w:val="bottom"/>
            <w:hideMark/>
          </w:tcPr>
          <w:p w14:paraId="183F330D"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B9638A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258 </w:t>
            </w:r>
          </w:p>
        </w:tc>
        <w:tc>
          <w:tcPr>
            <w:tcW w:w="116" w:type="dxa"/>
            <w:tcBorders>
              <w:top w:val="nil"/>
              <w:left w:val="nil"/>
              <w:bottom w:val="nil"/>
              <w:right w:val="nil"/>
            </w:tcBorders>
            <w:shd w:val="clear" w:color="000000" w:fill="FFFFFF"/>
            <w:noWrap/>
            <w:vAlign w:val="bottom"/>
            <w:hideMark/>
          </w:tcPr>
          <w:p w14:paraId="5D089B69"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2E3EFA3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1,353 </w:t>
            </w:r>
          </w:p>
        </w:tc>
        <w:tc>
          <w:tcPr>
            <w:tcW w:w="196" w:type="dxa"/>
            <w:tcBorders>
              <w:top w:val="nil"/>
              <w:left w:val="nil"/>
              <w:bottom w:val="nil"/>
              <w:right w:val="nil"/>
            </w:tcBorders>
            <w:shd w:val="clear" w:color="000000" w:fill="FFFFFF"/>
            <w:noWrap/>
            <w:vAlign w:val="bottom"/>
            <w:hideMark/>
          </w:tcPr>
          <w:p w14:paraId="4110E49F"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01F71C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874 </w:t>
            </w:r>
          </w:p>
        </w:tc>
      </w:tr>
      <w:tr w:rsidR="005366CC" w:rsidRPr="005366CC" w14:paraId="4BB244C7" w14:textId="77777777" w:rsidTr="00C05E95">
        <w:trPr>
          <w:trHeight w:val="315"/>
        </w:trPr>
        <w:tc>
          <w:tcPr>
            <w:tcW w:w="3096" w:type="dxa"/>
            <w:tcBorders>
              <w:top w:val="nil"/>
              <w:left w:val="nil"/>
              <w:bottom w:val="nil"/>
              <w:right w:val="nil"/>
            </w:tcBorders>
            <w:shd w:val="clear" w:color="000000" w:fill="FFFFFF"/>
            <w:noWrap/>
            <w:vAlign w:val="bottom"/>
            <w:hideMark/>
          </w:tcPr>
          <w:p w14:paraId="411CB9DC"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Phone Hardware</w:t>
            </w:r>
          </w:p>
        </w:tc>
        <w:tc>
          <w:tcPr>
            <w:tcW w:w="1096" w:type="dxa"/>
            <w:tcBorders>
              <w:top w:val="nil"/>
              <w:left w:val="nil"/>
              <w:bottom w:val="nil"/>
              <w:right w:val="nil"/>
            </w:tcBorders>
            <w:shd w:val="clear" w:color="000000" w:fill="FFFFFF"/>
            <w:noWrap/>
            <w:vAlign w:val="bottom"/>
            <w:hideMark/>
          </w:tcPr>
          <w:p w14:paraId="0612F8D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(4)</w:t>
            </w:r>
          </w:p>
        </w:tc>
        <w:tc>
          <w:tcPr>
            <w:tcW w:w="196" w:type="dxa"/>
            <w:tcBorders>
              <w:top w:val="nil"/>
              <w:left w:val="nil"/>
              <w:bottom w:val="nil"/>
              <w:right w:val="nil"/>
            </w:tcBorders>
            <w:shd w:val="clear" w:color="000000" w:fill="FFFFFF"/>
            <w:noWrap/>
            <w:vAlign w:val="bottom"/>
            <w:hideMark/>
          </w:tcPr>
          <w:p w14:paraId="20E09092"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6216E35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000000" w:fill="FFFFFF"/>
            <w:noWrap/>
            <w:vAlign w:val="bottom"/>
            <w:hideMark/>
          </w:tcPr>
          <w:p w14:paraId="231B6FB2"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E98CE4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805 </w:t>
            </w:r>
          </w:p>
        </w:tc>
        <w:tc>
          <w:tcPr>
            <w:tcW w:w="196" w:type="dxa"/>
            <w:tcBorders>
              <w:top w:val="nil"/>
              <w:left w:val="nil"/>
              <w:bottom w:val="nil"/>
              <w:right w:val="nil"/>
            </w:tcBorders>
            <w:shd w:val="clear" w:color="000000" w:fill="FFFFFF"/>
            <w:noWrap/>
            <w:vAlign w:val="bottom"/>
            <w:hideMark/>
          </w:tcPr>
          <w:p w14:paraId="772DCEEE"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3368849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0 </w:t>
            </w:r>
          </w:p>
        </w:tc>
      </w:tr>
      <w:tr w:rsidR="005366CC" w:rsidRPr="005366CC" w14:paraId="29DB4F6F" w14:textId="77777777" w:rsidTr="00C05E95">
        <w:trPr>
          <w:trHeight w:val="315"/>
        </w:trPr>
        <w:tc>
          <w:tcPr>
            <w:tcW w:w="3096" w:type="dxa"/>
            <w:tcBorders>
              <w:top w:val="nil"/>
              <w:left w:val="nil"/>
              <w:bottom w:val="nil"/>
              <w:right w:val="nil"/>
            </w:tcBorders>
            <w:shd w:val="clear" w:color="000000" w:fill="FFFFFF"/>
            <w:noWrap/>
            <w:vAlign w:val="bottom"/>
            <w:hideMark/>
          </w:tcPr>
          <w:p w14:paraId="1105768A"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Devices and Consumer Other</w:t>
            </w:r>
          </w:p>
        </w:tc>
        <w:tc>
          <w:tcPr>
            <w:tcW w:w="1096" w:type="dxa"/>
            <w:tcBorders>
              <w:top w:val="nil"/>
              <w:left w:val="nil"/>
              <w:bottom w:val="nil"/>
              <w:right w:val="nil"/>
            </w:tcBorders>
            <w:shd w:val="clear" w:color="000000" w:fill="FFFFFF"/>
            <w:noWrap/>
            <w:vAlign w:val="bottom"/>
            <w:hideMark/>
          </w:tcPr>
          <w:p w14:paraId="19A1435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566 </w:t>
            </w:r>
          </w:p>
        </w:tc>
        <w:tc>
          <w:tcPr>
            <w:tcW w:w="196" w:type="dxa"/>
            <w:tcBorders>
              <w:top w:val="nil"/>
              <w:left w:val="nil"/>
              <w:bottom w:val="nil"/>
              <w:right w:val="nil"/>
            </w:tcBorders>
            <w:shd w:val="clear" w:color="000000" w:fill="FFFFFF"/>
            <w:noWrap/>
            <w:vAlign w:val="bottom"/>
            <w:hideMark/>
          </w:tcPr>
          <w:p w14:paraId="5AA1CEE0"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0C8A58E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391 </w:t>
            </w:r>
          </w:p>
        </w:tc>
        <w:tc>
          <w:tcPr>
            <w:tcW w:w="116" w:type="dxa"/>
            <w:tcBorders>
              <w:top w:val="nil"/>
              <w:left w:val="nil"/>
              <w:bottom w:val="nil"/>
              <w:right w:val="nil"/>
            </w:tcBorders>
            <w:shd w:val="clear" w:color="000000" w:fill="FFFFFF"/>
            <w:noWrap/>
            <w:vAlign w:val="bottom"/>
            <w:hideMark/>
          </w:tcPr>
          <w:p w14:paraId="328103C9"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A7B118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1,428 </w:t>
            </w:r>
          </w:p>
        </w:tc>
        <w:tc>
          <w:tcPr>
            <w:tcW w:w="196" w:type="dxa"/>
            <w:tcBorders>
              <w:top w:val="nil"/>
              <w:left w:val="nil"/>
              <w:bottom w:val="nil"/>
              <w:right w:val="nil"/>
            </w:tcBorders>
            <w:shd w:val="clear" w:color="000000" w:fill="FFFFFF"/>
            <w:noWrap/>
            <w:vAlign w:val="bottom"/>
            <w:hideMark/>
          </w:tcPr>
          <w:p w14:paraId="7E5B79BF"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165A8635"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1,102 </w:t>
            </w:r>
          </w:p>
        </w:tc>
      </w:tr>
      <w:tr w:rsidR="005366CC" w:rsidRPr="005366CC" w14:paraId="591D06F5" w14:textId="77777777" w:rsidTr="00C05E95">
        <w:trPr>
          <w:trHeight w:val="285"/>
        </w:trPr>
        <w:tc>
          <w:tcPr>
            <w:tcW w:w="3096" w:type="dxa"/>
            <w:tcBorders>
              <w:top w:val="nil"/>
              <w:left w:val="nil"/>
              <w:bottom w:val="nil"/>
              <w:right w:val="nil"/>
            </w:tcBorders>
            <w:shd w:val="clear" w:color="000000" w:fill="FFFFFF"/>
            <w:noWrap/>
            <w:vAlign w:val="bottom"/>
            <w:hideMark/>
          </w:tcPr>
          <w:p w14:paraId="5D83274B"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Commercial Licensing</w:t>
            </w:r>
          </w:p>
        </w:tc>
        <w:tc>
          <w:tcPr>
            <w:tcW w:w="1096" w:type="dxa"/>
            <w:tcBorders>
              <w:top w:val="nil"/>
              <w:left w:val="nil"/>
              <w:bottom w:val="nil"/>
              <w:right w:val="nil"/>
            </w:tcBorders>
            <w:shd w:val="clear" w:color="000000" w:fill="FFFFFF"/>
            <w:noWrap/>
            <w:vAlign w:val="bottom"/>
            <w:hideMark/>
          </w:tcPr>
          <w:p w14:paraId="0B875D8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9,275 </w:t>
            </w:r>
          </w:p>
        </w:tc>
        <w:tc>
          <w:tcPr>
            <w:tcW w:w="196" w:type="dxa"/>
            <w:tcBorders>
              <w:top w:val="nil"/>
              <w:left w:val="nil"/>
              <w:bottom w:val="nil"/>
              <w:right w:val="nil"/>
            </w:tcBorders>
            <w:shd w:val="clear" w:color="000000" w:fill="FFFFFF"/>
            <w:noWrap/>
            <w:vAlign w:val="bottom"/>
            <w:hideMark/>
          </w:tcPr>
          <w:p w14:paraId="631B285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3E71222"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9,432 </w:t>
            </w:r>
          </w:p>
        </w:tc>
        <w:tc>
          <w:tcPr>
            <w:tcW w:w="116" w:type="dxa"/>
            <w:tcBorders>
              <w:top w:val="nil"/>
              <w:left w:val="nil"/>
              <w:bottom w:val="nil"/>
              <w:right w:val="nil"/>
            </w:tcBorders>
            <w:shd w:val="clear" w:color="000000" w:fill="FFFFFF"/>
            <w:noWrap/>
            <w:vAlign w:val="bottom"/>
            <w:hideMark/>
          </w:tcPr>
          <w:p w14:paraId="72AF603D"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D0C05B6"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28,301 </w:t>
            </w:r>
          </w:p>
        </w:tc>
        <w:tc>
          <w:tcPr>
            <w:tcW w:w="196" w:type="dxa"/>
            <w:tcBorders>
              <w:top w:val="nil"/>
              <w:left w:val="nil"/>
              <w:bottom w:val="nil"/>
              <w:right w:val="nil"/>
            </w:tcBorders>
            <w:shd w:val="clear" w:color="000000" w:fill="FFFFFF"/>
            <w:noWrap/>
            <w:vAlign w:val="bottom"/>
            <w:hideMark/>
          </w:tcPr>
          <w:p w14:paraId="6143F33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6D5F4CD"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28,317 </w:t>
            </w:r>
          </w:p>
        </w:tc>
      </w:tr>
      <w:tr w:rsidR="005366CC" w:rsidRPr="005366CC" w14:paraId="64708D47" w14:textId="77777777" w:rsidTr="00C05E95">
        <w:trPr>
          <w:trHeight w:val="285"/>
        </w:trPr>
        <w:tc>
          <w:tcPr>
            <w:tcW w:w="3096" w:type="dxa"/>
            <w:tcBorders>
              <w:top w:val="nil"/>
              <w:left w:val="nil"/>
              <w:bottom w:val="nil"/>
              <w:right w:val="nil"/>
            </w:tcBorders>
            <w:shd w:val="clear" w:color="000000" w:fill="FFFFFF"/>
            <w:noWrap/>
            <w:vAlign w:val="bottom"/>
            <w:hideMark/>
          </w:tcPr>
          <w:p w14:paraId="49A0BE78"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Commercial Other</w:t>
            </w:r>
          </w:p>
        </w:tc>
        <w:tc>
          <w:tcPr>
            <w:tcW w:w="1096" w:type="dxa"/>
            <w:tcBorders>
              <w:top w:val="nil"/>
              <w:left w:val="nil"/>
              <w:bottom w:val="nil"/>
              <w:right w:val="nil"/>
            </w:tcBorders>
            <w:shd w:val="clear" w:color="000000" w:fill="FFFFFF"/>
            <w:noWrap/>
            <w:vAlign w:val="bottom"/>
            <w:hideMark/>
          </w:tcPr>
          <w:p w14:paraId="36B7D6CA"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1,144 </w:t>
            </w:r>
          </w:p>
        </w:tc>
        <w:tc>
          <w:tcPr>
            <w:tcW w:w="196" w:type="dxa"/>
            <w:tcBorders>
              <w:top w:val="nil"/>
              <w:left w:val="nil"/>
              <w:bottom w:val="nil"/>
              <w:right w:val="nil"/>
            </w:tcBorders>
            <w:shd w:val="clear" w:color="000000" w:fill="FFFFFF"/>
            <w:noWrap/>
            <w:vAlign w:val="bottom"/>
            <w:hideMark/>
          </w:tcPr>
          <w:p w14:paraId="45B7CB04"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6F424CE"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475 </w:t>
            </w:r>
          </w:p>
        </w:tc>
        <w:tc>
          <w:tcPr>
            <w:tcW w:w="116" w:type="dxa"/>
            <w:tcBorders>
              <w:top w:val="nil"/>
              <w:left w:val="nil"/>
              <w:bottom w:val="nil"/>
              <w:right w:val="nil"/>
            </w:tcBorders>
            <w:shd w:val="clear" w:color="000000" w:fill="FFFFFF"/>
            <w:noWrap/>
            <w:vAlign w:val="bottom"/>
            <w:hideMark/>
          </w:tcPr>
          <w:p w14:paraId="4F34D032"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823F47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2,849 </w:t>
            </w:r>
          </w:p>
        </w:tc>
        <w:tc>
          <w:tcPr>
            <w:tcW w:w="196" w:type="dxa"/>
            <w:tcBorders>
              <w:top w:val="nil"/>
              <w:left w:val="nil"/>
              <w:bottom w:val="nil"/>
              <w:right w:val="nil"/>
            </w:tcBorders>
            <w:shd w:val="clear" w:color="000000" w:fill="FFFFFF"/>
            <w:noWrap/>
            <w:vAlign w:val="bottom"/>
            <w:hideMark/>
          </w:tcPr>
          <w:p w14:paraId="56656A91"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BB61C83"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1,164 </w:t>
            </w:r>
          </w:p>
        </w:tc>
      </w:tr>
      <w:tr w:rsidR="005366CC" w:rsidRPr="005366CC" w14:paraId="095F5236" w14:textId="77777777" w:rsidTr="00C05E95">
        <w:trPr>
          <w:trHeight w:val="285"/>
        </w:trPr>
        <w:tc>
          <w:tcPr>
            <w:tcW w:w="3096" w:type="dxa"/>
            <w:tcBorders>
              <w:top w:val="nil"/>
              <w:left w:val="nil"/>
              <w:bottom w:val="single" w:sz="4" w:space="0" w:color="auto"/>
              <w:right w:val="nil"/>
            </w:tcBorders>
            <w:shd w:val="clear" w:color="000000" w:fill="FFFFFF"/>
            <w:noWrap/>
            <w:vAlign w:val="bottom"/>
            <w:hideMark/>
          </w:tcPr>
          <w:p w14:paraId="4CE8C5C4"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Corporate and Other</w:t>
            </w:r>
          </w:p>
        </w:tc>
        <w:tc>
          <w:tcPr>
            <w:tcW w:w="1096" w:type="dxa"/>
            <w:tcBorders>
              <w:top w:val="nil"/>
              <w:left w:val="nil"/>
              <w:bottom w:val="single" w:sz="4" w:space="0" w:color="auto"/>
              <w:right w:val="nil"/>
            </w:tcBorders>
            <w:shd w:val="clear" w:color="000000" w:fill="FFFFFF"/>
            <w:noWrap/>
            <w:vAlign w:val="bottom"/>
            <w:hideMark/>
          </w:tcPr>
          <w:p w14:paraId="18F7DC67"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(37)</w:t>
            </w:r>
          </w:p>
        </w:tc>
        <w:tc>
          <w:tcPr>
            <w:tcW w:w="196" w:type="dxa"/>
            <w:tcBorders>
              <w:top w:val="nil"/>
              <w:left w:val="nil"/>
              <w:bottom w:val="nil"/>
              <w:right w:val="nil"/>
            </w:tcBorders>
            <w:shd w:val="clear" w:color="000000" w:fill="FFFFFF"/>
            <w:noWrap/>
            <w:vAlign w:val="bottom"/>
            <w:hideMark/>
          </w:tcPr>
          <w:p w14:paraId="77CF19FB"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5F24A5B9"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(148)</w:t>
            </w:r>
          </w:p>
        </w:tc>
        <w:tc>
          <w:tcPr>
            <w:tcW w:w="116" w:type="dxa"/>
            <w:tcBorders>
              <w:top w:val="nil"/>
              <w:left w:val="nil"/>
              <w:bottom w:val="nil"/>
              <w:right w:val="nil"/>
            </w:tcBorders>
            <w:shd w:val="clear" w:color="000000" w:fill="FFFFFF"/>
            <w:noWrap/>
            <w:vAlign w:val="bottom"/>
            <w:hideMark/>
          </w:tcPr>
          <w:p w14:paraId="1BF687A5"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5BBE8BD2"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190 </w:t>
            </w:r>
          </w:p>
        </w:tc>
        <w:tc>
          <w:tcPr>
            <w:tcW w:w="196" w:type="dxa"/>
            <w:tcBorders>
              <w:top w:val="nil"/>
              <w:left w:val="nil"/>
              <w:bottom w:val="nil"/>
              <w:right w:val="nil"/>
            </w:tcBorders>
            <w:shd w:val="clear" w:color="000000" w:fill="FFFFFF"/>
            <w:noWrap/>
            <w:vAlign w:val="bottom"/>
            <w:hideMark/>
          </w:tcPr>
          <w:p w14:paraId="3806F10C"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7D5A3990"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(369)</w:t>
            </w:r>
          </w:p>
        </w:tc>
      </w:tr>
      <w:tr w:rsidR="005366CC" w:rsidRPr="005366CC" w14:paraId="25536A0F" w14:textId="77777777" w:rsidTr="00C05E95">
        <w:trPr>
          <w:trHeight w:val="300"/>
        </w:trPr>
        <w:tc>
          <w:tcPr>
            <w:tcW w:w="3096" w:type="dxa"/>
            <w:tcBorders>
              <w:top w:val="nil"/>
              <w:left w:val="nil"/>
              <w:bottom w:val="nil"/>
              <w:right w:val="nil"/>
            </w:tcBorders>
            <w:shd w:val="clear" w:color="000000" w:fill="FFFFFF"/>
            <w:noWrap/>
            <w:vAlign w:val="bottom"/>
            <w:hideMark/>
          </w:tcPr>
          <w:p w14:paraId="28E18FB3"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Total gross margin</w:t>
            </w:r>
          </w:p>
        </w:tc>
        <w:tc>
          <w:tcPr>
            <w:tcW w:w="1096" w:type="dxa"/>
            <w:tcBorders>
              <w:top w:val="nil"/>
              <w:left w:val="nil"/>
              <w:bottom w:val="single" w:sz="8" w:space="0" w:color="auto"/>
              <w:right w:val="nil"/>
            </w:tcBorders>
            <w:shd w:val="clear" w:color="000000" w:fill="FFFFFF"/>
            <w:noWrap/>
            <w:vAlign w:val="bottom"/>
            <w:hideMark/>
          </w:tcPr>
          <w:p w14:paraId="705294B3"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14,568 </w:t>
            </w:r>
          </w:p>
        </w:tc>
        <w:tc>
          <w:tcPr>
            <w:tcW w:w="196" w:type="dxa"/>
            <w:tcBorders>
              <w:top w:val="nil"/>
              <w:left w:val="nil"/>
              <w:bottom w:val="nil"/>
              <w:right w:val="nil"/>
            </w:tcBorders>
            <w:shd w:val="clear" w:color="000000" w:fill="FFFFFF"/>
            <w:noWrap/>
            <w:vAlign w:val="bottom"/>
            <w:hideMark/>
          </w:tcPr>
          <w:p w14:paraId="2B1F8C97"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7461568B"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$14,425 </w:t>
            </w:r>
          </w:p>
        </w:tc>
        <w:tc>
          <w:tcPr>
            <w:tcW w:w="116" w:type="dxa"/>
            <w:tcBorders>
              <w:top w:val="nil"/>
              <w:left w:val="nil"/>
              <w:bottom w:val="nil"/>
              <w:right w:val="nil"/>
            </w:tcBorders>
            <w:shd w:val="clear" w:color="000000" w:fill="FFFFFF"/>
            <w:noWrap/>
            <w:vAlign w:val="bottom"/>
            <w:hideMark/>
          </w:tcPr>
          <w:p w14:paraId="5541FC98" w14:textId="77777777" w:rsidR="005366CC" w:rsidRPr="005366CC" w:rsidRDefault="005366CC" w:rsidP="005366CC">
            <w:pPr>
              <w:spacing w:after="0" w:line="240" w:lineRule="auto"/>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5F8434D9" w14:textId="77777777" w:rsidR="005366CC" w:rsidRPr="005366CC" w:rsidRDefault="005366CC" w:rsidP="005366CC">
            <w:pPr>
              <w:spacing w:after="0" w:line="240" w:lineRule="auto"/>
              <w:jc w:val="right"/>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xml:space="preserve"> $   45,830 </w:t>
            </w:r>
          </w:p>
        </w:tc>
        <w:tc>
          <w:tcPr>
            <w:tcW w:w="196" w:type="dxa"/>
            <w:tcBorders>
              <w:top w:val="nil"/>
              <w:left w:val="nil"/>
              <w:bottom w:val="nil"/>
              <w:right w:val="nil"/>
            </w:tcBorders>
            <w:shd w:val="clear" w:color="000000" w:fill="FFFFFF"/>
            <w:noWrap/>
            <w:vAlign w:val="bottom"/>
            <w:hideMark/>
          </w:tcPr>
          <w:p w14:paraId="6DEC5CAB" w14:textId="77777777" w:rsidR="005366CC" w:rsidRPr="005366CC" w:rsidRDefault="005366CC" w:rsidP="005366CC">
            <w:pPr>
              <w:spacing w:after="0" w:line="240" w:lineRule="auto"/>
              <w:rPr>
                <w:rFonts w:ascii="Segoe UI" w:eastAsia="Times New Roman" w:hAnsi="Segoe UI" w:cs="Segoe UI"/>
                <w:b/>
                <w:bCs/>
                <w:color w:val="666666"/>
                <w:sz w:val="20"/>
                <w:szCs w:val="20"/>
              </w:rPr>
            </w:pPr>
            <w:r w:rsidRPr="005366CC">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1FAC0548" w14:textId="77777777" w:rsidR="005366CC" w:rsidRPr="005366CC" w:rsidRDefault="005366CC" w:rsidP="005366CC">
            <w:pPr>
              <w:spacing w:after="0" w:line="240" w:lineRule="auto"/>
              <w:jc w:val="right"/>
              <w:rPr>
                <w:rFonts w:ascii="Segoe UI" w:eastAsia="Times New Roman" w:hAnsi="Segoe UI" w:cs="Segoe UI"/>
                <w:color w:val="666666"/>
                <w:sz w:val="20"/>
                <w:szCs w:val="20"/>
              </w:rPr>
            </w:pPr>
            <w:r w:rsidRPr="005366CC">
              <w:rPr>
                <w:rFonts w:ascii="Segoe UI" w:eastAsia="Times New Roman" w:hAnsi="Segoe UI" w:cs="Segoe UI"/>
                <w:color w:val="666666"/>
                <w:sz w:val="20"/>
                <w:szCs w:val="20"/>
              </w:rPr>
              <w:t xml:space="preserve"> $44,006 </w:t>
            </w:r>
          </w:p>
        </w:tc>
      </w:tr>
    </w:tbl>
    <w:p w14:paraId="36F688BC" w14:textId="77777777" w:rsidR="005366CC" w:rsidRPr="00721C2E" w:rsidRDefault="005366CC" w:rsidP="00721C2E"/>
    <w:sectPr w:rsidR="005366CC" w:rsidRPr="00721C2E" w:rsidSect="00622A00">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3654A" w14:textId="77777777" w:rsidR="002853CA" w:rsidRDefault="002853CA" w:rsidP="002C4383">
      <w:pPr>
        <w:spacing w:after="0" w:line="240" w:lineRule="auto"/>
      </w:pPr>
      <w:r>
        <w:separator/>
      </w:r>
    </w:p>
  </w:endnote>
  <w:endnote w:type="continuationSeparator" w:id="0">
    <w:p w14:paraId="3D1F4F61" w14:textId="77777777" w:rsidR="002853CA" w:rsidRDefault="002853CA" w:rsidP="002C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6C8B" w14:textId="77777777" w:rsidR="002853CA" w:rsidRDefault="002853CA" w:rsidP="002C4383">
      <w:pPr>
        <w:spacing w:after="0" w:line="240" w:lineRule="auto"/>
      </w:pPr>
      <w:r>
        <w:separator/>
      </w:r>
    </w:p>
  </w:footnote>
  <w:footnote w:type="continuationSeparator" w:id="0">
    <w:p w14:paraId="4F329BE7" w14:textId="77777777" w:rsidR="002853CA" w:rsidRDefault="002853CA" w:rsidP="002C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3BD"/>
    <w:multiLevelType w:val="hybridMultilevel"/>
    <w:tmpl w:val="CE02AF5E"/>
    <w:lvl w:ilvl="0" w:tplc="1ABAA840">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A040B"/>
    <w:rsid w:val="0001030A"/>
    <w:rsid w:val="00016709"/>
    <w:rsid w:val="000202C4"/>
    <w:rsid w:val="00023361"/>
    <w:rsid w:val="00027614"/>
    <w:rsid w:val="00031A74"/>
    <w:rsid w:val="000461BA"/>
    <w:rsid w:val="00073769"/>
    <w:rsid w:val="00080299"/>
    <w:rsid w:val="00082EC7"/>
    <w:rsid w:val="00085DAF"/>
    <w:rsid w:val="00096EF3"/>
    <w:rsid w:val="00097DA7"/>
    <w:rsid w:val="000A2315"/>
    <w:rsid w:val="000B0754"/>
    <w:rsid w:val="000B56A4"/>
    <w:rsid w:val="000B7B26"/>
    <w:rsid w:val="000C75E0"/>
    <w:rsid w:val="000D33AA"/>
    <w:rsid w:val="000D62AA"/>
    <w:rsid w:val="000E36BC"/>
    <w:rsid w:val="000F3FA8"/>
    <w:rsid w:val="00113F25"/>
    <w:rsid w:val="00116FDE"/>
    <w:rsid w:val="00141B46"/>
    <w:rsid w:val="00142700"/>
    <w:rsid w:val="00164784"/>
    <w:rsid w:val="00170A39"/>
    <w:rsid w:val="00173636"/>
    <w:rsid w:val="00185096"/>
    <w:rsid w:val="00195CE9"/>
    <w:rsid w:val="00196A2F"/>
    <w:rsid w:val="001A1253"/>
    <w:rsid w:val="001A52FD"/>
    <w:rsid w:val="001C15EF"/>
    <w:rsid w:val="001D1102"/>
    <w:rsid w:val="001D69BC"/>
    <w:rsid w:val="001E3443"/>
    <w:rsid w:val="001E4322"/>
    <w:rsid w:val="001F2809"/>
    <w:rsid w:val="00202880"/>
    <w:rsid w:val="002069C6"/>
    <w:rsid w:val="0021145F"/>
    <w:rsid w:val="00224EDC"/>
    <w:rsid w:val="002372B7"/>
    <w:rsid w:val="00245F78"/>
    <w:rsid w:val="0025168C"/>
    <w:rsid w:val="00263EA3"/>
    <w:rsid w:val="002853CA"/>
    <w:rsid w:val="002B0732"/>
    <w:rsid w:val="002B766F"/>
    <w:rsid w:val="002C40AF"/>
    <w:rsid w:val="002C4383"/>
    <w:rsid w:val="002D57BB"/>
    <w:rsid w:val="002E0E8E"/>
    <w:rsid w:val="002E65D2"/>
    <w:rsid w:val="002F14BD"/>
    <w:rsid w:val="00302C39"/>
    <w:rsid w:val="00311C28"/>
    <w:rsid w:val="00314B0A"/>
    <w:rsid w:val="0032642E"/>
    <w:rsid w:val="0032783C"/>
    <w:rsid w:val="00345672"/>
    <w:rsid w:val="0034602F"/>
    <w:rsid w:val="00356B20"/>
    <w:rsid w:val="00361510"/>
    <w:rsid w:val="00372531"/>
    <w:rsid w:val="0038552D"/>
    <w:rsid w:val="00391E57"/>
    <w:rsid w:val="00394A8F"/>
    <w:rsid w:val="003A19D2"/>
    <w:rsid w:val="003A6656"/>
    <w:rsid w:val="003B1A4E"/>
    <w:rsid w:val="003C5AB6"/>
    <w:rsid w:val="003C69B0"/>
    <w:rsid w:val="003D38E4"/>
    <w:rsid w:val="003E2BC9"/>
    <w:rsid w:val="00404FAF"/>
    <w:rsid w:val="00416671"/>
    <w:rsid w:val="00417094"/>
    <w:rsid w:val="004237FD"/>
    <w:rsid w:val="00437F11"/>
    <w:rsid w:val="00441C6B"/>
    <w:rsid w:val="0045158B"/>
    <w:rsid w:val="00452DB6"/>
    <w:rsid w:val="00463416"/>
    <w:rsid w:val="0047750B"/>
    <w:rsid w:val="004875A2"/>
    <w:rsid w:val="00491556"/>
    <w:rsid w:val="0049770C"/>
    <w:rsid w:val="004A006F"/>
    <w:rsid w:val="004B032A"/>
    <w:rsid w:val="004B1ACF"/>
    <w:rsid w:val="004B3E79"/>
    <w:rsid w:val="00505FBB"/>
    <w:rsid w:val="00510B75"/>
    <w:rsid w:val="00532D90"/>
    <w:rsid w:val="005366CC"/>
    <w:rsid w:val="00540544"/>
    <w:rsid w:val="00541021"/>
    <w:rsid w:val="00570236"/>
    <w:rsid w:val="00574C86"/>
    <w:rsid w:val="005757DD"/>
    <w:rsid w:val="00584C00"/>
    <w:rsid w:val="005857A6"/>
    <w:rsid w:val="0059564B"/>
    <w:rsid w:val="005A4E1F"/>
    <w:rsid w:val="005C6CF0"/>
    <w:rsid w:val="005C6E75"/>
    <w:rsid w:val="005C7017"/>
    <w:rsid w:val="005D7919"/>
    <w:rsid w:val="005E0131"/>
    <w:rsid w:val="005E59D2"/>
    <w:rsid w:val="005F1E87"/>
    <w:rsid w:val="005F3081"/>
    <w:rsid w:val="00604BA7"/>
    <w:rsid w:val="00614B91"/>
    <w:rsid w:val="006200FB"/>
    <w:rsid w:val="006229F3"/>
    <w:rsid w:val="00622A00"/>
    <w:rsid w:val="006257FA"/>
    <w:rsid w:val="00636C5C"/>
    <w:rsid w:val="006404C6"/>
    <w:rsid w:val="00642638"/>
    <w:rsid w:val="00651549"/>
    <w:rsid w:val="0065200B"/>
    <w:rsid w:val="00670718"/>
    <w:rsid w:val="0067224D"/>
    <w:rsid w:val="00674241"/>
    <w:rsid w:val="006908B3"/>
    <w:rsid w:val="00690F5C"/>
    <w:rsid w:val="00692863"/>
    <w:rsid w:val="0069438A"/>
    <w:rsid w:val="00696C8C"/>
    <w:rsid w:val="00697CD0"/>
    <w:rsid w:val="006A0730"/>
    <w:rsid w:val="006A4B8E"/>
    <w:rsid w:val="006D3BB3"/>
    <w:rsid w:val="006D5396"/>
    <w:rsid w:val="006D7B25"/>
    <w:rsid w:val="006F49A6"/>
    <w:rsid w:val="00721C2E"/>
    <w:rsid w:val="0072433A"/>
    <w:rsid w:val="007321F4"/>
    <w:rsid w:val="0073645C"/>
    <w:rsid w:val="00744CB2"/>
    <w:rsid w:val="00744F7E"/>
    <w:rsid w:val="007470C1"/>
    <w:rsid w:val="00751FFD"/>
    <w:rsid w:val="007524C4"/>
    <w:rsid w:val="00756669"/>
    <w:rsid w:val="0076015A"/>
    <w:rsid w:val="00766CED"/>
    <w:rsid w:val="007747CE"/>
    <w:rsid w:val="00775452"/>
    <w:rsid w:val="00777C23"/>
    <w:rsid w:val="00782939"/>
    <w:rsid w:val="00786C93"/>
    <w:rsid w:val="007A3D12"/>
    <w:rsid w:val="007A4F2A"/>
    <w:rsid w:val="007A65AE"/>
    <w:rsid w:val="007A77D8"/>
    <w:rsid w:val="007B1949"/>
    <w:rsid w:val="007C1D4D"/>
    <w:rsid w:val="007D12BE"/>
    <w:rsid w:val="007F16DB"/>
    <w:rsid w:val="007F2779"/>
    <w:rsid w:val="007F41B0"/>
    <w:rsid w:val="007F43D7"/>
    <w:rsid w:val="00802C0D"/>
    <w:rsid w:val="00805B71"/>
    <w:rsid w:val="00815A8C"/>
    <w:rsid w:val="00816D85"/>
    <w:rsid w:val="0083396C"/>
    <w:rsid w:val="00841463"/>
    <w:rsid w:val="00854E7A"/>
    <w:rsid w:val="00865B34"/>
    <w:rsid w:val="0087215D"/>
    <w:rsid w:val="0087228C"/>
    <w:rsid w:val="008946AC"/>
    <w:rsid w:val="008A6AAD"/>
    <w:rsid w:val="008A7AB3"/>
    <w:rsid w:val="008B2E06"/>
    <w:rsid w:val="008E124A"/>
    <w:rsid w:val="008E2558"/>
    <w:rsid w:val="008F1150"/>
    <w:rsid w:val="008F4EAD"/>
    <w:rsid w:val="0091358F"/>
    <w:rsid w:val="0091490D"/>
    <w:rsid w:val="009318B9"/>
    <w:rsid w:val="009419AA"/>
    <w:rsid w:val="00942EC7"/>
    <w:rsid w:val="00943299"/>
    <w:rsid w:val="009546A6"/>
    <w:rsid w:val="00961E21"/>
    <w:rsid w:val="009674C9"/>
    <w:rsid w:val="0097627B"/>
    <w:rsid w:val="009854C5"/>
    <w:rsid w:val="00990967"/>
    <w:rsid w:val="00994C75"/>
    <w:rsid w:val="00995C19"/>
    <w:rsid w:val="00996F61"/>
    <w:rsid w:val="009A04A0"/>
    <w:rsid w:val="009A7042"/>
    <w:rsid w:val="009C5629"/>
    <w:rsid w:val="009C5B81"/>
    <w:rsid w:val="009F0C33"/>
    <w:rsid w:val="009F49F5"/>
    <w:rsid w:val="00A00BEB"/>
    <w:rsid w:val="00A04032"/>
    <w:rsid w:val="00A60D91"/>
    <w:rsid w:val="00A664DF"/>
    <w:rsid w:val="00A674E0"/>
    <w:rsid w:val="00A84C10"/>
    <w:rsid w:val="00AA04B9"/>
    <w:rsid w:val="00AA41FA"/>
    <w:rsid w:val="00AB7AFD"/>
    <w:rsid w:val="00AC4029"/>
    <w:rsid w:val="00AD24B0"/>
    <w:rsid w:val="00AD4D4A"/>
    <w:rsid w:val="00AF3B78"/>
    <w:rsid w:val="00B006DE"/>
    <w:rsid w:val="00B012CE"/>
    <w:rsid w:val="00B02D26"/>
    <w:rsid w:val="00B12030"/>
    <w:rsid w:val="00B25AB2"/>
    <w:rsid w:val="00B32DE8"/>
    <w:rsid w:val="00B358B3"/>
    <w:rsid w:val="00B71FA0"/>
    <w:rsid w:val="00B75914"/>
    <w:rsid w:val="00B75D3C"/>
    <w:rsid w:val="00B75EF9"/>
    <w:rsid w:val="00BA218B"/>
    <w:rsid w:val="00BA49CF"/>
    <w:rsid w:val="00BA4F17"/>
    <w:rsid w:val="00BA62F5"/>
    <w:rsid w:val="00BC7FE7"/>
    <w:rsid w:val="00BD0004"/>
    <w:rsid w:val="00BF0EC9"/>
    <w:rsid w:val="00C01259"/>
    <w:rsid w:val="00C0268E"/>
    <w:rsid w:val="00C05E95"/>
    <w:rsid w:val="00C074FB"/>
    <w:rsid w:val="00C24CB5"/>
    <w:rsid w:val="00C26817"/>
    <w:rsid w:val="00C26941"/>
    <w:rsid w:val="00C27914"/>
    <w:rsid w:val="00C3116B"/>
    <w:rsid w:val="00C316A5"/>
    <w:rsid w:val="00C50C92"/>
    <w:rsid w:val="00C54485"/>
    <w:rsid w:val="00C54D94"/>
    <w:rsid w:val="00C552BA"/>
    <w:rsid w:val="00C5742C"/>
    <w:rsid w:val="00C73104"/>
    <w:rsid w:val="00C94CE8"/>
    <w:rsid w:val="00CA040B"/>
    <w:rsid w:val="00CA0E7C"/>
    <w:rsid w:val="00CA711A"/>
    <w:rsid w:val="00CB667E"/>
    <w:rsid w:val="00CC1955"/>
    <w:rsid w:val="00CC5A1D"/>
    <w:rsid w:val="00CD0A7E"/>
    <w:rsid w:val="00CD3F86"/>
    <w:rsid w:val="00CD5966"/>
    <w:rsid w:val="00CD68B1"/>
    <w:rsid w:val="00CD7FF2"/>
    <w:rsid w:val="00CE1620"/>
    <w:rsid w:val="00CE40E5"/>
    <w:rsid w:val="00CF2FC7"/>
    <w:rsid w:val="00CF5800"/>
    <w:rsid w:val="00CF6740"/>
    <w:rsid w:val="00D001EB"/>
    <w:rsid w:val="00D1410C"/>
    <w:rsid w:val="00D16EE1"/>
    <w:rsid w:val="00D222AE"/>
    <w:rsid w:val="00D302DD"/>
    <w:rsid w:val="00D31CD8"/>
    <w:rsid w:val="00D424C0"/>
    <w:rsid w:val="00D443BB"/>
    <w:rsid w:val="00D44A22"/>
    <w:rsid w:val="00D657D1"/>
    <w:rsid w:val="00D66A56"/>
    <w:rsid w:val="00D70A9F"/>
    <w:rsid w:val="00D728F5"/>
    <w:rsid w:val="00D77A03"/>
    <w:rsid w:val="00D80A41"/>
    <w:rsid w:val="00D82196"/>
    <w:rsid w:val="00DA7EC8"/>
    <w:rsid w:val="00DB4CB8"/>
    <w:rsid w:val="00DC07D1"/>
    <w:rsid w:val="00DC0D93"/>
    <w:rsid w:val="00DC5B29"/>
    <w:rsid w:val="00DC7B15"/>
    <w:rsid w:val="00DF047D"/>
    <w:rsid w:val="00DF2B96"/>
    <w:rsid w:val="00DF7D02"/>
    <w:rsid w:val="00E06C86"/>
    <w:rsid w:val="00E10C68"/>
    <w:rsid w:val="00E12EC6"/>
    <w:rsid w:val="00E22A3D"/>
    <w:rsid w:val="00E2793B"/>
    <w:rsid w:val="00E324D5"/>
    <w:rsid w:val="00E41DC0"/>
    <w:rsid w:val="00E60571"/>
    <w:rsid w:val="00E628E4"/>
    <w:rsid w:val="00E63904"/>
    <w:rsid w:val="00E735C9"/>
    <w:rsid w:val="00E843BC"/>
    <w:rsid w:val="00E91555"/>
    <w:rsid w:val="00E93497"/>
    <w:rsid w:val="00E940C9"/>
    <w:rsid w:val="00E95291"/>
    <w:rsid w:val="00EA084D"/>
    <w:rsid w:val="00EA2CC9"/>
    <w:rsid w:val="00EB2BC6"/>
    <w:rsid w:val="00EB6DAE"/>
    <w:rsid w:val="00EE3883"/>
    <w:rsid w:val="00EE6867"/>
    <w:rsid w:val="00EF1ECB"/>
    <w:rsid w:val="00F01633"/>
    <w:rsid w:val="00F105AF"/>
    <w:rsid w:val="00F1510B"/>
    <w:rsid w:val="00F16D32"/>
    <w:rsid w:val="00F21483"/>
    <w:rsid w:val="00F41804"/>
    <w:rsid w:val="00F45571"/>
    <w:rsid w:val="00F45B38"/>
    <w:rsid w:val="00F4718C"/>
    <w:rsid w:val="00F5620B"/>
    <w:rsid w:val="00F6280E"/>
    <w:rsid w:val="00F76753"/>
    <w:rsid w:val="00F768FB"/>
    <w:rsid w:val="00F820BA"/>
    <w:rsid w:val="00F82431"/>
    <w:rsid w:val="00F82508"/>
    <w:rsid w:val="00F854A0"/>
    <w:rsid w:val="00F91BCC"/>
    <w:rsid w:val="00F92D5A"/>
    <w:rsid w:val="00FB4AA3"/>
    <w:rsid w:val="00FD0008"/>
    <w:rsid w:val="00FD35F9"/>
    <w:rsid w:val="00FD69BE"/>
    <w:rsid w:val="00FD7255"/>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82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0B"/>
    <w:pPr>
      <w:ind w:left="720"/>
      <w:contextualSpacing/>
    </w:pPr>
    <w:rPr>
      <w:rFonts w:ascii="Times New Roman" w:hAnsi="Times New Roman"/>
      <w:sz w:val="24"/>
    </w:rPr>
  </w:style>
  <w:style w:type="character" w:styleId="Hyperlink">
    <w:name w:val="Hyperlink"/>
    <w:uiPriority w:val="99"/>
    <w:unhideWhenUsed/>
    <w:rsid w:val="00CA040B"/>
    <w:rPr>
      <w:rFonts w:ascii="Segoe UI" w:hAnsi="Segoe UI"/>
      <w:color w:val="7FBA00"/>
      <w:sz w:val="20"/>
      <w:u w:val="none"/>
    </w:rPr>
  </w:style>
  <w:style w:type="paragraph" w:styleId="NoSpacing">
    <w:name w:val="No Spacing"/>
    <w:uiPriority w:val="1"/>
    <w:qFormat/>
    <w:rsid w:val="00CA040B"/>
    <w:pPr>
      <w:spacing w:after="0" w:line="240" w:lineRule="auto"/>
    </w:pPr>
    <w:rPr>
      <w:rFonts w:ascii="Calibri" w:eastAsia="Calibri" w:hAnsi="Calibri" w:cs="Times New Roman"/>
    </w:rPr>
  </w:style>
  <w:style w:type="paragraph" w:styleId="NormalWeb">
    <w:name w:val="Normal (Web)"/>
    <w:basedOn w:val="Normal"/>
    <w:link w:val="NormalWebChar"/>
    <w:uiPriority w:val="99"/>
    <w:rsid w:val="00CA040B"/>
    <w:pPr>
      <w:spacing w:before="100" w:beforeAutospacing="1" w:after="100" w:afterAutospacing="1" w:line="240" w:lineRule="auto"/>
      <w:jc w:val="both"/>
    </w:pPr>
    <w:rPr>
      <w:rFonts w:ascii="Arial" w:eastAsia="Times New Roman" w:hAnsi="Arial"/>
      <w:sz w:val="24"/>
      <w:szCs w:val="24"/>
    </w:rPr>
  </w:style>
  <w:style w:type="character" w:styleId="FollowedHyperlink">
    <w:name w:val="FollowedHyperlink"/>
    <w:uiPriority w:val="99"/>
    <w:unhideWhenUsed/>
    <w:rsid w:val="00CA040B"/>
    <w:rPr>
      <w:rFonts w:ascii="Segoe UI" w:hAnsi="Segoe UI"/>
      <w:color w:val="7FBA00"/>
      <w:sz w:val="20"/>
      <w:u w:val="none"/>
    </w:rPr>
  </w:style>
  <w:style w:type="character" w:styleId="CommentReference">
    <w:name w:val="annotation reference"/>
    <w:uiPriority w:val="99"/>
    <w:semiHidden/>
    <w:unhideWhenUsed/>
    <w:rsid w:val="00CA040B"/>
    <w:rPr>
      <w:sz w:val="16"/>
      <w:szCs w:val="16"/>
    </w:rPr>
  </w:style>
  <w:style w:type="paragraph" w:styleId="CommentText">
    <w:name w:val="annotation text"/>
    <w:basedOn w:val="Normal"/>
    <w:link w:val="CommentTextChar"/>
    <w:uiPriority w:val="99"/>
    <w:semiHidden/>
    <w:unhideWhenUsed/>
    <w:rsid w:val="00CA040B"/>
    <w:pPr>
      <w:spacing w:line="240" w:lineRule="auto"/>
    </w:pPr>
    <w:rPr>
      <w:sz w:val="20"/>
      <w:szCs w:val="20"/>
    </w:rPr>
  </w:style>
  <w:style w:type="character" w:customStyle="1" w:styleId="CommentTextChar">
    <w:name w:val="Comment Text Char"/>
    <w:basedOn w:val="DefaultParagraphFont"/>
    <w:link w:val="CommentText"/>
    <w:uiPriority w:val="99"/>
    <w:semiHidden/>
    <w:rsid w:val="00CA040B"/>
    <w:rPr>
      <w:rFonts w:ascii="Calibri" w:eastAsia="Calibri" w:hAnsi="Calibri" w:cs="Times New Roman"/>
      <w:sz w:val="20"/>
      <w:szCs w:val="20"/>
    </w:rPr>
  </w:style>
  <w:style w:type="character" w:customStyle="1" w:styleId="NormalWebChar">
    <w:name w:val="Normal (Web) Char"/>
    <w:link w:val="NormalWeb"/>
    <w:uiPriority w:val="99"/>
    <w:rsid w:val="00CA04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A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0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D35F9"/>
    <w:rPr>
      <w:b/>
      <w:bCs/>
    </w:rPr>
  </w:style>
  <w:style w:type="character" w:customStyle="1" w:styleId="CommentSubjectChar">
    <w:name w:val="Comment Subject Char"/>
    <w:basedOn w:val="CommentTextChar"/>
    <w:link w:val="CommentSubject"/>
    <w:uiPriority w:val="99"/>
    <w:semiHidden/>
    <w:rsid w:val="00FD35F9"/>
    <w:rPr>
      <w:rFonts w:ascii="Calibri" w:eastAsia="Calibri" w:hAnsi="Calibri" w:cs="Times New Roman"/>
      <w:b/>
      <w:bCs/>
      <w:sz w:val="20"/>
      <w:szCs w:val="20"/>
    </w:rPr>
  </w:style>
  <w:style w:type="paragraph" w:styleId="Revision">
    <w:name w:val="Revision"/>
    <w:hidden/>
    <w:uiPriority w:val="99"/>
    <w:semiHidden/>
    <w:rsid w:val="00BA4F17"/>
    <w:pPr>
      <w:spacing w:after="0" w:line="240" w:lineRule="auto"/>
    </w:pPr>
    <w:rPr>
      <w:rFonts w:ascii="Calibri" w:eastAsia="Calibri" w:hAnsi="Calibri" w:cs="Times New Roman"/>
    </w:rPr>
  </w:style>
  <w:style w:type="paragraph" w:customStyle="1" w:styleId="rrdsinglerule">
    <w:name w:val="rrdsinglerule"/>
    <w:basedOn w:val="Normal"/>
    <w:next w:val="Normal"/>
    <w:rsid w:val="00A60D91"/>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A60D91"/>
    <w:pPr>
      <w:spacing w:after="0" w:line="40" w:lineRule="exact"/>
    </w:pPr>
    <w:rPr>
      <w:rFonts w:ascii="Times New Roman" w:eastAsia="Times New Roman" w:hAnsi="Times New Roman"/>
      <w:noProof/>
      <w:sz w:val="8"/>
      <w:szCs w:val="8"/>
    </w:rPr>
  </w:style>
  <w:style w:type="paragraph" w:styleId="Header">
    <w:name w:val="header"/>
    <w:basedOn w:val="Normal"/>
    <w:link w:val="HeaderChar"/>
    <w:uiPriority w:val="99"/>
    <w:unhideWhenUsed/>
    <w:rsid w:val="002C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83"/>
    <w:rPr>
      <w:rFonts w:ascii="Calibri" w:eastAsia="Calibri" w:hAnsi="Calibri" w:cs="Times New Roman"/>
    </w:rPr>
  </w:style>
  <w:style w:type="paragraph" w:styleId="Footer">
    <w:name w:val="footer"/>
    <w:basedOn w:val="Normal"/>
    <w:link w:val="FooterChar"/>
    <w:uiPriority w:val="99"/>
    <w:unhideWhenUsed/>
    <w:rsid w:val="002C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481">
      <w:bodyDiv w:val="1"/>
      <w:marLeft w:val="0"/>
      <w:marRight w:val="0"/>
      <w:marTop w:val="0"/>
      <w:marBottom w:val="0"/>
      <w:divBdr>
        <w:top w:val="none" w:sz="0" w:space="0" w:color="auto"/>
        <w:left w:val="none" w:sz="0" w:space="0" w:color="auto"/>
        <w:bottom w:val="none" w:sz="0" w:space="0" w:color="auto"/>
        <w:right w:val="none" w:sz="0" w:space="0" w:color="auto"/>
      </w:divBdr>
    </w:div>
    <w:div w:id="191040098">
      <w:bodyDiv w:val="1"/>
      <w:marLeft w:val="0"/>
      <w:marRight w:val="0"/>
      <w:marTop w:val="0"/>
      <w:marBottom w:val="0"/>
      <w:divBdr>
        <w:top w:val="none" w:sz="0" w:space="0" w:color="auto"/>
        <w:left w:val="none" w:sz="0" w:space="0" w:color="auto"/>
        <w:bottom w:val="none" w:sz="0" w:space="0" w:color="auto"/>
        <w:right w:val="none" w:sz="0" w:space="0" w:color="auto"/>
      </w:divBdr>
    </w:div>
    <w:div w:id="262567641">
      <w:bodyDiv w:val="1"/>
      <w:marLeft w:val="0"/>
      <w:marRight w:val="0"/>
      <w:marTop w:val="0"/>
      <w:marBottom w:val="0"/>
      <w:divBdr>
        <w:top w:val="none" w:sz="0" w:space="0" w:color="auto"/>
        <w:left w:val="none" w:sz="0" w:space="0" w:color="auto"/>
        <w:bottom w:val="none" w:sz="0" w:space="0" w:color="auto"/>
        <w:right w:val="none" w:sz="0" w:space="0" w:color="auto"/>
      </w:divBdr>
    </w:div>
    <w:div w:id="285088560">
      <w:bodyDiv w:val="1"/>
      <w:marLeft w:val="0"/>
      <w:marRight w:val="0"/>
      <w:marTop w:val="0"/>
      <w:marBottom w:val="0"/>
      <w:divBdr>
        <w:top w:val="none" w:sz="0" w:space="0" w:color="auto"/>
        <w:left w:val="none" w:sz="0" w:space="0" w:color="auto"/>
        <w:bottom w:val="none" w:sz="0" w:space="0" w:color="auto"/>
        <w:right w:val="none" w:sz="0" w:space="0" w:color="auto"/>
      </w:divBdr>
    </w:div>
    <w:div w:id="314140026">
      <w:bodyDiv w:val="1"/>
      <w:marLeft w:val="0"/>
      <w:marRight w:val="0"/>
      <w:marTop w:val="0"/>
      <w:marBottom w:val="0"/>
      <w:divBdr>
        <w:top w:val="none" w:sz="0" w:space="0" w:color="auto"/>
        <w:left w:val="none" w:sz="0" w:space="0" w:color="auto"/>
        <w:bottom w:val="none" w:sz="0" w:space="0" w:color="auto"/>
        <w:right w:val="none" w:sz="0" w:space="0" w:color="auto"/>
      </w:divBdr>
    </w:div>
    <w:div w:id="341127552">
      <w:bodyDiv w:val="1"/>
      <w:marLeft w:val="0"/>
      <w:marRight w:val="0"/>
      <w:marTop w:val="0"/>
      <w:marBottom w:val="0"/>
      <w:divBdr>
        <w:top w:val="none" w:sz="0" w:space="0" w:color="auto"/>
        <w:left w:val="none" w:sz="0" w:space="0" w:color="auto"/>
        <w:bottom w:val="none" w:sz="0" w:space="0" w:color="auto"/>
        <w:right w:val="none" w:sz="0" w:space="0" w:color="auto"/>
      </w:divBdr>
    </w:div>
    <w:div w:id="391856271">
      <w:bodyDiv w:val="1"/>
      <w:marLeft w:val="0"/>
      <w:marRight w:val="0"/>
      <w:marTop w:val="0"/>
      <w:marBottom w:val="0"/>
      <w:divBdr>
        <w:top w:val="none" w:sz="0" w:space="0" w:color="auto"/>
        <w:left w:val="none" w:sz="0" w:space="0" w:color="auto"/>
        <w:bottom w:val="none" w:sz="0" w:space="0" w:color="auto"/>
        <w:right w:val="none" w:sz="0" w:space="0" w:color="auto"/>
      </w:divBdr>
    </w:div>
    <w:div w:id="403646010">
      <w:bodyDiv w:val="1"/>
      <w:marLeft w:val="0"/>
      <w:marRight w:val="0"/>
      <w:marTop w:val="0"/>
      <w:marBottom w:val="0"/>
      <w:divBdr>
        <w:top w:val="none" w:sz="0" w:space="0" w:color="auto"/>
        <w:left w:val="none" w:sz="0" w:space="0" w:color="auto"/>
        <w:bottom w:val="none" w:sz="0" w:space="0" w:color="auto"/>
        <w:right w:val="none" w:sz="0" w:space="0" w:color="auto"/>
      </w:divBdr>
    </w:div>
    <w:div w:id="448397646">
      <w:bodyDiv w:val="1"/>
      <w:marLeft w:val="0"/>
      <w:marRight w:val="0"/>
      <w:marTop w:val="0"/>
      <w:marBottom w:val="0"/>
      <w:divBdr>
        <w:top w:val="none" w:sz="0" w:space="0" w:color="auto"/>
        <w:left w:val="none" w:sz="0" w:space="0" w:color="auto"/>
        <w:bottom w:val="none" w:sz="0" w:space="0" w:color="auto"/>
        <w:right w:val="none" w:sz="0" w:space="0" w:color="auto"/>
      </w:divBdr>
    </w:div>
    <w:div w:id="455374461">
      <w:bodyDiv w:val="1"/>
      <w:marLeft w:val="0"/>
      <w:marRight w:val="0"/>
      <w:marTop w:val="0"/>
      <w:marBottom w:val="0"/>
      <w:divBdr>
        <w:top w:val="none" w:sz="0" w:space="0" w:color="auto"/>
        <w:left w:val="none" w:sz="0" w:space="0" w:color="auto"/>
        <w:bottom w:val="none" w:sz="0" w:space="0" w:color="auto"/>
        <w:right w:val="none" w:sz="0" w:space="0" w:color="auto"/>
      </w:divBdr>
    </w:div>
    <w:div w:id="466944546">
      <w:bodyDiv w:val="1"/>
      <w:marLeft w:val="0"/>
      <w:marRight w:val="0"/>
      <w:marTop w:val="0"/>
      <w:marBottom w:val="0"/>
      <w:divBdr>
        <w:top w:val="none" w:sz="0" w:space="0" w:color="auto"/>
        <w:left w:val="none" w:sz="0" w:space="0" w:color="auto"/>
        <w:bottom w:val="none" w:sz="0" w:space="0" w:color="auto"/>
        <w:right w:val="none" w:sz="0" w:space="0" w:color="auto"/>
      </w:divBdr>
    </w:div>
    <w:div w:id="509367673">
      <w:bodyDiv w:val="1"/>
      <w:marLeft w:val="0"/>
      <w:marRight w:val="0"/>
      <w:marTop w:val="0"/>
      <w:marBottom w:val="0"/>
      <w:divBdr>
        <w:top w:val="none" w:sz="0" w:space="0" w:color="auto"/>
        <w:left w:val="none" w:sz="0" w:space="0" w:color="auto"/>
        <w:bottom w:val="none" w:sz="0" w:space="0" w:color="auto"/>
        <w:right w:val="none" w:sz="0" w:space="0" w:color="auto"/>
      </w:divBdr>
    </w:div>
    <w:div w:id="553583192">
      <w:bodyDiv w:val="1"/>
      <w:marLeft w:val="0"/>
      <w:marRight w:val="0"/>
      <w:marTop w:val="0"/>
      <w:marBottom w:val="0"/>
      <w:divBdr>
        <w:top w:val="none" w:sz="0" w:space="0" w:color="auto"/>
        <w:left w:val="none" w:sz="0" w:space="0" w:color="auto"/>
        <w:bottom w:val="none" w:sz="0" w:space="0" w:color="auto"/>
        <w:right w:val="none" w:sz="0" w:space="0" w:color="auto"/>
      </w:divBdr>
    </w:div>
    <w:div w:id="567807250">
      <w:bodyDiv w:val="1"/>
      <w:marLeft w:val="0"/>
      <w:marRight w:val="0"/>
      <w:marTop w:val="0"/>
      <w:marBottom w:val="0"/>
      <w:divBdr>
        <w:top w:val="none" w:sz="0" w:space="0" w:color="auto"/>
        <w:left w:val="none" w:sz="0" w:space="0" w:color="auto"/>
        <w:bottom w:val="none" w:sz="0" w:space="0" w:color="auto"/>
        <w:right w:val="none" w:sz="0" w:space="0" w:color="auto"/>
      </w:divBdr>
    </w:div>
    <w:div w:id="609892870">
      <w:bodyDiv w:val="1"/>
      <w:marLeft w:val="0"/>
      <w:marRight w:val="0"/>
      <w:marTop w:val="0"/>
      <w:marBottom w:val="0"/>
      <w:divBdr>
        <w:top w:val="none" w:sz="0" w:space="0" w:color="auto"/>
        <w:left w:val="none" w:sz="0" w:space="0" w:color="auto"/>
        <w:bottom w:val="none" w:sz="0" w:space="0" w:color="auto"/>
        <w:right w:val="none" w:sz="0" w:space="0" w:color="auto"/>
      </w:divBdr>
    </w:div>
    <w:div w:id="618873132">
      <w:bodyDiv w:val="1"/>
      <w:marLeft w:val="0"/>
      <w:marRight w:val="0"/>
      <w:marTop w:val="0"/>
      <w:marBottom w:val="0"/>
      <w:divBdr>
        <w:top w:val="none" w:sz="0" w:space="0" w:color="auto"/>
        <w:left w:val="none" w:sz="0" w:space="0" w:color="auto"/>
        <w:bottom w:val="none" w:sz="0" w:space="0" w:color="auto"/>
        <w:right w:val="none" w:sz="0" w:space="0" w:color="auto"/>
      </w:divBdr>
    </w:div>
    <w:div w:id="630474156">
      <w:bodyDiv w:val="1"/>
      <w:marLeft w:val="0"/>
      <w:marRight w:val="0"/>
      <w:marTop w:val="0"/>
      <w:marBottom w:val="0"/>
      <w:divBdr>
        <w:top w:val="none" w:sz="0" w:space="0" w:color="auto"/>
        <w:left w:val="none" w:sz="0" w:space="0" w:color="auto"/>
        <w:bottom w:val="none" w:sz="0" w:space="0" w:color="auto"/>
        <w:right w:val="none" w:sz="0" w:space="0" w:color="auto"/>
      </w:divBdr>
    </w:div>
    <w:div w:id="633609234">
      <w:bodyDiv w:val="1"/>
      <w:marLeft w:val="0"/>
      <w:marRight w:val="0"/>
      <w:marTop w:val="0"/>
      <w:marBottom w:val="0"/>
      <w:divBdr>
        <w:top w:val="none" w:sz="0" w:space="0" w:color="auto"/>
        <w:left w:val="none" w:sz="0" w:space="0" w:color="auto"/>
        <w:bottom w:val="none" w:sz="0" w:space="0" w:color="auto"/>
        <w:right w:val="none" w:sz="0" w:space="0" w:color="auto"/>
      </w:divBdr>
    </w:div>
    <w:div w:id="668367798">
      <w:bodyDiv w:val="1"/>
      <w:marLeft w:val="0"/>
      <w:marRight w:val="0"/>
      <w:marTop w:val="0"/>
      <w:marBottom w:val="0"/>
      <w:divBdr>
        <w:top w:val="none" w:sz="0" w:space="0" w:color="auto"/>
        <w:left w:val="none" w:sz="0" w:space="0" w:color="auto"/>
        <w:bottom w:val="none" w:sz="0" w:space="0" w:color="auto"/>
        <w:right w:val="none" w:sz="0" w:space="0" w:color="auto"/>
      </w:divBdr>
    </w:div>
    <w:div w:id="747652080">
      <w:bodyDiv w:val="1"/>
      <w:marLeft w:val="0"/>
      <w:marRight w:val="0"/>
      <w:marTop w:val="0"/>
      <w:marBottom w:val="0"/>
      <w:divBdr>
        <w:top w:val="none" w:sz="0" w:space="0" w:color="auto"/>
        <w:left w:val="none" w:sz="0" w:space="0" w:color="auto"/>
        <w:bottom w:val="none" w:sz="0" w:space="0" w:color="auto"/>
        <w:right w:val="none" w:sz="0" w:space="0" w:color="auto"/>
      </w:divBdr>
    </w:div>
    <w:div w:id="747653593">
      <w:bodyDiv w:val="1"/>
      <w:marLeft w:val="0"/>
      <w:marRight w:val="0"/>
      <w:marTop w:val="0"/>
      <w:marBottom w:val="0"/>
      <w:divBdr>
        <w:top w:val="none" w:sz="0" w:space="0" w:color="auto"/>
        <w:left w:val="none" w:sz="0" w:space="0" w:color="auto"/>
        <w:bottom w:val="none" w:sz="0" w:space="0" w:color="auto"/>
        <w:right w:val="none" w:sz="0" w:space="0" w:color="auto"/>
      </w:divBdr>
    </w:div>
    <w:div w:id="769544068">
      <w:bodyDiv w:val="1"/>
      <w:marLeft w:val="0"/>
      <w:marRight w:val="0"/>
      <w:marTop w:val="0"/>
      <w:marBottom w:val="0"/>
      <w:divBdr>
        <w:top w:val="none" w:sz="0" w:space="0" w:color="auto"/>
        <w:left w:val="none" w:sz="0" w:space="0" w:color="auto"/>
        <w:bottom w:val="none" w:sz="0" w:space="0" w:color="auto"/>
        <w:right w:val="none" w:sz="0" w:space="0" w:color="auto"/>
      </w:divBdr>
    </w:div>
    <w:div w:id="783577821">
      <w:bodyDiv w:val="1"/>
      <w:marLeft w:val="0"/>
      <w:marRight w:val="0"/>
      <w:marTop w:val="0"/>
      <w:marBottom w:val="0"/>
      <w:divBdr>
        <w:top w:val="none" w:sz="0" w:space="0" w:color="auto"/>
        <w:left w:val="none" w:sz="0" w:space="0" w:color="auto"/>
        <w:bottom w:val="none" w:sz="0" w:space="0" w:color="auto"/>
        <w:right w:val="none" w:sz="0" w:space="0" w:color="auto"/>
      </w:divBdr>
    </w:div>
    <w:div w:id="797573612">
      <w:bodyDiv w:val="1"/>
      <w:marLeft w:val="0"/>
      <w:marRight w:val="0"/>
      <w:marTop w:val="0"/>
      <w:marBottom w:val="0"/>
      <w:divBdr>
        <w:top w:val="none" w:sz="0" w:space="0" w:color="auto"/>
        <w:left w:val="none" w:sz="0" w:space="0" w:color="auto"/>
        <w:bottom w:val="none" w:sz="0" w:space="0" w:color="auto"/>
        <w:right w:val="none" w:sz="0" w:space="0" w:color="auto"/>
      </w:divBdr>
    </w:div>
    <w:div w:id="834304242">
      <w:bodyDiv w:val="1"/>
      <w:marLeft w:val="0"/>
      <w:marRight w:val="0"/>
      <w:marTop w:val="0"/>
      <w:marBottom w:val="0"/>
      <w:divBdr>
        <w:top w:val="none" w:sz="0" w:space="0" w:color="auto"/>
        <w:left w:val="none" w:sz="0" w:space="0" w:color="auto"/>
        <w:bottom w:val="none" w:sz="0" w:space="0" w:color="auto"/>
        <w:right w:val="none" w:sz="0" w:space="0" w:color="auto"/>
      </w:divBdr>
    </w:div>
    <w:div w:id="858544951">
      <w:bodyDiv w:val="1"/>
      <w:marLeft w:val="0"/>
      <w:marRight w:val="0"/>
      <w:marTop w:val="0"/>
      <w:marBottom w:val="0"/>
      <w:divBdr>
        <w:top w:val="none" w:sz="0" w:space="0" w:color="auto"/>
        <w:left w:val="none" w:sz="0" w:space="0" w:color="auto"/>
        <w:bottom w:val="none" w:sz="0" w:space="0" w:color="auto"/>
        <w:right w:val="none" w:sz="0" w:space="0" w:color="auto"/>
      </w:divBdr>
    </w:div>
    <w:div w:id="950471644">
      <w:bodyDiv w:val="1"/>
      <w:marLeft w:val="0"/>
      <w:marRight w:val="0"/>
      <w:marTop w:val="0"/>
      <w:marBottom w:val="0"/>
      <w:divBdr>
        <w:top w:val="none" w:sz="0" w:space="0" w:color="auto"/>
        <w:left w:val="none" w:sz="0" w:space="0" w:color="auto"/>
        <w:bottom w:val="none" w:sz="0" w:space="0" w:color="auto"/>
        <w:right w:val="none" w:sz="0" w:space="0" w:color="auto"/>
      </w:divBdr>
    </w:div>
    <w:div w:id="953095514">
      <w:bodyDiv w:val="1"/>
      <w:marLeft w:val="0"/>
      <w:marRight w:val="0"/>
      <w:marTop w:val="0"/>
      <w:marBottom w:val="0"/>
      <w:divBdr>
        <w:top w:val="none" w:sz="0" w:space="0" w:color="auto"/>
        <w:left w:val="none" w:sz="0" w:space="0" w:color="auto"/>
        <w:bottom w:val="none" w:sz="0" w:space="0" w:color="auto"/>
        <w:right w:val="none" w:sz="0" w:space="0" w:color="auto"/>
      </w:divBdr>
    </w:div>
    <w:div w:id="954294319">
      <w:bodyDiv w:val="1"/>
      <w:marLeft w:val="0"/>
      <w:marRight w:val="0"/>
      <w:marTop w:val="0"/>
      <w:marBottom w:val="0"/>
      <w:divBdr>
        <w:top w:val="none" w:sz="0" w:space="0" w:color="auto"/>
        <w:left w:val="none" w:sz="0" w:space="0" w:color="auto"/>
        <w:bottom w:val="none" w:sz="0" w:space="0" w:color="auto"/>
        <w:right w:val="none" w:sz="0" w:space="0" w:color="auto"/>
      </w:divBdr>
    </w:div>
    <w:div w:id="974486686">
      <w:bodyDiv w:val="1"/>
      <w:marLeft w:val="0"/>
      <w:marRight w:val="0"/>
      <w:marTop w:val="0"/>
      <w:marBottom w:val="0"/>
      <w:divBdr>
        <w:top w:val="none" w:sz="0" w:space="0" w:color="auto"/>
        <w:left w:val="none" w:sz="0" w:space="0" w:color="auto"/>
        <w:bottom w:val="none" w:sz="0" w:space="0" w:color="auto"/>
        <w:right w:val="none" w:sz="0" w:space="0" w:color="auto"/>
      </w:divBdr>
    </w:div>
    <w:div w:id="1009789587">
      <w:bodyDiv w:val="1"/>
      <w:marLeft w:val="0"/>
      <w:marRight w:val="0"/>
      <w:marTop w:val="0"/>
      <w:marBottom w:val="0"/>
      <w:divBdr>
        <w:top w:val="none" w:sz="0" w:space="0" w:color="auto"/>
        <w:left w:val="none" w:sz="0" w:space="0" w:color="auto"/>
        <w:bottom w:val="none" w:sz="0" w:space="0" w:color="auto"/>
        <w:right w:val="none" w:sz="0" w:space="0" w:color="auto"/>
      </w:divBdr>
    </w:div>
    <w:div w:id="1032608621">
      <w:bodyDiv w:val="1"/>
      <w:marLeft w:val="0"/>
      <w:marRight w:val="0"/>
      <w:marTop w:val="0"/>
      <w:marBottom w:val="0"/>
      <w:divBdr>
        <w:top w:val="none" w:sz="0" w:space="0" w:color="auto"/>
        <w:left w:val="none" w:sz="0" w:space="0" w:color="auto"/>
        <w:bottom w:val="none" w:sz="0" w:space="0" w:color="auto"/>
        <w:right w:val="none" w:sz="0" w:space="0" w:color="auto"/>
      </w:divBdr>
    </w:div>
    <w:div w:id="1170173909">
      <w:bodyDiv w:val="1"/>
      <w:marLeft w:val="0"/>
      <w:marRight w:val="0"/>
      <w:marTop w:val="0"/>
      <w:marBottom w:val="0"/>
      <w:divBdr>
        <w:top w:val="none" w:sz="0" w:space="0" w:color="auto"/>
        <w:left w:val="none" w:sz="0" w:space="0" w:color="auto"/>
        <w:bottom w:val="none" w:sz="0" w:space="0" w:color="auto"/>
        <w:right w:val="none" w:sz="0" w:space="0" w:color="auto"/>
      </w:divBdr>
    </w:div>
    <w:div w:id="1215116701">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4848782">
      <w:bodyDiv w:val="1"/>
      <w:marLeft w:val="0"/>
      <w:marRight w:val="0"/>
      <w:marTop w:val="0"/>
      <w:marBottom w:val="0"/>
      <w:divBdr>
        <w:top w:val="none" w:sz="0" w:space="0" w:color="auto"/>
        <w:left w:val="none" w:sz="0" w:space="0" w:color="auto"/>
        <w:bottom w:val="none" w:sz="0" w:space="0" w:color="auto"/>
        <w:right w:val="none" w:sz="0" w:space="0" w:color="auto"/>
      </w:divBdr>
    </w:div>
    <w:div w:id="1285189953">
      <w:bodyDiv w:val="1"/>
      <w:marLeft w:val="0"/>
      <w:marRight w:val="0"/>
      <w:marTop w:val="0"/>
      <w:marBottom w:val="0"/>
      <w:divBdr>
        <w:top w:val="none" w:sz="0" w:space="0" w:color="auto"/>
        <w:left w:val="none" w:sz="0" w:space="0" w:color="auto"/>
        <w:bottom w:val="none" w:sz="0" w:space="0" w:color="auto"/>
        <w:right w:val="none" w:sz="0" w:space="0" w:color="auto"/>
      </w:divBdr>
    </w:div>
    <w:div w:id="1296374207">
      <w:bodyDiv w:val="1"/>
      <w:marLeft w:val="0"/>
      <w:marRight w:val="0"/>
      <w:marTop w:val="0"/>
      <w:marBottom w:val="0"/>
      <w:divBdr>
        <w:top w:val="none" w:sz="0" w:space="0" w:color="auto"/>
        <w:left w:val="none" w:sz="0" w:space="0" w:color="auto"/>
        <w:bottom w:val="none" w:sz="0" w:space="0" w:color="auto"/>
        <w:right w:val="none" w:sz="0" w:space="0" w:color="auto"/>
      </w:divBdr>
    </w:div>
    <w:div w:id="1296791843">
      <w:bodyDiv w:val="1"/>
      <w:marLeft w:val="0"/>
      <w:marRight w:val="0"/>
      <w:marTop w:val="0"/>
      <w:marBottom w:val="0"/>
      <w:divBdr>
        <w:top w:val="none" w:sz="0" w:space="0" w:color="auto"/>
        <w:left w:val="none" w:sz="0" w:space="0" w:color="auto"/>
        <w:bottom w:val="none" w:sz="0" w:space="0" w:color="auto"/>
        <w:right w:val="none" w:sz="0" w:space="0" w:color="auto"/>
      </w:divBdr>
    </w:div>
    <w:div w:id="1307903444">
      <w:bodyDiv w:val="1"/>
      <w:marLeft w:val="0"/>
      <w:marRight w:val="0"/>
      <w:marTop w:val="0"/>
      <w:marBottom w:val="0"/>
      <w:divBdr>
        <w:top w:val="none" w:sz="0" w:space="0" w:color="auto"/>
        <w:left w:val="none" w:sz="0" w:space="0" w:color="auto"/>
        <w:bottom w:val="none" w:sz="0" w:space="0" w:color="auto"/>
        <w:right w:val="none" w:sz="0" w:space="0" w:color="auto"/>
      </w:divBdr>
    </w:div>
    <w:div w:id="1350837275">
      <w:bodyDiv w:val="1"/>
      <w:marLeft w:val="0"/>
      <w:marRight w:val="0"/>
      <w:marTop w:val="0"/>
      <w:marBottom w:val="0"/>
      <w:divBdr>
        <w:top w:val="none" w:sz="0" w:space="0" w:color="auto"/>
        <w:left w:val="none" w:sz="0" w:space="0" w:color="auto"/>
        <w:bottom w:val="none" w:sz="0" w:space="0" w:color="auto"/>
        <w:right w:val="none" w:sz="0" w:space="0" w:color="auto"/>
      </w:divBdr>
    </w:div>
    <w:div w:id="1354333813">
      <w:bodyDiv w:val="1"/>
      <w:marLeft w:val="0"/>
      <w:marRight w:val="0"/>
      <w:marTop w:val="0"/>
      <w:marBottom w:val="0"/>
      <w:divBdr>
        <w:top w:val="none" w:sz="0" w:space="0" w:color="auto"/>
        <w:left w:val="none" w:sz="0" w:space="0" w:color="auto"/>
        <w:bottom w:val="none" w:sz="0" w:space="0" w:color="auto"/>
        <w:right w:val="none" w:sz="0" w:space="0" w:color="auto"/>
      </w:divBdr>
    </w:div>
    <w:div w:id="1380324753">
      <w:bodyDiv w:val="1"/>
      <w:marLeft w:val="0"/>
      <w:marRight w:val="0"/>
      <w:marTop w:val="0"/>
      <w:marBottom w:val="0"/>
      <w:divBdr>
        <w:top w:val="none" w:sz="0" w:space="0" w:color="auto"/>
        <w:left w:val="none" w:sz="0" w:space="0" w:color="auto"/>
        <w:bottom w:val="none" w:sz="0" w:space="0" w:color="auto"/>
        <w:right w:val="none" w:sz="0" w:space="0" w:color="auto"/>
      </w:divBdr>
    </w:div>
    <w:div w:id="1406030297">
      <w:bodyDiv w:val="1"/>
      <w:marLeft w:val="0"/>
      <w:marRight w:val="0"/>
      <w:marTop w:val="0"/>
      <w:marBottom w:val="0"/>
      <w:divBdr>
        <w:top w:val="none" w:sz="0" w:space="0" w:color="auto"/>
        <w:left w:val="none" w:sz="0" w:space="0" w:color="auto"/>
        <w:bottom w:val="none" w:sz="0" w:space="0" w:color="auto"/>
        <w:right w:val="none" w:sz="0" w:space="0" w:color="auto"/>
      </w:divBdr>
    </w:div>
    <w:div w:id="1411461180">
      <w:bodyDiv w:val="1"/>
      <w:marLeft w:val="0"/>
      <w:marRight w:val="0"/>
      <w:marTop w:val="0"/>
      <w:marBottom w:val="0"/>
      <w:divBdr>
        <w:top w:val="none" w:sz="0" w:space="0" w:color="auto"/>
        <w:left w:val="none" w:sz="0" w:space="0" w:color="auto"/>
        <w:bottom w:val="none" w:sz="0" w:space="0" w:color="auto"/>
        <w:right w:val="none" w:sz="0" w:space="0" w:color="auto"/>
      </w:divBdr>
    </w:div>
    <w:div w:id="1415978771">
      <w:bodyDiv w:val="1"/>
      <w:marLeft w:val="0"/>
      <w:marRight w:val="0"/>
      <w:marTop w:val="0"/>
      <w:marBottom w:val="0"/>
      <w:divBdr>
        <w:top w:val="none" w:sz="0" w:space="0" w:color="auto"/>
        <w:left w:val="none" w:sz="0" w:space="0" w:color="auto"/>
        <w:bottom w:val="none" w:sz="0" w:space="0" w:color="auto"/>
        <w:right w:val="none" w:sz="0" w:space="0" w:color="auto"/>
      </w:divBdr>
    </w:div>
    <w:div w:id="1441221848">
      <w:bodyDiv w:val="1"/>
      <w:marLeft w:val="0"/>
      <w:marRight w:val="0"/>
      <w:marTop w:val="0"/>
      <w:marBottom w:val="0"/>
      <w:divBdr>
        <w:top w:val="none" w:sz="0" w:space="0" w:color="auto"/>
        <w:left w:val="none" w:sz="0" w:space="0" w:color="auto"/>
        <w:bottom w:val="none" w:sz="0" w:space="0" w:color="auto"/>
        <w:right w:val="none" w:sz="0" w:space="0" w:color="auto"/>
      </w:divBdr>
    </w:div>
    <w:div w:id="1444154993">
      <w:bodyDiv w:val="1"/>
      <w:marLeft w:val="0"/>
      <w:marRight w:val="0"/>
      <w:marTop w:val="0"/>
      <w:marBottom w:val="0"/>
      <w:divBdr>
        <w:top w:val="none" w:sz="0" w:space="0" w:color="auto"/>
        <w:left w:val="none" w:sz="0" w:space="0" w:color="auto"/>
        <w:bottom w:val="none" w:sz="0" w:space="0" w:color="auto"/>
        <w:right w:val="none" w:sz="0" w:space="0" w:color="auto"/>
      </w:divBdr>
    </w:div>
    <w:div w:id="1468861072">
      <w:bodyDiv w:val="1"/>
      <w:marLeft w:val="0"/>
      <w:marRight w:val="0"/>
      <w:marTop w:val="0"/>
      <w:marBottom w:val="0"/>
      <w:divBdr>
        <w:top w:val="none" w:sz="0" w:space="0" w:color="auto"/>
        <w:left w:val="none" w:sz="0" w:space="0" w:color="auto"/>
        <w:bottom w:val="none" w:sz="0" w:space="0" w:color="auto"/>
        <w:right w:val="none" w:sz="0" w:space="0" w:color="auto"/>
      </w:divBdr>
    </w:div>
    <w:div w:id="1481381873">
      <w:bodyDiv w:val="1"/>
      <w:marLeft w:val="0"/>
      <w:marRight w:val="0"/>
      <w:marTop w:val="0"/>
      <w:marBottom w:val="0"/>
      <w:divBdr>
        <w:top w:val="none" w:sz="0" w:space="0" w:color="auto"/>
        <w:left w:val="none" w:sz="0" w:space="0" w:color="auto"/>
        <w:bottom w:val="none" w:sz="0" w:space="0" w:color="auto"/>
        <w:right w:val="none" w:sz="0" w:space="0" w:color="auto"/>
      </w:divBdr>
    </w:div>
    <w:div w:id="1532260039">
      <w:bodyDiv w:val="1"/>
      <w:marLeft w:val="0"/>
      <w:marRight w:val="0"/>
      <w:marTop w:val="0"/>
      <w:marBottom w:val="0"/>
      <w:divBdr>
        <w:top w:val="none" w:sz="0" w:space="0" w:color="auto"/>
        <w:left w:val="none" w:sz="0" w:space="0" w:color="auto"/>
        <w:bottom w:val="none" w:sz="0" w:space="0" w:color="auto"/>
        <w:right w:val="none" w:sz="0" w:space="0" w:color="auto"/>
      </w:divBdr>
    </w:div>
    <w:div w:id="1541942361">
      <w:bodyDiv w:val="1"/>
      <w:marLeft w:val="0"/>
      <w:marRight w:val="0"/>
      <w:marTop w:val="0"/>
      <w:marBottom w:val="0"/>
      <w:divBdr>
        <w:top w:val="none" w:sz="0" w:space="0" w:color="auto"/>
        <w:left w:val="none" w:sz="0" w:space="0" w:color="auto"/>
        <w:bottom w:val="none" w:sz="0" w:space="0" w:color="auto"/>
        <w:right w:val="none" w:sz="0" w:space="0" w:color="auto"/>
      </w:divBdr>
    </w:div>
    <w:div w:id="1613240942">
      <w:bodyDiv w:val="1"/>
      <w:marLeft w:val="0"/>
      <w:marRight w:val="0"/>
      <w:marTop w:val="0"/>
      <w:marBottom w:val="0"/>
      <w:divBdr>
        <w:top w:val="none" w:sz="0" w:space="0" w:color="auto"/>
        <w:left w:val="none" w:sz="0" w:space="0" w:color="auto"/>
        <w:bottom w:val="none" w:sz="0" w:space="0" w:color="auto"/>
        <w:right w:val="none" w:sz="0" w:space="0" w:color="auto"/>
      </w:divBdr>
    </w:div>
    <w:div w:id="1619723420">
      <w:bodyDiv w:val="1"/>
      <w:marLeft w:val="0"/>
      <w:marRight w:val="0"/>
      <w:marTop w:val="0"/>
      <w:marBottom w:val="0"/>
      <w:divBdr>
        <w:top w:val="none" w:sz="0" w:space="0" w:color="auto"/>
        <w:left w:val="none" w:sz="0" w:space="0" w:color="auto"/>
        <w:bottom w:val="none" w:sz="0" w:space="0" w:color="auto"/>
        <w:right w:val="none" w:sz="0" w:space="0" w:color="auto"/>
      </w:divBdr>
    </w:div>
    <w:div w:id="1632468974">
      <w:bodyDiv w:val="1"/>
      <w:marLeft w:val="0"/>
      <w:marRight w:val="0"/>
      <w:marTop w:val="0"/>
      <w:marBottom w:val="0"/>
      <w:divBdr>
        <w:top w:val="none" w:sz="0" w:space="0" w:color="auto"/>
        <w:left w:val="none" w:sz="0" w:space="0" w:color="auto"/>
        <w:bottom w:val="none" w:sz="0" w:space="0" w:color="auto"/>
        <w:right w:val="none" w:sz="0" w:space="0" w:color="auto"/>
      </w:divBdr>
    </w:div>
    <w:div w:id="1634599246">
      <w:bodyDiv w:val="1"/>
      <w:marLeft w:val="0"/>
      <w:marRight w:val="0"/>
      <w:marTop w:val="0"/>
      <w:marBottom w:val="0"/>
      <w:divBdr>
        <w:top w:val="none" w:sz="0" w:space="0" w:color="auto"/>
        <w:left w:val="none" w:sz="0" w:space="0" w:color="auto"/>
        <w:bottom w:val="none" w:sz="0" w:space="0" w:color="auto"/>
        <w:right w:val="none" w:sz="0" w:space="0" w:color="auto"/>
      </w:divBdr>
    </w:div>
    <w:div w:id="1648315895">
      <w:bodyDiv w:val="1"/>
      <w:marLeft w:val="0"/>
      <w:marRight w:val="0"/>
      <w:marTop w:val="0"/>
      <w:marBottom w:val="0"/>
      <w:divBdr>
        <w:top w:val="none" w:sz="0" w:space="0" w:color="auto"/>
        <w:left w:val="none" w:sz="0" w:space="0" w:color="auto"/>
        <w:bottom w:val="none" w:sz="0" w:space="0" w:color="auto"/>
        <w:right w:val="none" w:sz="0" w:space="0" w:color="auto"/>
      </w:divBdr>
    </w:div>
    <w:div w:id="1708212299">
      <w:bodyDiv w:val="1"/>
      <w:marLeft w:val="0"/>
      <w:marRight w:val="0"/>
      <w:marTop w:val="0"/>
      <w:marBottom w:val="0"/>
      <w:divBdr>
        <w:top w:val="none" w:sz="0" w:space="0" w:color="auto"/>
        <w:left w:val="none" w:sz="0" w:space="0" w:color="auto"/>
        <w:bottom w:val="none" w:sz="0" w:space="0" w:color="auto"/>
        <w:right w:val="none" w:sz="0" w:space="0" w:color="auto"/>
      </w:divBdr>
    </w:div>
    <w:div w:id="1754929672">
      <w:bodyDiv w:val="1"/>
      <w:marLeft w:val="0"/>
      <w:marRight w:val="0"/>
      <w:marTop w:val="0"/>
      <w:marBottom w:val="0"/>
      <w:divBdr>
        <w:top w:val="none" w:sz="0" w:space="0" w:color="auto"/>
        <w:left w:val="none" w:sz="0" w:space="0" w:color="auto"/>
        <w:bottom w:val="none" w:sz="0" w:space="0" w:color="auto"/>
        <w:right w:val="none" w:sz="0" w:space="0" w:color="auto"/>
      </w:divBdr>
    </w:div>
    <w:div w:id="1763600044">
      <w:bodyDiv w:val="1"/>
      <w:marLeft w:val="0"/>
      <w:marRight w:val="0"/>
      <w:marTop w:val="0"/>
      <w:marBottom w:val="0"/>
      <w:divBdr>
        <w:top w:val="none" w:sz="0" w:space="0" w:color="auto"/>
        <w:left w:val="none" w:sz="0" w:space="0" w:color="auto"/>
        <w:bottom w:val="none" w:sz="0" w:space="0" w:color="auto"/>
        <w:right w:val="none" w:sz="0" w:space="0" w:color="auto"/>
      </w:divBdr>
    </w:div>
    <w:div w:id="1768308052">
      <w:bodyDiv w:val="1"/>
      <w:marLeft w:val="0"/>
      <w:marRight w:val="0"/>
      <w:marTop w:val="0"/>
      <w:marBottom w:val="0"/>
      <w:divBdr>
        <w:top w:val="none" w:sz="0" w:space="0" w:color="auto"/>
        <w:left w:val="none" w:sz="0" w:space="0" w:color="auto"/>
        <w:bottom w:val="none" w:sz="0" w:space="0" w:color="auto"/>
        <w:right w:val="none" w:sz="0" w:space="0" w:color="auto"/>
      </w:divBdr>
    </w:div>
    <w:div w:id="1811550977">
      <w:bodyDiv w:val="1"/>
      <w:marLeft w:val="0"/>
      <w:marRight w:val="0"/>
      <w:marTop w:val="0"/>
      <w:marBottom w:val="0"/>
      <w:divBdr>
        <w:top w:val="none" w:sz="0" w:space="0" w:color="auto"/>
        <w:left w:val="none" w:sz="0" w:space="0" w:color="auto"/>
        <w:bottom w:val="none" w:sz="0" w:space="0" w:color="auto"/>
        <w:right w:val="none" w:sz="0" w:space="0" w:color="auto"/>
      </w:divBdr>
    </w:div>
    <w:div w:id="1867450692">
      <w:bodyDiv w:val="1"/>
      <w:marLeft w:val="0"/>
      <w:marRight w:val="0"/>
      <w:marTop w:val="0"/>
      <w:marBottom w:val="0"/>
      <w:divBdr>
        <w:top w:val="none" w:sz="0" w:space="0" w:color="auto"/>
        <w:left w:val="none" w:sz="0" w:space="0" w:color="auto"/>
        <w:bottom w:val="none" w:sz="0" w:space="0" w:color="auto"/>
        <w:right w:val="none" w:sz="0" w:space="0" w:color="auto"/>
      </w:divBdr>
    </w:div>
    <w:div w:id="2015764148">
      <w:bodyDiv w:val="1"/>
      <w:marLeft w:val="0"/>
      <w:marRight w:val="0"/>
      <w:marTop w:val="0"/>
      <w:marBottom w:val="0"/>
      <w:divBdr>
        <w:top w:val="none" w:sz="0" w:space="0" w:color="auto"/>
        <w:left w:val="none" w:sz="0" w:space="0" w:color="auto"/>
        <w:bottom w:val="none" w:sz="0" w:space="0" w:color="auto"/>
        <w:right w:val="none" w:sz="0" w:space="0" w:color="auto"/>
      </w:divBdr>
    </w:div>
    <w:div w:id="2033260274">
      <w:bodyDiv w:val="1"/>
      <w:marLeft w:val="0"/>
      <w:marRight w:val="0"/>
      <w:marTop w:val="0"/>
      <w:marBottom w:val="0"/>
      <w:divBdr>
        <w:top w:val="none" w:sz="0" w:space="0" w:color="auto"/>
        <w:left w:val="none" w:sz="0" w:space="0" w:color="auto"/>
        <w:bottom w:val="none" w:sz="0" w:space="0" w:color="auto"/>
        <w:right w:val="none" w:sz="0" w:space="0" w:color="auto"/>
      </w:divBdr>
    </w:div>
    <w:div w:id="2043091763">
      <w:bodyDiv w:val="1"/>
      <w:marLeft w:val="0"/>
      <w:marRight w:val="0"/>
      <w:marTop w:val="0"/>
      <w:marBottom w:val="0"/>
      <w:divBdr>
        <w:top w:val="none" w:sz="0" w:space="0" w:color="auto"/>
        <w:left w:val="none" w:sz="0" w:space="0" w:color="auto"/>
        <w:bottom w:val="none" w:sz="0" w:space="0" w:color="auto"/>
        <w:right w:val="none" w:sz="0" w:space="0" w:color="auto"/>
      </w:divBdr>
    </w:div>
    <w:div w:id="2054958481">
      <w:bodyDiv w:val="1"/>
      <w:marLeft w:val="0"/>
      <w:marRight w:val="0"/>
      <w:marTop w:val="0"/>
      <w:marBottom w:val="0"/>
      <w:divBdr>
        <w:top w:val="none" w:sz="0" w:space="0" w:color="auto"/>
        <w:left w:val="none" w:sz="0" w:space="0" w:color="auto"/>
        <w:bottom w:val="none" w:sz="0" w:space="0" w:color="auto"/>
        <w:right w:val="none" w:sz="0" w:space="0" w:color="auto"/>
      </w:divBdr>
    </w:div>
    <w:div w:id="2070686678">
      <w:bodyDiv w:val="1"/>
      <w:marLeft w:val="0"/>
      <w:marRight w:val="0"/>
      <w:marTop w:val="0"/>
      <w:marBottom w:val="0"/>
      <w:divBdr>
        <w:top w:val="none" w:sz="0" w:space="0" w:color="auto"/>
        <w:left w:val="none" w:sz="0" w:space="0" w:color="auto"/>
        <w:bottom w:val="none" w:sz="0" w:space="0" w:color="auto"/>
        <w:right w:val="none" w:sz="0" w:space="0" w:color="auto"/>
      </w:divBdr>
    </w:div>
    <w:div w:id="2099671187">
      <w:bodyDiv w:val="1"/>
      <w:marLeft w:val="0"/>
      <w:marRight w:val="0"/>
      <w:marTop w:val="0"/>
      <w:marBottom w:val="0"/>
      <w:divBdr>
        <w:top w:val="none" w:sz="0" w:space="0" w:color="auto"/>
        <w:left w:val="none" w:sz="0" w:space="0" w:color="auto"/>
        <w:bottom w:val="none" w:sz="0" w:space="0" w:color="auto"/>
        <w:right w:val="none" w:sz="0" w:space="0" w:color="auto"/>
      </w:divBdr>
    </w:div>
    <w:div w:id="2111781497">
      <w:bodyDiv w:val="1"/>
      <w:marLeft w:val="0"/>
      <w:marRight w:val="0"/>
      <w:marTop w:val="0"/>
      <w:marBottom w:val="0"/>
      <w:divBdr>
        <w:top w:val="none" w:sz="0" w:space="0" w:color="auto"/>
        <w:left w:val="none" w:sz="0" w:space="0" w:color="auto"/>
        <w:bottom w:val="none" w:sz="0" w:space="0" w:color="auto"/>
        <w:right w:val="none" w:sz="0" w:space="0" w:color="auto"/>
      </w:divBdr>
    </w:div>
    <w:div w:id="2116320647">
      <w:bodyDiv w:val="1"/>
      <w:marLeft w:val="0"/>
      <w:marRight w:val="0"/>
      <w:marTop w:val="0"/>
      <w:marBottom w:val="0"/>
      <w:divBdr>
        <w:top w:val="none" w:sz="0" w:space="0" w:color="auto"/>
        <w:left w:val="none" w:sz="0" w:space="0" w:color="auto"/>
        <w:bottom w:val="none" w:sz="0" w:space="0" w:color="auto"/>
        <w:right w:val="none" w:sz="0" w:space="0" w:color="auto"/>
      </w:divBdr>
    </w:div>
    <w:div w:id="21465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t@waggeneredstr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nvest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crosoft.com/inves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F71F0-167F-4BBB-B9DC-FD111E1A3A46}"/>
</file>

<file path=customXml/itemProps2.xml><?xml version="1.0" encoding="utf-8"?>
<ds:datastoreItem xmlns:ds="http://schemas.openxmlformats.org/officeDocument/2006/customXml" ds:itemID="{D8EF74D4-3452-4012-8353-687FD5479B91}"/>
</file>

<file path=customXml/itemProps3.xml><?xml version="1.0" encoding="utf-8"?>
<ds:datastoreItem xmlns:ds="http://schemas.openxmlformats.org/officeDocument/2006/customXml" ds:itemID="{3DB4DCE8-9E5E-4F38-BF05-091D5C9CB1A3}"/>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2015-04-23T15:25:00Z</dcterms:created>
  <dcterms:modified xsi:type="dcterms:W3CDTF">2015-04-23T15:26:00Z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DocIdItemGuid">
    <vt:lpwstr>efa59d86-4e65-4f43-982c-e027cd15472e</vt:lpwstr>
  </property>
  <property fmtid="{D5CDD505-2E9C-101B-9397-08002B2CF9AE}" pid="4" name="_dlc_policyId">
    <vt:lpwstr/>
  </property>
  <property fmtid="{D5CDD505-2E9C-101B-9397-08002B2CF9AE}" pid="5" name="Owner">
    <vt:lpwstr>141;#Debi Kampton</vt:lpwstr>
  </property>
  <property fmtid="{D5CDD505-2E9C-101B-9397-08002B2CF9AE}" pid="6" name="ContentTypeId">
    <vt:lpwstr>0x0101004EEB5A68CE6442648224A0682BF61800004B9775297EFBF642A4F1523B0C630918</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